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测试方案rhizodelta"/>
    <w:p>
      <w:pPr>
        <w:pStyle w:val="Heading1"/>
      </w:pPr>
      <w:r>
        <w:t xml:space="preserve">1 测试方案（RhizoDelta）</w:t>
      </w:r>
    </w:p>
    <w:p>
      <w:pPr>
        <w:pStyle w:val="BlockText"/>
      </w:pPr>
      <w:r>
        <w:t xml:space="preserve">对应模板</w:t>
      </w:r>
      <w:r>
        <w:t xml:space="preserve"> </w:t>
      </w:r>
      <w:r>
        <w:rPr>
          <w:rStyle w:val="VerbatimChar"/>
        </w:rPr>
        <w:t xml:space="preserve">templates/1测试方案.doc</w:t>
      </w:r>
      <w:r>
        <w:t xml:space="preserve">，被测系统由”B/S 资产管理系统”替换为 RhizoDelta。骨架待填。</w:t>
      </w:r>
    </w:p>
    <w:bookmarkStart w:id="24" w:name="概述"/>
    <w:p>
      <w:pPr>
        <w:pStyle w:val="Heading2"/>
      </w:pPr>
      <w:r>
        <w:t xml:space="preserve">1 概述</w:t>
      </w:r>
    </w:p>
    <w:bookmarkStart w:id="20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确认系统模块划分、测试范围、测试人员与风险，作为后续用例编写与执行的依据。</w:t>
      </w:r>
    </w:p>
    <w:bookmarkEnd w:id="20"/>
    <w:bookmarkStart w:id="21" w:name="阅读对象"/>
    <w:p>
      <w:pPr>
        <w:pStyle w:val="Heading3"/>
      </w:pPr>
      <w:r>
        <w:t xml:space="preserve">1.2 阅读对象</w:t>
      </w:r>
    </w:p>
    <w:p>
      <w:pPr>
        <w:pStyle w:val="FirstParagraph"/>
      </w:pPr>
      <w:r>
        <w:t xml:space="preserve">最终用户、项目负责人、评审人员、测试人员、开发人员。</w:t>
      </w:r>
    </w:p>
    <w:bookmarkEnd w:id="21"/>
    <w:bookmarkStart w:id="23" w:name="系统背景"/>
    <w:p>
      <w:pPr>
        <w:pStyle w:val="Heading3"/>
      </w:pPr>
      <w:r>
        <w:t xml:space="preserve">1.3 系统背景</w:t>
      </w:r>
    </w:p>
    <w:p>
      <w:pPr>
        <w:pStyle w:val="FirstParagraph"/>
      </w:pPr>
      <w:r>
        <w:t xml:space="preserve">RhizoDelta 是图谱化非线性讨论系统（B/S，Spring Boot + Neo4j + React/Vite），详见</w:t>
      </w:r>
      <w:r>
        <w:t xml:space="preserve"> </w:t>
      </w:r>
      <w:hyperlink r:id="rId22">
        <w:r>
          <w:rPr>
            <w:rStyle w:val="Hyperlink"/>
          </w:rPr>
          <w:t xml:space="preserve">../docs/project-understanding.md</w:t>
        </w:r>
      </w:hyperlink>
      <w:r>
        <w:t xml:space="preserve">。</w:t>
      </w:r>
    </w:p>
    <w:bookmarkEnd w:id="23"/>
    <w:bookmarkEnd w:id="24"/>
    <w:bookmarkStart w:id="28" w:name="测试任务"/>
    <w:p>
      <w:pPr>
        <w:pStyle w:val="Heading2"/>
      </w:pPr>
      <w:r>
        <w:t xml:space="preserve">2 测试任务</w:t>
      </w:r>
    </w:p>
    <w:bookmarkStart w:id="25" w:name="测试目的"/>
    <w:p>
      <w:pPr>
        <w:pStyle w:val="Heading3"/>
      </w:pPr>
      <w:r>
        <w:t xml:space="preserve">2.1 测试目的</w:t>
      </w:r>
    </w:p>
    <w:p>
      <w:pPr>
        <w:pStyle w:val="FirstParagraph"/>
      </w:pPr>
      <w:r>
        <w:t xml:space="preserve">确定系统功能正常、业务流程正常、接口校验与鉴权正确、需求一致完整。</w:t>
      </w:r>
    </w:p>
    <w:bookmarkEnd w:id="25"/>
    <w:bookmarkStart w:id="26" w:name="测试参考文档"/>
    <w:p>
      <w:pPr>
        <w:pStyle w:val="Heading3"/>
      </w:pPr>
      <w:r>
        <w:t xml:space="preserve">2.2 测试参考文档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文档名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RhizoDelta 需求/设计说明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RhizoDelta 仓库与本仓库 javaee-web-app/docs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本测试方案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</w:p>
        </w:tc>
      </w:tr>
    </w:tbl>
    <w:bookmarkEnd w:id="26"/>
    <w:bookmarkStart w:id="27" w:name="测试提交文档"/>
    <w:p>
      <w:pPr>
        <w:pStyle w:val="Heading3"/>
      </w:pPr>
      <w:r>
        <w:t xml:space="preserve">2.3 测试提交文档</w:t>
      </w:r>
    </w:p>
    <w:p>
      <w:pPr>
        <w:pStyle w:val="FirstParagraph"/>
      </w:pPr>
      <w:r>
        <w:t xml:space="preserve">《1 测试方案》《2 测试用例》《3 Bug 缺陷报告清单》《4 接口测试-Postman》《5 测试总结报告》。</w:t>
      </w:r>
    </w:p>
    <w:bookmarkEnd w:id="27"/>
    <w:bookmarkEnd w:id="28"/>
    <w:bookmarkStart w:id="32" w:name="测试资源"/>
    <w:p>
      <w:pPr>
        <w:pStyle w:val="Heading2"/>
      </w:pPr>
      <w:r>
        <w:t xml:space="preserve">3 测试资源</w:t>
      </w:r>
    </w:p>
    <w:bookmarkStart w:id="30" w:name="软硬件与工具"/>
    <w:p>
      <w:pPr>
        <w:pStyle w:val="Heading3"/>
      </w:pPr>
      <w:r>
        <w:t xml:space="preserve">3.1 / 3.2 软硬件与工具</w:t>
      </w:r>
    </w:p>
    <w:p>
      <w:pPr>
        <w:pStyle w:val="FirstParagraph"/>
      </w:pPr>
      <w:r>
        <w:t xml:space="preserve">见</w:t>
      </w:r>
      <w:r>
        <w:t xml:space="preserve"> </w:t>
      </w:r>
      <w:hyperlink r:id="rId29">
        <w:r>
          <w:rPr>
            <w:rStyle w:val="Hyperlink"/>
          </w:rPr>
          <w:t xml:space="preserve">../docs/system-design.md</w:t>
        </w:r>
      </w:hyperlink>
      <w:r>
        <w:t xml:space="preserve"> </w:t>
      </w:r>
      <w:r>
        <w:t xml:space="preserve">第 5 节（环境）。接口工具：Postman。</w:t>
      </w:r>
    </w:p>
    <w:bookmarkEnd w:id="30"/>
    <w:bookmarkStart w:id="31" w:name="人力资源分配个人提交"/>
    <w:p>
      <w:pPr>
        <w:pStyle w:val="Heading3"/>
      </w:pPr>
      <w:r>
        <w:t xml:space="preserve">3.3 人力资源分配（个人提交）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测试负责人（独立完成）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需求分析、用例设计、用例执行、缺陷登记与汇总、报告编写</w:t>
            </w:r>
          </w:p>
        </w:tc>
      </w:tr>
    </w:tbl>
    <w:bookmarkEnd w:id="31"/>
    <w:bookmarkEnd w:id="32"/>
    <w:bookmarkStart w:id="33" w:name="测试计划-模块划分"/>
    <w:p>
      <w:pPr>
        <w:pStyle w:val="Heading2"/>
      </w:pPr>
      <w:r>
        <w:t xml:space="preserve">4 测试计划 — 模块划分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需求编号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测试人员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RD-ST-SRS001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注册/登录/刷新/登出/当前用户/JWT 鉴权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RD-ST-SRS002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用户资料与社交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资料、头像、关注、拉黑、动态、在线状态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RD-ST-SRS003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发帖与关联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发帖（异步）、关联创建/删除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RD-ST-SRS004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图谱查询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根/详情/拓扑/谱系/子代/讨论树/溯源/关联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RD-ST-SRS005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治理决策与复核（选测）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合并/分支/注入/回滚、审批/驳回、审计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</w:t>
            </w:r>
          </w:p>
        </w:tc>
      </w:tr>
    </w:tbl>
    <w:bookmarkEnd w:id="33"/>
    <w:bookmarkStart w:id="34" w:name="测试进度安排"/>
    <w:p>
      <w:pPr>
        <w:pStyle w:val="Heading2"/>
      </w:pPr>
      <w:r>
        <w:t xml:space="preserve">5 测试进度安排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梳理模块与范围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范围边界（docs）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方案/用例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编写方案与用例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+ 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 + Postman 接口执行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缺陷清单初稿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缺陷汇总、结论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</w:t>
            </w:r>
          </w:p>
        </w:tc>
      </w:tr>
    </w:tbl>
    <w:bookmarkEnd w:id="34"/>
    <w:bookmarkStart w:id="35" w:name="相关风险"/>
    <w:p>
      <w:pPr>
        <w:pStyle w:val="Heading2"/>
      </w:pPr>
      <w:r>
        <w:t xml:space="preserve">6 相关风险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依赖（Neo4j/Redis/RabbitMQ）未起导致接口失败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测前检查依赖与 8090 健康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AI/SSE/异步不确定性高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仅冒烟，范围外项在总结说明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测试数据污染图谱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用独立测试账号、必要时清理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周期短、用例多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优先核心模块，分级执行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docs/project-understanding.md" TargetMode="External" /><Relationship Type="http://schemas.openxmlformats.org/officeDocument/2006/relationships/hyperlink" Id="rId29" Target="../docs/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docs/project-understanding.md" TargetMode="External" /><Relationship Type="http://schemas.openxmlformats.org/officeDocument/2006/relationships/hyperlink" Id="rId29" Target="../docs/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2026-06-18T03:42:13Z</dcterms:created>
  <dcterms:modified xsi:type="dcterms:W3CDTF">2026-06-18T03:42:13Z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