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A9D" w:rsidRPr="00E73A9D" w:rsidRDefault="00E73A9D">
      <w:pPr>
        <w:rPr>
          <w:rFonts w:ascii="Times New Roman" w:hAnsi="Times New Roman" w:cs="Times New Roman"/>
          <w:b/>
        </w:rPr>
      </w:pPr>
      <w:r w:rsidRPr="00E73A9D">
        <w:rPr>
          <w:rFonts w:ascii="Times New Roman" w:hAnsi="Times New Roman" w:cs="Times New Roman"/>
          <w:b/>
        </w:rPr>
        <w:t>Pearson correlation</w:t>
      </w:r>
    </w:p>
    <w:p w:rsidR="00E73A9D" w:rsidRDefault="00E73A9D" w:rsidP="00E73A9D">
      <w:pPr>
        <w:rPr>
          <w:rFonts w:ascii="Times New Roman" w:hAnsi="Times New Roman" w:cs="Times New Roman"/>
        </w:rPr>
      </w:pPr>
      <w:r w:rsidRPr="00E73A9D">
        <w:rPr>
          <w:rFonts w:ascii="Times New Roman" w:hAnsi="Times New Roman" w:cs="Times New Roman"/>
        </w:rPr>
        <w:t>The Pearson correlation coefficient measures the linear rela</w:t>
      </w:r>
      <w:r>
        <w:rPr>
          <w:rFonts w:ascii="Times New Roman" w:hAnsi="Times New Roman" w:cs="Times New Roman"/>
        </w:rPr>
        <w:t xml:space="preserve">tionship between two datasets. </w:t>
      </w:r>
      <w:r w:rsidRPr="00E73A9D">
        <w:rPr>
          <w:rFonts w:ascii="Times New Roman" w:hAnsi="Times New Roman" w:cs="Times New Roman"/>
        </w:rPr>
        <w:t xml:space="preserve"> This varies between -1 and +1 with 0 implying no cor</w:t>
      </w:r>
      <w:r>
        <w:rPr>
          <w:rFonts w:ascii="Times New Roman" w:hAnsi="Times New Roman" w:cs="Times New Roman"/>
        </w:rPr>
        <w:t>relation.</w:t>
      </w:r>
      <w:r w:rsidRPr="00E73A9D">
        <w:rPr>
          <w:rFonts w:ascii="Times New Roman" w:hAnsi="Times New Roman" w:cs="Times New Roman"/>
        </w:rPr>
        <w:t xml:space="preserve"> The p-value roughly indicates the probability of an uncorrel</w:t>
      </w:r>
      <w:r>
        <w:rPr>
          <w:rFonts w:ascii="Times New Roman" w:hAnsi="Times New Roman" w:cs="Times New Roman"/>
        </w:rPr>
        <w:t>ated system producing datasets</w:t>
      </w:r>
      <w:r w:rsidRPr="00E73A9D">
        <w:rPr>
          <w:rFonts w:ascii="Times New Roman" w:hAnsi="Times New Roman" w:cs="Times New Roman"/>
        </w:rPr>
        <w:t xml:space="preserve"> that have a Pearson correlation at least as extreme as the one</w:t>
      </w:r>
      <w:r>
        <w:rPr>
          <w:rFonts w:ascii="Times New Roman" w:hAnsi="Times New Roman" w:cs="Times New Roman"/>
        </w:rPr>
        <w:t xml:space="preserve"> computed from these datasets.</w:t>
      </w:r>
      <w:r w:rsidRPr="00E73A9D">
        <w:rPr>
          <w:rFonts w:ascii="Times New Roman" w:hAnsi="Times New Roman" w:cs="Times New Roman"/>
        </w:rPr>
        <w:t xml:space="preserve"> The p-values are not entirely reliable but are probably reasonable for datasets larger than 500 or so.</w:t>
      </w:r>
    </w:p>
    <w:p w:rsidR="00DD27B3" w:rsidRPr="00625F19" w:rsidRDefault="00625F19" w:rsidP="00E73A9D">
      <w:pPr>
        <w:rPr>
          <w:rFonts w:ascii="Times New Roman" w:hAnsi="Times New Roman" w:cs="Times New Roman"/>
          <w:b/>
          <w:u w:val="single"/>
        </w:rPr>
      </w:pPr>
      <w:r w:rsidRPr="00625F19">
        <w:rPr>
          <w:rFonts w:ascii="Times New Roman" w:hAnsi="Times New Roman" w:cs="Times New Roman"/>
          <w:b/>
          <w:u w:val="single"/>
        </w:rPr>
        <w:t xml:space="preserve">Methodology </w:t>
      </w:r>
    </w:p>
    <w:p w:rsidR="00D9540A" w:rsidRPr="00BE24C1" w:rsidRDefault="006373A0">
      <w:pPr>
        <w:rPr>
          <w:rFonts w:ascii="Times New Roman" w:hAnsi="Times New Roman" w:cs="Times New Roman"/>
          <w:b/>
        </w:rPr>
      </w:pPr>
      <w:r w:rsidRPr="00BE24C1">
        <w:rPr>
          <w:rFonts w:ascii="Times New Roman" w:hAnsi="Times New Roman" w:cs="Times New Roman"/>
          <w:b/>
        </w:rPr>
        <w:t>Additional information</w:t>
      </w:r>
    </w:p>
    <w:p w:rsidR="0081090C" w:rsidRDefault="006373A0">
      <w:pPr>
        <w:rPr>
          <w:rFonts w:ascii="Times New Roman" w:hAnsi="Times New Roman" w:cs="Times New Roman"/>
        </w:rPr>
      </w:pPr>
      <w:r>
        <w:rPr>
          <w:rFonts w:ascii="Times New Roman" w:hAnsi="Times New Roman" w:cs="Times New Roman"/>
        </w:rPr>
        <w:t>Additional information constitutes part of the REF output submission where a paragraph of text is given for each submission to describe how significant the output is, how earlier work (before 2008) has been reviewed to incorporate new findings (if any), and how much authors other than the lead author have been contributing to the work</w:t>
      </w:r>
      <w:sdt>
        <w:sdtPr>
          <w:rPr>
            <w:rFonts w:ascii="Times New Roman" w:hAnsi="Times New Roman" w:cs="Times New Roman"/>
          </w:rPr>
          <w:id w:val="-94478490"/>
          <w:citation/>
        </w:sdtPr>
        <w:sdtEndPr/>
        <w:sdtContent>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CITATION REF12 \l 2052</w:instrText>
          </w:r>
          <w:r>
            <w:rPr>
              <w:rFonts w:ascii="Times New Roman" w:hAnsi="Times New Roman" w:cs="Times New Roman"/>
            </w:rPr>
            <w:instrText xml:space="preserve"> </w:instrText>
          </w:r>
          <w:r>
            <w:rPr>
              <w:rFonts w:ascii="Times New Roman" w:hAnsi="Times New Roman" w:cs="Times New Roman"/>
            </w:rPr>
            <w:fldChar w:fldCharType="separate"/>
          </w:r>
          <w:r w:rsidR="00EE347D">
            <w:rPr>
              <w:rFonts w:ascii="Times New Roman" w:hAnsi="Times New Roman" w:cs="Times New Roman" w:hint="eastAsia"/>
              <w:noProof/>
            </w:rPr>
            <w:t xml:space="preserve"> </w:t>
          </w:r>
          <w:r w:rsidR="00EE347D" w:rsidRPr="00EE347D">
            <w:rPr>
              <w:rFonts w:ascii="Times New Roman" w:hAnsi="Times New Roman" w:cs="Times New Roman"/>
              <w:noProof/>
            </w:rPr>
            <w:t>(REF, 2012)</w:t>
          </w:r>
          <w:r>
            <w:rPr>
              <w:rFonts w:ascii="Times New Roman" w:hAnsi="Times New Roman" w:cs="Times New Roman"/>
            </w:rPr>
            <w:fldChar w:fldCharType="end"/>
          </w:r>
        </w:sdtContent>
      </w:sdt>
      <w:r>
        <w:rPr>
          <w:rFonts w:ascii="Times New Roman" w:hAnsi="Times New Roman" w:cs="Times New Roman"/>
        </w:rPr>
        <w:t>.</w:t>
      </w:r>
      <w:r w:rsidR="003C1A54">
        <w:rPr>
          <w:rFonts w:ascii="Times New Roman" w:hAnsi="Times New Roman" w:cs="Times New Roman"/>
        </w:rPr>
        <w:t xml:space="preserve"> There are different requirements for additional information across various ma</w:t>
      </w:r>
      <w:r w:rsidR="00E15FE0">
        <w:rPr>
          <w:rFonts w:ascii="Times New Roman" w:hAnsi="Times New Roman" w:cs="Times New Roman"/>
        </w:rPr>
        <w:t xml:space="preserve">in panels and even various UOAs. </w:t>
      </w:r>
      <w:r w:rsidR="0001281E">
        <w:rPr>
          <w:rFonts w:ascii="Times New Roman" w:hAnsi="Times New Roman" w:cs="Times New Roman"/>
        </w:rPr>
        <w:t>N</w:t>
      </w:r>
      <w:r w:rsidR="00E15FE0">
        <w:rPr>
          <w:rFonts w:ascii="Times New Roman" w:hAnsi="Times New Roman" w:cs="Times New Roman"/>
        </w:rPr>
        <w:t xml:space="preserve">evertheless, </w:t>
      </w:r>
      <w:r w:rsidR="0001281E">
        <w:rPr>
          <w:rFonts w:ascii="Times New Roman" w:hAnsi="Times New Roman" w:cs="Times New Roman"/>
        </w:rPr>
        <w:t>additional information</w:t>
      </w:r>
      <w:r w:rsidR="00E15FE0">
        <w:rPr>
          <w:rFonts w:ascii="Times New Roman" w:hAnsi="Times New Roman" w:cs="Times New Roman"/>
        </w:rPr>
        <w:t xml:space="preserve"> provides textual </w:t>
      </w:r>
      <w:r w:rsidR="0001281E">
        <w:rPr>
          <w:rFonts w:ascii="Times New Roman" w:hAnsi="Times New Roman" w:cs="Times New Roman"/>
        </w:rPr>
        <w:t>descriptions</w:t>
      </w:r>
      <w:r w:rsidR="00E15FE0">
        <w:rPr>
          <w:rFonts w:ascii="Times New Roman" w:hAnsi="Times New Roman" w:cs="Times New Roman"/>
        </w:rPr>
        <w:t xml:space="preserve"> that </w:t>
      </w:r>
      <w:r w:rsidR="0001281E">
        <w:rPr>
          <w:rFonts w:ascii="Times New Roman" w:hAnsi="Times New Roman" w:cs="Times New Roman"/>
        </w:rPr>
        <w:t>most closely reflect on the actual content of the submissions.</w:t>
      </w:r>
      <w:r w:rsidR="00723540">
        <w:rPr>
          <w:rFonts w:ascii="Times New Roman" w:hAnsi="Times New Roman" w:cs="Times New Roman"/>
        </w:rPr>
        <w:t xml:space="preserve"> I</w:t>
      </w:r>
      <w:r w:rsidR="00F33B6B">
        <w:rPr>
          <w:rFonts w:ascii="Times New Roman" w:hAnsi="Times New Roman" w:cs="Times New Roman"/>
        </w:rPr>
        <w:t xml:space="preserve">t is therefore hypothesized that </w:t>
      </w:r>
      <w:r w:rsidR="00C57E43">
        <w:rPr>
          <w:rFonts w:ascii="Times New Roman" w:hAnsi="Times New Roman" w:cs="Times New Roman"/>
        </w:rPr>
        <w:t xml:space="preserve">the </w:t>
      </w:r>
      <w:r w:rsidR="00846A5F">
        <w:rPr>
          <w:rFonts w:ascii="Times New Roman" w:hAnsi="Times New Roman" w:cs="Times New Roman"/>
        </w:rPr>
        <w:t>more well-written additional information</w:t>
      </w:r>
      <w:r w:rsidR="00C44BAE">
        <w:rPr>
          <w:rFonts w:ascii="Times New Roman" w:hAnsi="Times New Roman" w:cs="Times New Roman"/>
        </w:rPr>
        <w:t xml:space="preserve"> is</w:t>
      </w:r>
      <w:r w:rsidR="00846A5F">
        <w:rPr>
          <w:rFonts w:ascii="Times New Roman" w:hAnsi="Times New Roman" w:cs="Times New Roman"/>
        </w:rPr>
        <w:t>, the higher the score</w:t>
      </w:r>
      <w:r w:rsidR="00C44BAE">
        <w:rPr>
          <w:rFonts w:ascii="Times New Roman" w:hAnsi="Times New Roman" w:cs="Times New Roman"/>
        </w:rPr>
        <w:t xml:space="preserve"> would be</w:t>
      </w:r>
      <w:r w:rsidR="00846A5F">
        <w:rPr>
          <w:rFonts w:ascii="Times New Roman" w:hAnsi="Times New Roman" w:cs="Times New Roman"/>
        </w:rPr>
        <w:t xml:space="preserve">. </w:t>
      </w:r>
      <w:r w:rsidR="0081090C">
        <w:rPr>
          <w:rFonts w:ascii="Times New Roman" w:hAnsi="Times New Roman" w:cs="Times New Roman"/>
        </w:rPr>
        <w:t>A clear definition for ‘well-written’ additional information is therefore required.</w:t>
      </w:r>
    </w:p>
    <w:p w:rsidR="00246B43" w:rsidRPr="00BE24C1" w:rsidRDefault="008133DF">
      <w:pPr>
        <w:rPr>
          <w:rFonts w:ascii="Times New Roman" w:hAnsi="Times New Roman" w:cs="Times New Roman"/>
          <w:b/>
        </w:rPr>
      </w:pPr>
      <w:r w:rsidRPr="00BE24C1">
        <w:rPr>
          <w:rFonts w:ascii="Times New Roman" w:hAnsi="Times New Roman" w:cs="Times New Roman"/>
          <w:b/>
        </w:rPr>
        <w:t xml:space="preserve">Levenshtein distance vs </w:t>
      </w:r>
      <w:r w:rsidR="001074A2">
        <w:rPr>
          <w:rFonts w:ascii="Times New Roman" w:hAnsi="Times New Roman" w:cs="Times New Roman"/>
          <w:b/>
        </w:rPr>
        <w:t>TFIDF</w:t>
      </w:r>
      <w:r w:rsidRPr="00BE24C1">
        <w:rPr>
          <w:rFonts w:ascii="Times New Roman" w:hAnsi="Times New Roman" w:cs="Times New Roman"/>
          <w:b/>
        </w:rPr>
        <w:t xml:space="preserve"> </w:t>
      </w:r>
      <w:r w:rsidR="0082531F">
        <w:rPr>
          <w:rFonts w:ascii="Times New Roman" w:hAnsi="Times New Roman" w:cs="Times New Roman"/>
          <w:b/>
        </w:rPr>
        <w:t>values</w:t>
      </w:r>
    </w:p>
    <w:p w:rsidR="008133DF" w:rsidRDefault="003418AF">
      <w:pPr>
        <w:rPr>
          <w:rFonts w:ascii="Times New Roman" w:hAnsi="Times New Roman" w:cs="Times New Roman"/>
        </w:rPr>
      </w:pPr>
      <w:r>
        <w:rPr>
          <w:rFonts w:ascii="Times New Roman" w:hAnsi="Times New Roman" w:cs="Times New Roman"/>
        </w:rPr>
        <w:t>Levenshtein distance measures how similar two strings are in a character-by-character manner.</w:t>
      </w:r>
      <w:r w:rsidR="00D92102">
        <w:rPr>
          <w:rFonts w:ascii="Times New Roman" w:hAnsi="Times New Roman" w:cs="Times New Roman"/>
        </w:rPr>
        <w:t xml:space="preserve"> </w:t>
      </w:r>
      <w:r w:rsidR="004D12CF">
        <w:rPr>
          <w:rFonts w:ascii="Times New Roman" w:hAnsi="Times New Roman" w:cs="Times New Roman"/>
        </w:rPr>
        <w:t>Th</w:t>
      </w:r>
      <w:r w:rsidR="00F70143">
        <w:rPr>
          <w:rFonts w:ascii="Times New Roman" w:hAnsi="Times New Roman" w:cs="Times New Roman"/>
        </w:rPr>
        <w:t>e</w:t>
      </w:r>
      <w:r w:rsidR="004D12CF">
        <w:rPr>
          <w:rFonts w:ascii="Times New Roman" w:hAnsi="Times New Roman" w:cs="Times New Roman"/>
        </w:rPr>
        <w:t xml:space="preserve"> distance is equavalent to the number of edits (e.g. deletion, insertion or substitution) required to transform one string to another</w:t>
      </w:r>
      <w:sdt>
        <w:sdtPr>
          <w:rPr>
            <w:rFonts w:ascii="Times New Roman" w:hAnsi="Times New Roman" w:cs="Times New Roman"/>
          </w:rPr>
          <w:id w:val="1922679756"/>
          <w:citation/>
        </w:sdtPr>
        <w:sdtEndPr/>
        <w:sdtContent>
          <w:r w:rsidR="004D12CF">
            <w:rPr>
              <w:rFonts w:ascii="Times New Roman" w:hAnsi="Times New Roman" w:cs="Times New Roman"/>
            </w:rPr>
            <w:fldChar w:fldCharType="begin"/>
          </w:r>
          <w:r w:rsidR="004D12CF">
            <w:rPr>
              <w:rFonts w:ascii="Times New Roman" w:hAnsi="Times New Roman" w:cs="Times New Roman"/>
            </w:rPr>
            <w:instrText xml:space="preserve"> </w:instrText>
          </w:r>
          <w:r w:rsidR="004D12CF">
            <w:rPr>
              <w:rFonts w:ascii="Times New Roman" w:hAnsi="Times New Roman" w:cs="Times New Roman" w:hint="eastAsia"/>
            </w:rPr>
            <w:instrText>CITATION Gil06 \l 2052</w:instrText>
          </w:r>
          <w:r w:rsidR="004D12CF">
            <w:rPr>
              <w:rFonts w:ascii="Times New Roman" w:hAnsi="Times New Roman" w:cs="Times New Roman"/>
            </w:rPr>
            <w:instrText xml:space="preserve"> </w:instrText>
          </w:r>
          <w:r w:rsidR="004D12CF">
            <w:rPr>
              <w:rFonts w:ascii="Times New Roman" w:hAnsi="Times New Roman" w:cs="Times New Roman"/>
            </w:rPr>
            <w:fldChar w:fldCharType="separate"/>
          </w:r>
          <w:r w:rsidR="00EE347D">
            <w:rPr>
              <w:rFonts w:ascii="Times New Roman" w:hAnsi="Times New Roman" w:cs="Times New Roman" w:hint="eastAsia"/>
              <w:noProof/>
            </w:rPr>
            <w:t xml:space="preserve"> </w:t>
          </w:r>
          <w:r w:rsidR="00EE347D" w:rsidRPr="00EE347D">
            <w:rPr>
              <w:rFonts w:ascii="Times New Roman" w:hAnsi="Times New Roman" w:cs="Times New Roman"/>
              <w:noProof/>
            </w:rPr>
            <w:t>(Gilleland, 2006)</w:t>
          </w:r>
          <w:r w:rsidR="004D12CF">
            <w:rPr>
              <w:rFonts w:ascii="Times New Roman" w:hAnsi="Times New Roman" w:cs="Times New Roman"/>
            </w:rPr>
            <w:fldChar w:fldCharType="end"/>
          </w:r>
        </w:sdtContent>
      </w:sdt>
      <w:r w:rsidR="004D12CF">
        <w:rPr>
          <w:rFonts w:ascii="Times New Roman" w:hAnsi="Times New Roman" w:cs="Times New Roman"/>
        </w:rPr>
        <w:t>.</w:t>
      </w:r>
      <w:r w:rsidR="00F70143">
        <w:rPr>
          <w:rFonts w:ascii="Times New Roman" w:hAnsi="Times New Roman" w:cs="Times New Roman"/>
        </w:rPr>
        <w:t xml:space="preserve"> </w:t>
      </w:r>
      <w:r w:rsidR="000C02D3">
        <w:rPr>
          <w:rFonts w:ascii="Times New Roman" w:hAnsi="Times New Roman" w:cs="Times New Roman"/>
        </w:rPr>
        <w:t xml:space="preserve">Given that Levenshtein distance is one of the easiest-to-compute string similarity measurements, it was used in an attempt </w:t>
      </w:r>
      <w:r w:rsidR="008B302F">
        <w:rPr>
          <w:rFonts w:ascii="Times New Roman" w:hAnsi="Times New Roman" w:cs="Times New Roman"/>
        </w:rPr>
        <w:t xml:space="preserve">to measure the distance from the additional information strings in the top-ranking institution to the strings in every other institutions, by treating the top institution as </w:t>
      </w:r>
      <w:r w:rsidR="00BD3B25">
        <w:rPr>
          <w:rFonts w:ascii="Times New Roman" w:hAnsi="Times New Roman" w:cs="Times New Roman"/>
        </w:rPr>
        <w:t>‘</w:t>
      </w:r>
      <w:r w:rsidR="008B302F">
        <w:rPr>
          <w:rFonts w:ascii="Times New Roman" w:hAnsi="Times New Roman" w:cs="Times New Roman"/>
        </w:rPr>
        <w:t>gold</w:t>
      </w:r>
      <w:r w:rsidR="00BD3B25">
        <w:rPr>
          <w:rFonts w:ascii="Times New Roman" w:hAnsi="Times New Roman" w:cs="Times New Roman"/>
        </w:rPr>
        <w:t xml:space="preserve"> </w:t>
      </w:r>
      <w:r w:rsidR="008B302F">
        <w:rPr>
          <w:rFonts w:ascii="Times New Roman" w:hAnsi="Times New Roman" w:cs="Times New Roman"/>
        </w:rPr>
        <w:t>standard</w:t>
      </w:r>
      <w:r w:rsidR="00BD3B25">
        <w:rPr>
          <w:rFonts w:ascii="Times New Roman" w:hAnsi="Times New Roman" w:cs="Times New Roman"/>
        </w:rPr>
        <w:t>’</w:t>
      </w:r>
      <w:r w:rsidR="008B302F">
        <w:rPr>
          <w:rFonts w:ascii="Times New Roman" w:hAnsi="Times New Roman" w:cs="Times New Roman"/>
        </w:rPr>
        <w:t>.</w:t>
      </w:r>
      <w:r w:rsidR="008F0CB7">
        <w:rPr>
          <w:rFonts w:ascii="Times New Roman" w:hAnsi="Times New Roman" w:cs="Times New Roman"/>
        </w:rPr>
        <w:t xml:space="preserve"> </w:t>
      </w:r>
      <w:r w:rsidR="00AE3A2E">
        <w:rPr>
          <w:rFonts w:ascii="Times New Roman" w:hAnsi="Times New Roman" w:cs="Times New Roman"/>
        </w:rPr>
        <w:t>The institutions were</w:t>
      </w:r>
      <w:r w:rsidR="00900875">
        <w:rPr>
          <w:rFonts w:ascii="Times New Roman" w:hAnsi="Times New Roman" w:cs="Times New Roman"/>
        </w:rPr>
        <w:t xml:space="preserve"> ranked based using all 4*, 3*, 2*, 1* and UC </w:t>
      </w:r>
      <w:r w:rsidR="00AE3A2E">
        <w:rPr>
          <w:rFonts w:ascii="Times New Roman" w:hAnsi="Times New Roman" w:cs="Times New Roman"/>
        </w:rPr>
        <w:t>scores – they were</w:t>
      </w:r>
      <w:r w:rsidR="00900875">
        <w:rPr>
          <w:rFonts w:ascii="Times New Roman" w:hAnsi="Times New Roman" w:cs="Times New Roman"/>
        </w:rPr>
        <w:t xml:space="preserve"> firstly s</w:t>
      </w:r>
      <w:r w:rsidR="00AE3A2E">
        <w:rPr>
          <w:rFonts w:ascii="Times New Roman" w:hAnsi="Times New Roman" w:cs="Times New Roman"/>
        </w:rPr>
        <w:t>orted by 4* scores, if</w:t>
      </w:r>
      <w:r w:rsidR="00900875">
        <w:rPr>
          <w:rFonts w:ascii="Times New Roman" w:hAnsi="Times New Roman" w:cs="Times New Roman"/>
        </w:rPr>
        <w:t xml:space="preserve"> two institutions</w:t>
      </w:r>
      <w:r w:rsidR="00AE3A2E">
        <w:rPr>
          <w:rFonts w:ascii="Times New Roman" w:hAnsi="Times New Roman" w:cs="Times New Roman"/>
        </w:rPr>
        <w:t xml:space="preserve"> had</w:t>
      </w:r>
      <w:r w:rsidR="00900875">
        <w:rPr>
          <w:rFonts w:ascii="Times New Roman" w:hAnsi="Times New Roman" w:cs="Times New Roman"/>
        </w:rPr>
        <w:t xml:space="preserve"> the same 4* score, they </w:t>
      </w:r>
      <w:r w:rsidR="00AE3A2E">
        <w:rPr>
          <w:rFonts w:ascii="Times New Roman" w:hAnsi="Times New Roman" w:cs="Times New Roman"/>
        </w:rPr>
        <w:t>were</w:t>
      </w:r>
      <w:r w:rsidR="00900875">
        <w:rPr>
          <w:rFonts w:ascii="Times New Roman" w:hAnsi="Times New Roman" w:cs="Times New Roman"/>
        </w:rPr>
        <w:t xml:space="preserve"> further</w:t>
      </w:r>
      <w:r w:rsidR="002603C4">
        <w:rPr>
          <w:rFonts w:ascii="Times New Roman" w:hAnsi="Times New Roman" w:cs="Times New Roman"/>
        </w:rPr>
        <w:t xml:space="preserve"> sorted by 3* scores and so on -</w:t>
      </w:r>
      <w:r w:rsidR="00900875">
        <w:rPr>
          <w:rFonts w:ascii="Times New Roman" w:hAnsi="Times New Roman" w:cs="Times New Roman"/>
        </w:rPr>
        <w:t xml:space="preserve"> ‘*’</w:t>
      </w:r>
      <w:r w:rsidR="00AE3A2E">
        <w:rPr>
          <w:rFonts w:ascii="Times New Roman" w:hAnsi="Times New Roman" w:cs="Times New Roman"/>
        </w:rPr>
        <w:t xml:space="preserve"> scores were</w:t>
      </w:r>
      <w:r w:rsidR="00900875">
        <w:rPr>
          <w:rFonts w:ascii="Times New Roman" w:hAnsi="Times New Roman" w:cs="Times New Roman"/>
        </w:rPr>
        <w:t xml:space="preserve"> sorted in desce</w:t>
      </w:r>
      <w:r w:rsidR="00AE3A2E">
        <w:rPr>
          <w:rFonts w:ascii="Times New Roman" w:hAnsi="Times New Roman" w:cs="Times New Roman"/>
        </w:rPr>
        <w:t>nding order, while UC scores were</w:t>
      </w:r>
      <w:r w:rsidR="00900875">
        <w:rPr>
          <w:rFonts w:ascii="Times New Roman" w:hAnsi="Times New Roman" w:cs="Times New Roman"/>
        </w:rPr>
        <w:t xml:space="preserve"> sorted in ascending order.</w:t>
      </w:r>
      <w:r w:rsidR="00AE3A2E">
        <w:rPr>
          <w:rFonts w:ascii="Times New Roman" w:hAnsi="Times New Roman" w:cs="Times New Roman"/>
        </w:rPr>
        <w:t xml:space="preserve"> It was</w:t>
      </w:r>
      <w:r w:rsidR="002603C4">
        <w:rPr>
          <w:rFonts w:ascii="Times New Roman" w:hAnsi="Times New Roman" w:cs="Times New Roman"/>
        </w:rPr>
        <w:t xml:space="preserve"> noted that, for UOA 12, the top university ranked based on b</w:t>
      </w:r>
      <w:r w:rsidR="00AE3A2E">
        <w:rPr>
          <w:rFonts w:ascii="Times New Roman" w:hAnsi="Times New Roman" w:cs="Times New Roman"/>
        </w:rPr>
        <w:t>oth overall and output scores was</w:t>
      </w:r>
      <w:r w:rsidR="002603C4">
        <w:rPr>
          <w:rFonts w:ascii="Times New Roman" w:hAnsi="Times New Roman" w:cs="Times New Roman"/>
        </w:rPr>
        <w:t xml:space="preserve"> the same. </w:t>
      </w:r>
      <w:r w:rsidR="000D0A74">
        <w:rPr>
          <w:rFonts w:ascii="Times New Roman" w:hAnsi="Times New Roman" w:cs="Times New Roman"/>
        </w:rPr>
        <w:t xml:space="preserve">When computing the Levenshtein distance between two institutions, all the strings (additional information paragraphs) in </w:t>
      </w:r>
      <w:r w:rsidR="002603C4">
        <w:rPr>
          <w:rFonts w:ascii="Times New Roman" w:hAnsi="Times New Roman" w:cs="Times New Roman"/>
        </w:rPr>
        <w:t>both</w:t>
      </w:r>
      <w:r w:rsidR="000D0A74">
        <w:rPr>
          <w:rFonts w:ascii="Times New Roman" w:hAnsi="Times New Roman" w:cs="Times New Roman"/>
        </w:rPr>
        <w:t xml:space="preserve"> institution</w:t>
      </w:r>
      <w:r w:rsidR="002603C4">
        <w:rPr>
          <w:rFonts w:ascii="Times New Roman" w:hAnsi="Times New Roman" w:cs="Times New Roman"/>
        </w:rPr>
        <w:t>s</w:t>
      </w:r>
      <w:r w:rsidR="00AE3A2E">
        <w:rPr>
          <w:rFonts w:ascii="Times New Roman" w:hAnsi="Times New Roman" w:cs="Times New Roman"/>
        </w:rPr>
        <w:t xml:space="preserve"> wer</w:t>
      </w:r>
      <w:r w:rsidR="000D0A74">
        <w:rPr>
          <w:rFonts w:ascii="Times New Roman" w:hAnsi="Times New Roman" w:cs="Times New Roman"/>
        </w:rPr>
        <w:t>e compared against each other</w:t>
      </w:r>
      <w:r w:rsidR="00AE3A2E">
        <w:rPr>
          <w:rFonts w:ascii="Times New Roman" w:hAnsi="Times New Roman" w:cs="Times New Roman"/>
        </w:rPr>
        <w:t xml:space="preserve"> before an average was</w:t>
      </w:r>
      <w:r w:rsidR="008920DE">
        <w:rPr>
          <w:rFonts w:ascii="Times New Roman" w:hAnsi="Times New Roman" w:cs="Times New Roman"/>
        </w:rPr>
        <w:t xml:space="preserve"> calculated as the final distance.</w:t>
      </w:r>
      <w:r w:rsidR="009635B0">
        <w:rPr>
          <w:rFonts w:ascii="Times New Roman" w:hAnsi="Times New Roman" w:cs="Times New Roman"/>
        </w:rPr>
        <w:t xml:space="preserve"> </w:t>
      </w:r>
      <w:r w:rsidR="00F5480D">
        <w:rPr>
          <w:rFonts w:ascii="Times New Roman" w:hAnsi="Times New Roman" w:cs="Times New Roman"/>
        </w:rPr>
        <w:t xml:space="preserve">As seen in Figure [], the averaged Levenshtein distance from the top institution </w:t>
      </w:r>
      <w:r w:rsidR="005F0437">
        <w:rPr>
          <w:rFonts w:ascii="Times New Roman" w:hAnsi="Times New Roman" w:cs="Times New Roman"/>
        </w:rPr>
        <w:t>to</w:t>
      </w:r>
      <w:r w:rsidR="00AE3A2E">
        <w:rPr>
          <w:rFonts w:ascii="Times New Roman" w:hAnsi="Times New Roman" w:cs="Times New Roman"/>
        </w:rPr>
        <w:t xml:space="preserve"> every other institution was</w:t>
      </w:r>
      <w:r w:rsidR="005F0437">
        <w:rPr>
          <w:rFonts w:ascii="Times New Roman" w:hAnsi="Times New Roman" w:cs="Times New Roman"/>
        </w:rPr>
        <w:t xml:space="preserve"> consistent</w:t>
      </w:r>
      <w:r w:rsidR="00322758">
        <w:rPr>
          <w:rFonts w:ascii="Times New Roman" w:hAnsi="Times New Roman" w:cs="Times New Roman"/>
        </w:rPr>
        <w:t xml:space="preserve"> regardless of the scores</w:t>
      </w:r>
      <w:r w:rsidR="001B62ED">
        <w:rPr>
          <w:rFonts w:ascii="Times New Roman" w:hAnsi="Times New Roman" w:cs="Times New Roman"/>
        </w:rPr>
        <w:t>.</w:t>
      </w:r>
      <w:r w:rsidR="005F0437">
        <w:rPr>
          <w:rFonts w:ascii="Times New Roman" w:hAnsi="Times New Roman" w:cs="Times New Roman"/>
        </w:rPr>
        <w:t xml:space="preserve"> </w:t>
      </w:r>
      <w:r w:rsidR="001B62ED">
        <w:rPr>
          <w:rFonts w:ascii="Times New Roman" w:hAnsi="Times New Roman" w:cs="Times New Roman"/>
        </w:rPr>
        <w:t>I</w:t>
      </w:r>
      <w:r w:rsidR="00AE3A2E">
        <w:rPr>
          <w:rFonts w:ascii="Times New Roman" w:hAnsi="Times New Roman" w:cs="Times New Roman"/>
        </w:rPr>
        <w:t>t was</w:t>
      </w:r>
      <w:r w:rsidR="001B62ED">
        <w:rPr>
          <w:rFonts w:ascii="Times New Roman" w:hAnsi="Times New Roman" w:cs="Times New Roman"/>
        </w:rPr>
        <w:t xml:space="preserve"> therefore questionable whether the additional information written by the top university could be served as gold standard; and even if it could, whether the edit distance between two strings of roughly 100-word long would be a suitable measure – for example, since </w:t>
      </w:r>
      <w:r w:rsidR="00AE3A2E">
        <w:rPr>
          <w:rFonts w:ascii="Times New Roman" w:hAnsi="Times New Roman" w:cs="Times New Roman"/>
        </w:rPr>
        <w:t>the characters in strings were</w:t>
      </w:r>
      <w:r w:rsidR="001B62ED">
        <w:rPr>
          <w:rFonts w:ascii="Times New Roman" w:hAnsi="Times New Roman" w:cs="Times New Roman"/>
        </w:rPr>
        <w:t xml:space="preserve"> compared in order, reversing the order of two words would give rise to a large Levenshtein difference</w:t>
      </w:r>
      <w:r w:rsidR="00F5480D">
        <w:rPr>
          <w:rFonts w:ascii="Times New Roman" w:hAnsi="Times New Roman" w:cs="Times New Roman"/>
        </w:rPr>
        <w:t>.</w:t>
      </w:r>
      <w:r w:rsidR="00A04694">
        <w:rPr>
          <w:rFonts w:ascii="Times New Roman" w:hAnsi="Times New Roman" w:cs="Times New Roman"/>
        </w:rPr>
        <w:t xml:space="preserve"> </w:t>
      </w:r>
      <w:r w:rsidR="00AE3A2E">
        <w:rPr>
          <w:rFonts w:ascii="Times New Roman" w:hAnsi="Times New Roman" w:cs="Times New Roman"/>
        </w:rPr>
        <w:t>Althernative approach</w:t>
      </w:r>
      <w:r w:rsidR="00AA41DB">
        <w:rPr>
          <w:rFonts w:ascii="Times New Roman" w:hAnsi="Times New Roman" w:cs="Times New Roman"/>
        </w:rPr>
        <w:t>es</w:t>
      </w:r>
      <w:r w:rsidR="00AE3A2E">
        <w:rPr>
          <w:rFonts w:ascii="Times New Roman" w:hAnsi="Times New Roman" w:cs="Times New Roman"/>
        </w:rPr>
        <w:t xml:space="preserve"> needed to be exploered.</w:t>
      </w:r>
    </w:p>
    <w:p w:rsidR="005746DD" w:rsidRDefault="00C908CF">
      <w:pPr>
        <w:rPr>
          <w:rFonts w:ascii="Times New Roman" w:hAnsi="Times New Roman" w:cs="Times New Roman"/>
        </w:rPr>
      </w:pPr>
      <w:r>
        <w:rPr>
          <w:rFonts w:ascii="Times New Roman" w:hAnsi="Times New Roman" w:cs="Times New Roman"/>
        </w:rPr>
        <w:t>[Figure of Levenshtein distance vs overall</w:t>
      </w:r>
      <w:r w:rsidR="008C0049">
        <w:rPr>
          <w:rFonts w:ascii="Times New Roman" w:hAnsi="Times New Roman" w:cs="Times New Roman"/>
        </w:rPr>
        <w:t xml:space="preserve"> </w:t>
      </w:r>
      <w:r>
        <w:rPr>
          <w:rFonts w:ascii="Times New Roman" w:hAnsi="Times New Roman" w:cs="Times New Roman"/>
        </w:rPr>
        <w:t>&amp;</w:t>
      </w:r>
      <w:r w:rsidR="008C0049">
        <w:rPr>
          <w:rFonts w:ascii="Times New Roman" w:hAnsi="Times New Roman" w:cs="Times New Roman"/>
        </w:rPr>
        <w:t xml:space="preserve"> </w:t>
      </w:r>
      <w:r>
        <w:rPr>
          <w:rFonts w:ascii="Times New Roman" w:hAnsi="Times New Roman" w:cs="Times New Roman"/>
        </w:rPr>
        <w:t>output 4* scores</w:t>
      </w:r>
      <w:r w:rsidR="00B66C34">
        <w:rPr>
          <w:rFonts w:ascii="Times New Roman" w:hAnsi="Times New Roman" w:cs="Times New Roman"/>
        </w:rPr>
        <w:t xml:space="preserve"> – UOA12</w:t>
      </w:r>
      <w:r>
        <w:rPr>
          <w:rFonts w:ascii="Times New Roman" w:hAnsi="Times New Roman" w:cs="Times New Roman"/>
        </w:rPr>
        <w:t>]</w:t>
      </w:r>
    </w:p>
    <w:p w:rsidR="00B66C34" w:rsidRDefault="00B66C34">
      <w:pPr>
        <w:rPr>
          <w:rFonts w:ascii="Times New Roman" w:hAnsi="Times New Roman" w:cs="Times New Roman"/>
        </w:rPr>
      </w:pPr>
      <w:r>
        <w:rPr>
          <w:rFonts w:ascii="Times New Roman" w:hAnsi="Times New Roman" w:cs="Times New Roman"/>
        </w:rPr>
        <w:t>[Figure of unusual word count vs overall &amp; output 4* scores – UOA12]</w:t>
      </w:r>
    </w:p>
    <w:p w:rsidR="00246B43" w:rsidRDefault="001074A2">
      <w:pPr>
        <w:rPr>
          <w:rFonts w:ascii="Times New Roman" w:hAnsi="Times New Roman" w:cs="Times New Roman"/>
        </w:rPr>
      </w:pPr>
      <w:r>
        <w:rPr>
          <w:rFonts w:ascii="Times New Roman" w:hAnsi="Times New Roman" w:cs="Times New Roman"/>
        </w:rPr>
        <w:t>TFIDF, short for term frequency-inverse document frequency, provides a numerical measure to how important a word is in a collection of documents.</w:t>
      </w:r>
      <w:r w:rsidR="005F0351">
        <w:rPr>
          <w:rFonts w:ascii="Times New Roman" w:hAnsi="Times New Roman" w:cs="Times New Roman"/>
        </w:rPr>
        <w:t xml:space="preserve"> The idea is to </w:t>
      </w:r>
      <w:r w:rsidR="00445443">
        <w:rPr>
          <w:rFonts w:ascii="Times New Roman" w:hAnsi="Times New Roman" w:cs="Times New Roman"/>
        </w:rPr>
        <w:t>find a word that appears commonly</w:t>
      </w:r>
      <w:r w:rsidR="005F0351">
        <w:rPr>
          <w:rFonts w:ascii="Times New Roman" w:hAnsi="Times New Roman" w:cs="Times New Roman"/>
        </w:rPr>
        <w:t xml:space="preserve"> in a particular document (high TF) but not often mentioned in other documents of the collection (high IDF), by assigning a weighting factor to each word as a product of TF and IDF</w:t>
      </w:r>
      <w:sdt>
        <w:sdtPr>
          <w:rPr>
            <w:rFonts w:ascii="Times New Roman" w:hAnsi="Times New Roman" w:cs="Times New Roman"/>
          </w:rPr>
          <w:id w:val="372742623"/>
          <w:citation/>
        </w:sdtPr>
        <w:sdtContent>
          <w:r w:rsidR="006E56EF">
            <w:rPr>
              <w:rFonts w:ascii="Times New Roman" w:hAnsi="Times New Roman" w:cs="Times New Roman"/>
            </w:rPr>
            <w:fldChar w:fldCharType="begin"/>
          </w:r>
          <w:r w:rsidR="006E56EF">
            <w:rPr>
              <w:rFonts w:ascii="Times New Roman" w:hAnsi="Times New Roman" w:cs="Times New Roman"/>
            </w:rPr>
            <w:instrText xml:space="preserve"> </w:instrText>
          </w:r>
          <w:r w:rsidR="006E56EF">
            <w:rPr>
              <w:rFonts w:ascii="Times New Roman" w:hAnsi="Times New Roman" w:cs="Times New Roman" w:hint="eastAsia"/>
            </w:rPr>
            <w:instrText>CITATION Raj11 \l 2052</w:instrText>
          </w:r>
          <w:r w:rsidR="006E56EF">
            <w:rPr>
              <w:rFonts w:ascii="Times New Roman" w:hAnsi="Times New Roman" w:cs="Times New Roman"/>
            </w:rPr>
            <w:instrText xml:space="preserve"> </w:instrText>
          </w:r>
          <w:r w:rsidR="006E56EF">
            <w:rPr>
              <w:rFonts w:ascii="Times New Roman" w:hAnsi="Times New Roman" w:cs="Times New Roman"/>
            </w:rPr>
            <w:fldChar w:fldCharType="separate"/>
          </w:r>
          <w:r w:rsidR="00EE347D">
            <w:rPr>
              <w:rFonts w:ascii="Times New Roman" w:hAnsi="Times New Roman" w:cs="Times New Roman" w:hint="eastAsia"/>
              <w:noProof/>
            </w:rPr>
            <w:t xml:space="preserve"> </w:t>
          </w:r>
          <w:r w:rsidR="00EE347D" w:rsidRPr="00EE347D">
            <w:rPr>
              <w:rFonts w:ascii="Times New Roman" w:hAnsi="Times New Roman" w:cs="Times New Roman"/>
              <w:noProof/>
            </w:rPr>
            <w:t>(Rajaraman &amp; Ullman, 2011)</w:t>
          </w:r>
          <w:r w:rsidR="006E56EF">
            <w:rPr>
              <w:rFonts w:ascii="Times New Roman" w:hAnsi="Times New Roman" w:cs="Times New Roman"/>
            </w:rPr>
            <w:fldChar w:fldCharType="end"/>
          </w:r>
        </w:sdtContent>
      </w:sdt>
      <w:r w:rsidR="005F0351">
        <w:rPr>
          <w:rFonts w:ascii="Times New Roman" w:hAnsi="Times New Roman" w:cs="Times New Roman"/>
        </w:rPr>
        <w:t>.</w:t>
      </w:r>
      <w:r w:rsidR="00C225A3">
        <w:rPr>
          <w:rFonts w:ascii="Times New Roman" w:hAnsi="Times New Roman" w:cs="Times New Roman"/>
        </w:rPr>
        <w:t xml:space="preserve"> </w:t>
      </w:r>
      <w:r w:rsidR="0082531F">
        <w:rPr>
          <w:rFonts w:ascii="Times New Roman" w:hAnsi="Times New Roman" w:cs="Times New Roman"/>
        </w:rPr>
        <w:t>‘Important’</w:t>
      </w:r>
      <w:r w:rsidR="00921779">
        <w:rPr>
          <w:rFonts w:ascii="Times New Roman" w:hAnsi="Times New Roman" w:cs="Times New Roman"/>
        </w:rPr>
        <w:t xml:space="preserve"> words</w:t>
      </w:r>
      <w:r w:rsidR="0082531F">
        <w:rPr>
          <w:rFonts w:ascii="Times New Roman" w:hAnsi="Times New Roman" w:cs="Times New Roman"/>
        </w:rPr>
        <w:t xml:space="preserve"> found with ‘high’ TFIDF values </w:t>
      </w:r>
      <w:r w:rsidR="00A70587">
        <w:rPr>
          <w:rFonts w:ascii="Times New Roman" w:hAnsi="Times New Roman" w:cs="Times New Roman"/>
        </w:rPr>
        <w:t>are</w:t>
      </w:r>
      <w:r w:rsidR="002229EB">
        <w:rPr>
          <w:rFonts w:ascii="Times New Roman" w:hAnsi="Times New Roman" w:cs="Times New Roman"/>
        </w:rPr>
        <w:t xml:space="preserve"> considered to characterize the topic of the document to which they belong,</w:t>
      </w:r>
      <w:r w:rsidR="00A70587">
        <w:rPr>
          <w:rFonts w:ascii="Times New Roman" w:hAnsi="Times New Roman" w:cs="Times New Roman"/>
        </w:rPr>
        <w:t xml:space="preserve"> it is</w:t>
      </w:r>
      <w:r w:rsidR="002229EB">
        <w:rPr>
          <w:rFonts w:ascii="Times New Roman" w:hAnsi="Times New Roman" w:cs="Times New Roman"/>
        </w:rPr>
        <w:t xml:space="preserve"> therefore hypothesized that </w:t>
      </w:r>
      <w:r w:rsidR="00A70587">
        <w:rPr>
          <w:rFonts w:ascii="Times New Roman" w:hAnsi="Times New Roman" w:cs="Times New Roman"/>
        </w:rPr>
        <w:t xml:space="preserve">the more ‘important’ words a </w:t>
      </w:r>
      <w:r w:rsidR="00A70587">
        <w:rPr>
          <w:rFonts w:ascii="Times New Roman" w:hAnsi="Times New Roman" w:cs="Times New Roman"/>
        </w:rPr>
        <w:lastRenderedPageBreak/>
        <w:t>document (additional information paragraph) has, the more ‘well-written’</w:t>
      </w:r>
      <w:r w:rsidR="00445443">
        <w:rPr>
          <w:rFonts w:ascii="Times New Roman" w:hAnsi="Times New Roman" w:cs="Times New Roman"/>
        </w:rPr>
        <w:t xml:space="preserve"> and informative</w:t>
      </w:r>
      <w:r w:rsidR="00A70587">
        <w:rPr>
          <w:rFonts w:ascii="Times New Roman" w:hAnsi="Times New Roman" w:cs="Times New Roman"/>
        </w:rPr>
        <w:t xml:space="preserve"> the document is.</w:t>
      </w:r>
      <w:r w:rsidR="00445443">
        <w:rPr>
          <w:rFonts w:ascii="Times New Roman" w:hAnsi="Times New Roman" w:cs="Times New Roman"/>
        </w:rPr>
        <w:t xml:space="preserve"> Given that the documents in this case </w:t>
      </w:r>
      <w:r w:rsidR="00554B8A">
        <w:rPr>
          <w:rFonts w:ascii="Times New Roman" w:hAnsi="Times New Roman" w:cs="Times New Roman"/>
        </w:rPr>
        <w:t>are</w:t>
      </w:r>
      <w:r w:rsidR="00445443">
        <w:rPr>
          <w:rFonts w:ascii="Times New Roman" w:hAnsi="Times New Roman" w:cs="Times New Roman"/>
        </w:rPr>
        <w:t xml:space="preserve"> p</w:t>
      </w:r>
      <w:r w:rsidR="00377A11">
        <w:rPr>
          <w:rFonts w:ascii="Times New Roman" w:hAnsi="Times New Roman" w:cs="Times New Roman"/>
        </w:rPr>
        <w:t xml:space="preserve">aragraphs of 100-words, </w:t>
      </w:r>
      <w:r w:rsidR="00445443">
        <w:rPr>
          <w:rFonts w:ascii="Times New Roman" w:hAnsi="Times New Roman" w:cs="Times New Roman"/>
        </w:rPr>
        <w:t>to cover the broad range of topics</w:t>
      </w:r>
      <w:r w:rsidR="00377A11">
        <w:rPr>
          <w:rFonts w:ascii="Times New Roman" w:hAnsi="Times New Roman" w:cs="Times New Roman"/>
        </w:rPr>
        <w:t xml:space="preserve"> in which</w:t>
      </w:r>
      <w:r w:rsidR="00445443">
        <w:rPr>
          <w:rFonts w:ascii="Times New Roman" w:hAnsi="Times New Roman" w:cs="Times New Roman"/>
        </w:rPr>
        <w:t xml:space="preserve"> a research work </w:t>
      </w:r>
      <w:r w:rsidR="00554B8A">
        <w:rPr>
          <w:rFonts w:ascii="Times New Roman" w:hAnsi="Times New Roman" w:cs="Times New Roman"/>
        </w:rPr>
        <w:t>i</w:t>
      </w:r>
      <w:r w:rsidR="00377A11">
        <w:rPr>
          <w:rFonts w:ascii="Times New Roman" w:hAnsi="Times New Roman" w:cs="Times New Roman"/>
        </w:rPr>
        <w:t xml:space="preserve">s involved, the number of occurances of ‘important’ words in a document </w:t>
      </w:r>
      <w:r w:rsidR="00554B8A">
        <w:rPr>
          <w:rFonts w:ascii="Times New Roman" w:hAnsi="Times New Roman" w:cs="Times New Roman"/>
        </w:rPr>
        <w:t>is</w:t>
      </w:r>
      <w:r w:rsidR="00377A11">
        <w:rPr>
          <w:rFonts w:ascii="Times New Roman" w:hAnsi="Times New Roman" w:cs="Times New Roman"/>
        </w:rPr>
        <w:t xml:space="preserve"> expected to be small. The ‘important’</w:t>
      </w:r>
      <w:r w:rsidR="00554B8A">
        <w:rPr>
          <w:rFonts w:ascii="Times New Roman" w:hAnsi="Times New Roman" w:cs="Times New Roman"/>
        </w:rPr>
        <w:t xml:space="preserve"> words are</w:t>
      </w:r>
      <w:r w:rsidR="00377A11">
        <w:rPr>
          <w:rFonts w:ascii="Times New Roman" w:hAnsi="Times New Roman" w:cs="Times New Roman"/>
        </w:rPr>
        <w:t xml:space="preserve"> thus referred to ‘unusual’ words. </w:t>
      </w:r>
      <w:r w:rsidR="00B640ED">
        <w:rPr>
          <w:rFonts w:ascii="Times New Roman" w:hAnsi="Times New Roman" w:cs="Times New Roman"/>
        </w:rPr>
        <w:t xml:space="preserve">The </w:t>
      </w:r>
      <w:r w:rsidR="00445443">
        <w:rPr>
          <w:rFonts w:ascii="Times New Roman" w:hAnsi="Times New Roman" w:cs="Times New Roman"/>
        </w:rPr>
        <w:t>number of ‘unusual’ words</w:t>
      </w:r>
      <w:r w:rsidR="00B640ED">
        <w:rPr>
          <w:rFonts w:ascii="Times New Roman" w:hAnsi="Times New Roman" w:cs="Times New Roman"/>
        </w:rPr>
        <w:t xml:space="preserve"> in a document is counted as the number of </w:t>
      </w:r>
      <w:r w:rsidR="00554B8A">
        <w:rPr>
          <w:rFonts w:ascii="Times New Roman" w:hAnsi="Times New Roman" w:cs="Times New Roman"/>
        </w:rPr>
        <w:t>word</w:t>
      </w:r>
      <w:r w:rsidR="00B640ED">
        <w:rPr>
          <w:rFonts w:ascii="Times New Roman" w:hAnsi="Times New Roman" w:cs="Times New Roman"/>
        </w:rPr>
        <w:t>s with</w:t>
      </w:r>
      <w:r w:rsidR="00554B8A">
        <w:rPr>
          <w:rFonts w:ascii="Times New Roman" w:hAnsi="Times New Roman" w:cs="Times New Roman"/>
        </w:rPr>
        <w:t xml:space="preserve"> TFIDF value</w:t>
      </w:r>
      <w:r w:rsidR="00B640ED">
        <w:rPr>
          <w:rFonts w:ascii="Times New Roman" w:hAnsi="Times New Roman" w:cs="Times New Roman"/>
        </w:rPr>
        <w:t>s above a threshold</w:t>
      </w:r>
      <w:r w:rsidR="00554B8A">
        <w:rPr>
          <w:rFonts w:ascii="Times New Roman" w:hAnsi="Times New Roman" w:cs="Times New Roman"/>
        </w:rPr>
        <w:t xml:space="preserve">. </w:t>
      </w:r>
      <w:r w:rsidR="00742EB0">
        <w:rPr>
          <w:rFonts w:ascii="Times New Roman" w:hAnsi="Times New Roman" w:cs="Times New Roman"/>
        </w:rPr>
        <w:t>Detailed explanation in threshold determination would be included later on in this report. As compared to the Levenshtein approach, the TFIDF method allowed a more postive correlation to be drawn (Figure [])</w:t>
      </w:r>
      <w:r w:rsidR="00265AEB">
        <w:rPr>
          <w:rFonts w:ascii="Times New Roman" w:hAnsi="Times New Roman" w:cs="Times New Roman"/>
        </w:rPr>
        <w:t xml:space="preserve"> thus was chosen to carry out further analysis.</w:t>
      </w:r>
    </w:p>
    <w:p w:rsidR="00246B43" w:rsidRPr="00A9355F" w:rsidRDefault="00D74F38">
      <w:pPr>
        <w:rPr>
          <w:rFonts w:ascii="Times New Roman" w:hAnsi="Times New Roman" w:cs="Times New Roman"/>
          <w:b/>
        </w:rPr>
      </w:pPr>
      <w:r>
        <w:rPr>
          <w:rFonts w:ascii="Times New Roman" w:hAnsi="Times New Roman" w:cs="Times New Roman"/>
          <w:b/>
        </w:rPr>
        <w:t>Computing TFIDF</w:t>
      </w:r>
    </w:p>
    <w:p w:rsidR="00D74F38" w:rsidRDefault="00565343">
      <w:pPr>
        <w:rPr>
          <w:rFonts w:ascii="Times New Roman" w:hAnsi="Times New Roman" w:cs="Times New Roman"/>
        </w:rPr>
      </w:pPr>
      <w:r>
        <w:rPr>
          <w:rFonts w:ascii="Times New Roman" w:hAnsi="Times New Roman" w:cs="Times New Roman"/>
        </w:rPr>
        <w:t xml:space="preserve">One typical question for TFIDF is how to calculate TF and IDF. </w:t>
      </w:r>
      <w:r w:rsidR="00094C7B">
        <w:rPr>
          <w:rFonts w:ascii="Times New Roman" w:hAnsi="Times New Roman" w:cs="Times New Roman"/>
        </w:rPr>
        <w:t xml:space="preserve">It is easy to find standard formulae for such calculations in text books, however, adjustments are necessary for this specific application. </w:t>
      </w:r>
    </w:p>
    <w:p w:rsidR="00A9355F" w:rsidRDefault="00094C7B">
      <w:pPr>
        <w:rPr>
          <w:rFonts w:ascii="Times New Roman" w:hAnsi="Times New Roman" w:cs="Times New Roman"/>
          <w:noProof/>
        </w:rPr>
      </w:pPr>
      <w:r>
        <w:rPr>
          <w:rFonts w:ascii="Times New Roman" w:hAnsi="Times New Roman" w:cs="Times New Roman"/>
        </w:rPr>
        <w:t xml:space="preserve">According to </w:t>
      </w:r>
      <w:r>
        <w:rPr>
          <w:rFonts w:ascii="Times New Roman" w:hAnsi="Times New Roman" w:cs="Times New Roman"/>
          <w:noProof/>
        </w:rPr>
        <w:t>Rajaraman &amp; Ullman</w:t>
      </w:r>
      <w:r w:rsidRPr="00094C7B">
        <w:rPr>
          <w:rFonts w:ascii="Times New Roman" w:hAnsi="Times New Roman" w:cs="Times New Roman"/>
          <w:noProof/>
        </w:rPr>
        <w:t xml:space="preserve"> </w:t>
      </w:r>
      <w:r>
        <w:rPr>
          <w:rFonts w:ascii="Times New Roman" w:hAnsi="Times New Roman" w:cs="Times New Roman"/>
          <w:noProof/>
        </w:rPr>
        <w:t>(</w:t>
      </w:r>
      <w:r w:rsidRPr="00094C7B">
        <w:rPr>
          <w:rFonts w:ascii="Times New Roman" w:hAnsi="Times New Roman" w:cs="Times New Roman"/>
          <w:noProof/>
        </w:rPr>
        <w:t>2011)</w:t>
      </w:r>
      <w:r>
        <w:rPr>
          <w:rFonts w:ascii="Times New Roman" w:hAnsi="Times New Roman" w:cs="Times New Roman"/>
          <w:noProof/>
        </w:rPr>
        <w:t>, TF and IDF are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F72927" w:rsidRPr="00994D40" w:rsidTr="00F72927">
        <w:tc>
          <w:tcPr>
            <w:tcW w:w="704" w:type="dxa"/>
            <w:vAlign w:val="center"/>
          </w:tcPr>
          <w:p w:rsidR="00F72927" w:rsidRPr="00994D40" w:rsidRDefault="00F72927" w:rsidP="00994D40">
            <w:pPr>
              <w:jc w:val="center"/>
              <w:rPr>
                <w:sz w:val="22"/>
                <w:szCs w:val="22"/>
              </w:rPr>
            </w:pPr>
          </w:p>
        </w:tc>
        <w:tc>
          <w:tcPr>
            <w:tcW w:w="7513" w:type="dxa"/>
            <w:vAlign w:val="center"/>
          </w:tcPr>
          <w:p w:rsidR="00F72927" w:rsidRPr="00AD7177" w:rsidRDefault="00AD7177" w:rsidP="00F72927">
            <w:pPr>
              <w:jc w:val="center"/>
              <w:rPr>
                <w:i/>
              </w:rPr>
            </w:pPr>
            <m:oMathPara>
              <m:oMath>
                <m:sSub>
                  <m:sSubPr>
                    <m:ctrlPr>
                      <w:rPr>
                        <w:rFonts w:ascii="Cambria Math" w:hAnsi="Cambria Math"/>
                        <w:i/>
                      </w:rPr>
                    </m:ctrlPr>
                  </m:sSubPr>
                  <m:e>
                    <m:r>
                      <w:rPr>
                        <w:rFonts w:ascii="Cambria Math" w:hAnsi="Cambria Math"/>
                        <w:sz w:val="22"/>
                        <w:szCs w:val="22"/>
                      </w:rPr>
                      <m:t>TF</m:t>
                    </m:r>
                  </m:e>
                  <m:sub>
                    <m:r>
                      <w:rPr>
                        <w:rFonts w:ascii="Cambria Math" w:hAnsi="Cambria Math"/>
                        <w:sz w:val="22"/>
                        <w:szCs w:val="22"/>
                      </w:rPr>
                      <m:t>ij</m:t>
                    </m:r>
                  </m:sub>
                </m:sSub>
                <m:r>
                  <w:rPr>
                    <w:rFonts w:ascii="Cambria Math" w:hAnsi="Cambria Math"/>
                    <w:sz w:val="22"/>
                    <w:szCs w:val="22"/>
                  </w:rPr>
                  <m:t>=</m:t>
                </m:r>
                <m:f>
                  <m:fPr>
                    <m:ctrlPr>
                      <w:rPr>
                        <w:rFonts w:ascii="Cambria Math" w:hAnsi="Cambria Math"/>
                        <w:i/>
                      </w:rPr>
                    </m:ctrlPr>
                  </m:fPr>
                  <m:num>
                    <m:sSub>
                      <m:sSubPr>
                        <m:ctrlPr>
                          <w:rPr>
                            <w:rFonts w:ascii="Cambria Math" w:hAnsi="Cambria Math"/>
                            <w:i/>
                          </w:rPr>
                        </m:ctrlPr>
                      </m:sSubPr>
                      <m:e>
                        <m:r>
                          <w:rPr>
                            <w:rFonts w:ascii="Cambria Math" w:hAnsi="Cambria Math"/>
                            <w:sz w:val="22"/>
                            <w:szCs w:val="22"/>
                          </w:rPr>
                          <m:t>f</m:t>
                        </m:r>
                      </m:e>
                      <m:sub>
                        <m:r>
                          <w:rPr>
                            <w:rFonts w:ascii="Cambria Math" w:hAnsi="Cambria Math"/>
                          </w:rPr>
                          <m:t>ij</m:t>
                        </m:r>
                      </m:sub>
                    </m:sSub>
                  </m:num>
                  <m:den>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f</m:t>
                            </m:r>
                          </m:e>
                          <m:sub>
                            <m:r>
                              <w:rPr>
                                <w:rFonts w:ascii="Cambria Math" w:hAnsi="Cambria Math"/>
                              </w:rPr>
                              <m:t>kj</m:t>
                            </m:r>
                          </m:sub>
                        </m:sSub>
                      </m:e>
                    </m:func>
                  </m:den>
                </m:f>
              </m:oMath>
            </m:oMathPara>
          </w:p>
        </w:tc>
        <w:tc>
          <w:tcPr>
            <w:tcW w:w="799" w:type="dxa"/>
            <w:vAlign w:val="center"/>
          </w:tcPr>
          <w:p w:rsidR="00F72927" w:rsidRPr="00994D40" w:rsidRDefault="00F72927" w:rsidP="00994D40">
            <w:pPr>
              <w:jc w:val="center"/>
              <w:rPr>
                <w:sz w:val="22"/>
                <w:szCs w:val="22"/>
              </w:rPr>
            </w:pPr>
            <w:r w:rsidRPr="00994D40">
              <w:rPr>
                <w:sz w:val="22"/>
                <w:szCs w:val="22"/>
              </w:rPr>
              <w:t>(</w:t>
            </w:r>
            <w:r w:rsidRPr="00994D40">
              <w:rPr>
                <w:sz w:val="22"/>
                <w:szCs w:val="22"/>
              </w:rPr>
              <w:fldChar w:fldCharType="begin"/>
            </w:r>
            <w:r w:rsidRPr="00994D40">
              <w:rPr>
                <w:sz w:val="22"/>
                <w:szCs w:val="22"/>
              </w:rPr>
              <w:instrText xml:space="preserve"> SEQ ARABIC  \* MERGEFORMAT </w:instrText>
            </w:r>
            <w:r w:rsidRPr="00994D40">
              <w:rPr>
                <w:sz w:val="22"/>
                <w:szCs w:val="22"/>
              </w:rPr>
              <w:fldChar w:fldCharType="separate"/>
            </w:r>
            <w:r>
              <w:rPr>
                <w:noProof/>
              </w:rPr>
              <w:t>1</w:t>
            </w:r>
            <w:r w:rsidRPr="00994D40">
              <w:rPr>
                <w:sz w:val="22"/>
                <w:szCs w:val="22"/>
              </w:rPr>
              <w:fldChar w:fldCharType="end"/>
            </w:r>
            <w:r w:rsidRPr="00994D40">
              <w:rPr>
                <w:sz w:val="22"/>
                <w:szCs w:val="22"/>
              </w:rPr>
              <w:t>)</w:t>
            </w:r>
          </w:p>
        </w:tc>
      </w:tr>
      <w:tr w:rsidR="00F72927" w:rsidRPr="00994D40" w:rsidTr="00F72927">
        <w:tc>
          <w:tcPr>
            <w:tcW w:w="704" w:type="dxa"/>
            <w:vAlign w:val="center"/>
          </w:tcPr>
          <w:p w:rsidR="00F72927" w:rsidRPr="00994D40" w:rsidRDefault="00F72927" w:rsidP="00292ADD">
            <w:pPr>
              <w:jc w:val="center"/>
              <w:rPr>
                <w:sz w:val="22"/>
                <w:szCs w:val="22"/>
              </w:rPr>
            </w:pPr>
          </w:p>
        </w:tc>
        <w:tc>
          <w:tcPr>
            <w:tcW w:w="7513" w:type="dxa"/>
            <w:vAlign w:val="center"/>
          </w:tcPr>
          <w:p w:rsidR="00F72927" w:rsidRPr="00AD7177" w:rsidRDefault="00AD7177" w:rsidP="00292ADD">
            <w:pPr>
              <w:jc w:val="center"/>
              <w:rPr>
                <w:i/>
                <w:sz w:val="22"/>
                <w:szCs w:val="22"/>
              </w:rPr>
            </w:pPr>
            <m:oMathPara>
              <m:oMath>
                <m:sSub>
                  <m:sSubPr>
                    <m:ctrlPr>
                      <w:rPr>
                        <w:rFonts w:ascii="Cambria Math" w:hAnsi="Cambria Math"/>
                        <w:i/>
                      </w:rPr>
                    </m:ctrlPr>
                  </m:sSubPr>
                  <m:e>
                    <m:r>
                      <w:rPr>
                        <w:rFonts w:ascii="Cambria Math" w:hAnsi="Cambria Math"/>
                        <w:sz w:val="22"/>
                        <w:szCs w:val="22"/>
                      </w:rPr>
                      <m:t>IDF</m:t>
                    </m:r>
                  </m:e>
                  <m:sub>
                    <m:r>
                      <w:rPr>
                        <w:rFonts w:ascii="Cambria Math" w:hAnsi="Cambria Math"/>
                        <w:sz w:val="22"/>
                        <w:szCs w:val="22"/>
                      </w:rPr>
                      <m:t>i</m:t>
                    </m:r>
                  </m:sub>
                </m:sSub>
                <m:r>
                  <w:rPr>
                    <w:rFonts w:ascii="Cambria Math" w:hAnsi="Cambria Math"/>
                    <w:sz w:val="22"/>
                    <w:szCs w:val="22"/>
                  </w:rPr>
                  <m:t>=log⁡</m:t>
                </m:r>
                <m:f>
                  <m:fPr>
                    <m:ctrlPr>
                      <w:rPr>
                        <w:rFonts w:ascii="Cambria Math" w:hAnsi="Cambria Math"/>
                        <w:i/>
                      </w:rPr>
                    </m:ctrlPr>
                  </m:fPr>
                  <m:num>
                    <m:r>
                      <w:rPr>
                        <w:rFonts w:ascii="Cambria Math" w:hAnsi="Cambria Math"/>
                        <w:sz w:val="22"/>
                        <w:szCs w:val="22"/>
                      </w:rPr>
                      <m:t>N</m:t>
                    </m:r>
                  </m:num>
                  <m:den>
                    <m:sSub>
                      <m:sSubPr>
                        <m:ctrlPr>
                          <w:rPr>
                            <w:rFonts w:ascii="Cambria Math" w:hAnsi="Cambria Math"/>
                            <w:i/>
                          </w:rPr>
                        </m:ctrlPr>
                      </m:sSubPr>
                      <m:e>
                        <m:r>
                          <w:rPr>
                            <w:rFonts w:ascii="Cambria Math" w:hAnsi="Cambria Math"/>
                            <w:sz w:val="22"/>
                            <w:szCs w:val="22"/>
                          </w:rPr>
                          <m:t>n</m:t>
                        </m:r>
                      </m:e>
                      <m:sub>
                        <m:r>
                          <w:rPr>
                            <w:rFonts w:ascii="Cambria Math" w:hAnsi="Cambria Math"/>
                            <w:sz w:val="22"/>
                            <w:szCs w:val="22"/>
                          </w:rPr>
                          <m:t>i</m:t>
                        </m:r>
                      </m:sub>
                    </m:sSub>
                  </m:den>
                </m:f>
              </m:oMath>
            </m:oMathPara>
          </w:p>
        </w:tc>
        <w:tc>
          <w:tcPr>
            <w:tcW w:w="799" w:type="dxa"/>
            <w:vAlign w:val="center"/>
          </w:tcPr>
          <w:p w:rsidR="00F72927" w:rsidRPr="00994D40" w:rsidRDefault="00F72927" w:rsidP="00292ADD">
            <w:pPr>
              <w:jc w:val="center"/>
              <w:rPr>
                <w:sz w:val="22"/>
                <w:szCs w:val="22"/>
              </w:rPr>
            </w:pPr>
            <w:r w:rsidRPr="00994D40">
              <w:rPr>
                <w:sz w:val="22"/>
                <w:szCs w:val="22"/>
              </w:rPr>
              <w:t>(</w:t>
            </w:r>
            <w:r w:rsidRPr="00994D40">
              <w:rPr>
                <w:sz w:val="22"/>
                <w:szCs w:val="22"/>
              </w:rPr>
              <w:fldChar w:fldCharType="begin"/>
            </w:r>
            <w:r w:rsidRPr="00994D40">
              <w:rPr>
                <w:sz w:val="22"/>
                <w:szCs w:val="22"/>
              </w:rPr>
              <w:instrText xml:space="preserve"> SEQ ARABIC  \* MERGEFORMAT </w:instrText>
            </w:r>
            <w:r w:rsidRPr="00994D40">
              <w:rPr>
                <w:sz w:val="22"/>
                <w:szCs w:val="22"/>
              </w:rPr>
              <w:fldChar w:fldCharType="separate"/>
            </w:r>
            <w:r w:rsidRPr="00F72927">
              <w:rPr>
                <w:noProof/>
              </w:rPr>
              <w:t>2</w:t>
            </w:r>
            <w:r w:rsidRPr="00994D40">
              <w:rPr>
                <w:sz w:val="22"/>
                <w:szCs w:val="22"/>
              </w:rPr>
              <w:fldChar w:fldCharType="end"/>
            </w:r>
            <w:r w:rsidRPr="00994D40">
              <w:rPr>
                <w:sz w:val="22"/>
                <w:szCs w:val="22"/>
              </w:rPr>
              <w:t>)</w:t>
            </w:r>
          </w:p>
        </w:tc>
      </w:tr>
    </w:tbl>
    <w:p w:rsidR="00F72927" w:rsidRDefault="00F72927">
      <w:pPr>
        <w:rPr>
          <w:rFonts w:ascii="Times New Roman" w:hAnsi="Times New Roman" w:cs="Times New Roman"/>
          <w:lang w:eastAsia="en-GB"/>
        </w:rPr>
      </w:pPr>
      <w:r>
        <w:rPr>
          <w:rFonts w:ascii="Times New Roman" w:hAnsi="Times New Roman" w:cs="Times New Roman"/>
        </w:rPr>
        <w:t xml:space="preserve">where </w:t>
      </w:r>
      <w:r w:rsidR="00467805">
        <w:rPr>
          <w:rFonts w:ascii="Times New Roman" w:hAnsi="Times New Roman" w:cs="Times New Roman"/>
        </w:rPr>
        <w:t xml:space="preserve">the term frequency of </w:t>
      </w:r>
      <w:r w:rsidR="00467805">
        <w:rPr>
          <w:rFonts w:ascii="Times New Roman" w:hAnsi="Times New Roman" w:cs="Times New Roman"/>
        </w:rPr>
        <w:t xml:space="preserve">a word </w:t>
      </w:r>
      <m:oMath>
        <m:r>
          <w:rPr>
            <w:rFonts w:ascii="Cambria Math" w:hAnsi="Cambria Math" w:cs="Times New Roman"/>
          </w:rPr>
          <m:t>i</m:t>
        </m:r>
      </m:oMath>
      <w:r w:rsidR="00467805">
        <w:rPr>
          <w:rFonts w:ascii="Times New Roman" w:hAnsi="Times New Roman" w:cs="Times New Roman"/>
        </w:rPr>
        <w:t xml:space="preserve"> in document </w:t>
      </w:r>
      <m:oMath>
        <m:r>
          <w:rPr>
            <w:rFonts w:ascii="Cambria Math" w:hAnsi="Cambria Math" w:cs="Times New Roman"/>
          </w:rPr>
          <m:t>j</m:t>
        </m:r>
      </m:oMath>
      <w:r w:rsidR="00467805">
        <w:rPr>
          <w:rFonts w:ascii="Times New Roman" w:hAnsi="Times New Roman" w:cs="Times New Roman"/>
        </w:rPr>
        <w:t xml:space="preserve"> (</w:t>
      </w:r>
      <m:oMath>
        <m:sSub>
          <m:sSubPr>
            <m:ctrlPr>
              <w:rPr>
                <w:rFonts w:ascii="Cambria Math" w:eastAsia="Times New Roman" w:hAnsi="Cambria Math" w:cs="Times New Roman"/>
                <w:i/>
                <w:lang w:eastAsia="en-GB"/>
              </w:rPr>
            </m:ctrlPr>
          </m:sSubPr>
          <m:e>
            <m:r>
              <w:rPr>
                <w:rFonts w:ascii="Cambria Math" w:hAnsi="Cambria Math"/>
              </w:rPr>
              <m:t>TF</m:t>
            </m:r>
            <m:ctrlPr>
              <w:rPr>
                <w:rFonts w:ascii="Cambria Math" w:hAnsi="Cambria Math"/>
                <w:i/>
              </w:rPr>
            </m:ctrlPr>
          </m:e>
          <m:sub>
            <m:r>
              <w:rPr>
                <w:rFonts w:ascii="Cambria Math" w:hAnsi="Cambria Math"/>
              </w:rPr>
              <m:t>ij</m:t>
            </m:r>
          </m:sub>
        </m:sSub>
      </m:oMath>
      <w:r w:rsidR="00467805">
        <w:rPr>
          <w:rFonts w:ascii="Times New Roman" w:hAnsi="Times New Roman" w:cs="Times New Roman"/>
        </w:rPr>
        <w:t xml:space="preserve">) is </w:t>
      </w:r>
      <w:r w:rsidR="00467805">
        <w:rPr>
          <w:rFonts w:ascii="Times New Roman" w:hAnsi="Times New Roman" w:cs="Times New Roman"/>
        </w:rPr>
        <w:t xml:space="preserve">the number of occurrences of a word </w:t>
      </w:r>
      <m:oMath>
        <m:r>
          <w:rPr>
            <w:rFonts w:ascii="Cambria Math" w:hAnsi="Cambria Math" w:cs="Times New Roman"/>
          </w:rPr>
          <m:t>i</m:t>
        </m:r>
      </m:oMath>
      <w:r w:rsidR="00467805">
        <w:rPr>
          <w:rFonts w:ascii="Times New Roman" w:hAnsi="Times New Roman" w:cs="Times New Roman"/>
        </w:rPr>
        <w:t xml:space="preserve"> in document </w:t>
      </w:r>
      <m:oMath>
        <m:r>
          <w:rPr>
            <w:rFonts w:ascii="Cambria Math" w:hAnsi="Cambria Math" w:cs="Times New Roman"/>
          </w:rPr>
          <m:t>j</m:t>
        </m:r>
      </m:oMath>
      <w:r w:rsidR="0046780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oMath>
      <w:r w:rsidR="00467805">
        <w:rPr>
          <w:rFonts w:ascii="Times New Roman" w:hAnsi="Times New Roman" w:cs="Times New Roman"/>
        </w:rPr>
        <w:t xml:space="preserve">) normalised by </w:t>
      </w:r>
      <w:r w:rsidR="00467805">
        <w:rPr>
          <w:rFonts w:ascii="Times New Roman" w:hAnsi="Times New Roman" w:cs="Times New Roman"/>
        </w:rPr>
        <w:t xml:space="preserve">the maximum number of occurrences of any word </w:t>
      </w:r>
      <m:oMath>
        <m:r>
          <w:rPr>
            <w:rFonts w:ascii="Cambria Math" w:hAnsi="Cambria Math" w:cs="Times New Roman"/>
          </w:rPr>
          <m:t>k</m:t>
        </m:r>
      </m:oMath>
      <w:r w:rsidR="00467805">
        <w:rPr>
          <w:rFonts w:ascii="Times New Roman" w:hAnsi="Times New Roman" w:cs="Times New Roman"/>
        </w:rPr>
        <w:t xml:space="preserve"> in</w:t>
      </w:r>
      <w:r w:rsidR="00467805">
        <w:rPr>
          <w:rFonts w:ascii="Times New Roman" w:hAnsi="Times New Roman" w:cs="Times New Roman"/>
        </w:rPr>
        <w:t xml:space="preserve"> the</w:t>
      </w:r>
      <w:r w:rsidR="00467805">
        <w:rPr>
          <w:rFonts w:ascii="Times New Roman" w:hAnsi="Times New Roman" w:cs="Times New Roman"/>
        </w:rPr>
        <w:t xml:space="preserve"> </w:t>
      </w:r>
      <w:r w:rsidR="00467805">
        <w:rPr>
          <w:rFonts w:ascii="Times New Roman" w:hAnsi="Times New Roman" w:cs="Times New Roman"/>
        </w:rPr>
        <w:t>document (</w:t>
      </w:r>
      <m:oMath>
        <m:func>
          <m:funcPr>
            <m:ctrlPr>
              <w:rPr>
                <w:rFonts w:ascii="Cambria Math" w:eastAsia="Times New Roman" w:hAnsi="Cambria Math" w:cs="Times New Roman"/>
                <w:i/>
                <w:sz w:val="20"/>
                <w:szCs w:val="20"/>
                <w:lang w:eastAsia="en-GB"/>
              </w:rPr>
            </m:ctrlPr>
          </m:funcPr>
          <m:fName>
            <m:limLow>
              <m:limLowPr>
                <m:ctrlPr>
                  <w:rPr>
                    <w:rFonts w:ascii="Cambria Math" w:eastAsia="Times New Roman" w:hAnsi="Cambria Math" w:cs="Times New Roman"/>
                    <w:i/>
                    <w:sz w:val="20"/>
                    <w:szCs w:val="20"/>
                    <w:lang w:eastAsia="en-GB"/>
                  </w:rPr>
                </m:ctrlPr>
              </m:limLowPr>
              <m:e>
                <m:r>
                  <w:rPr>
                    <w:rFonts w:ascii="Cambria Math" w:hAnsi="Cambria Math"/>
                  </w:rPr>
                  <m:t>max</m:t>
                </m:r>
              </m:e>
              <m:lim>
                <m:r>
                  <w:rPr>
                    <w:rFonts w:ascii="Cambria Math" w:hAnsi="Cambria Math"/>
                  </w:rPr>
                  <m:t>k</m:t>
                </m:r>
              </m:lim>
            </m:limLow>
          </m:fName>
          <m:e>
            <m:sSub>
              <m:sSubPr>
                <m:ctrlPr>
                  <w:rPr>
                    <w:rFonts w:ascii="Cambria Math" w:eastAsia="Times New Roman" w:hAnsi="Cambria Math" w:cs="Times New Roman"/>
                    <w:i/>
                    <w:sz w:val="20"/>
                    <w:szCs w:val="20"/>
                    <w:lang w:eastAsia="en-GB"/>
                  </w:rPr>
                </m:ctrlPr>
              </m:sSubPr>
              <m:e>
                <m:r>
                  <w:rPr>
                    <w:rFonts w:ascii="Cambria Math" w:hAnsi="Cambria Math"/>
                  </w:rPr>
                  <m:t>f</m:t>
                </m:r>
                <m:ctrlPr>
                  <w:rPr>
                    <w:rFonts w:ascii="Cambria Math" w:hAnsi="Cambria Math"/>
                    <w:i/>
                  </w:rPr>
                </m:ctrlPr>
              </m:e>
              <m:sub>
                <m:r>
                  <w:rPr>
                    <w:rFonts w:ascii="Cambria Math" w:hAnsi="Cambria Math"/>
                  </w:rPr>
                  <m:t>kj</m:t>
                </m:r>
              </m:sub>
            </m:sSub>
            <m:ctrlPr>
              <w:rPr>
                <w:rFonts w:ascii="Cambria Math" w:hAnsi="Cambria Math"/>
                <w:i/>
              </w:rPr>
            </m:ctrlPr>
          </m:e>
        </m:func>
      </m:oMath>
      <w:r w:rsidR="00467805">
        <w:rPr>
          <w:rFonts w:ascii="Times New Roman" w:hAnsi="Times New Roman" w:cs="Times New Roman"/>
        </w:rPr>
        <w:t>)</w:t>
      </w:r>
      <w:r w:rsidR="00136B14">
        <w:rPr>
          <w:rFonts w:ascii="Times New Roman" w:hAnsi="Times New Roman" w:cs="Times New Roman"/>
        </w:rPr>
        <w:t xml:space="preserve">, and </w:t>
      </w:r>
      <m:oMath>
        <m:sSub>
          <m:sSubPr>
            <m:ctrlPr>
              <w:rPr>
                <w:rFonts w:ascii="Cambria Math" w:eastAsia="Times New Roman" w:hAnsi="Cambria Math" w:cs="Times New Roman"/>
                <w:i/>
                <w:lang w:eastAsia="en-GB"/>
              </w:rPr>
            </m:ctrlPr>
          </m:sSubPr>
          <m:e>
            <m:r>
              <w:rPr>
                <w:rFonts w:ascii="Cambria Math" w:hAnsi="Cambria Math"/>
              </w:rPr>
              <m:t>IDF</m:t>
            </m:r>
            <m:ctrlPr>
              <w:rPr>
                <w:rFonts w:ascii="Cambria Math" w:hAnsi="Cambria Math"/>
                <w:i/>
              </w:rPr>
            </m:ctrlPr>
          </m:e>
          <m:sub>
            <m:r>
              <w:rPr>
                <w:rFonts w:ascii="Cambria Math" w:hAnsi="Cambria Math"/>
              </w:rPr>
              <m:t>i</m:t>
            </m:r>
          </m:sub>
        </m:sSub>
      </m:oMath>
      <w:r w:rsidR="006D350D">
        <w:rPr>
          <w:rFonts w:ascii="Times New Roman" w:hAnsi="Times New Roman" w:cs="Times New Roman"/>
          <w:lang w:eastAsia="en-GB"/>
        </w:rPr>
        <w:t xml:space="preserve"> gives a measure for </w:t>
      </w:r>
      <w:r w:rsidR="006D350D">
        <w:rPr>
          <w:rFonts w:ascii="Times New Roman" w:hAnsi="Times New Roman" w:cs="Times New Roman"/>
        </w:rPr>
        <w:t xml:space="preserve">a word </w:t>
      </w:r>
      <m:oMath>
        <m:r>
          <w:rPr>
            <w:rFonts w:ascii="Cambria Math" w:hAnsi="Cambria Math" w:cs="Times New Roman"/>
          </w:rPr>
          <m:t>i</m:t>
        </m:r>
      </m:oMath>
      <w:r w:rsidR="006D350D">
        <w:rPr>
          <w:rFonts w:ascii="Times New Roman" w:hAnsi="Times New Roman" w:cs="Times New Roman"/>
        </w:rPr>
        <w:t xml:space="preserve"> appearing in </w:t>
      </w:r>
      <m:oMath>
        <m:sSub>
          <m:sSubPr>
            <m:ctrlPr>
              <w:rPr>
                <w:rFonts w:ascii="Cambria Math" w:eastAsia="Times New Roman" w:hAnsi="Cambria Math" w:cs="Times New Roman"/>
                <w:i/>
                <w:lang w:eastAsia="en-GB"/>
              </w:rPr>
            </m:ctrlPr>
          </m:sSubPr>
          <m:e>
            <m:r>
              <w:rPr>
                <w:rFonts w:ascii="Cambria Math" w:hAnsi="Cambria Math"/>
              </w:rPr>
              <m:t>n</m:t>
            </m:r>
          </m:e>
          <m:sub>
            <m:r>
              <w:rPr>
                <w:rFonts w:ascii="Cambria Math" w:hAnsi="Cambria Math"/>
              </w:rPr>
              <m:t>i</m:t>
            </m:r>
          </m:sub>
        </m:sSub>
      </m:oMath>
      <w:r w:rsidR="006D350D">
        <w:rPr>
          <w:rFonts w:ascii="Times New Roman" w:hAnsi="Times New Roman" w:cs="Times New Roman"/>
          <w:lang w:eastAsia="en-GB"/>
        </w:rPr>
        <w:t xml:space="preserve"> documents out of total number of documents </w:t>
      </w:r>
      <m:oMath>
        <m:r>
          <w:rPr>
            <w:rFonts w:ascii="Cambria Math" w:hAnsi="Cambria Math"/>
          </w:rPr>
          <m:t>N</m:t>
        </m:r>
      </m:oMath>
      <w:r w:rsidR="006D350D">
        <w:rPr>
          <w:rFonts w:ascii="Times New Roman" w:hAnsi="Times New Roman" w:cs="Times New Roman"/>
        </w:rPr>
        <w:t>.</w:t>
      </w:r>
      <w:r w:rsidR="00D74F38">
        <w:rPr>
          <w:rFonts w:ascii="Times New Roman" w:hAnsi="Times New Roman" w:cs="Times New Roman"/>
        </w:rPr>
        <w:t xml:space="preserve"> </w:t>
      </w:r>
      <m:oMath>
        <m:r>
          <w:rPr>
            <w:rFonts w:ascii="Cambria Math" w:hAnsi="Cambria Math" w:cs="Times New Roman"/>
          </w:rPr>
          <m:t>TFIDF</m:t>
        </m:r>
      </m:oMath>
      <w:r w:rsidR="00D74F38">
        <w:rPr>
          <w:rFonts w:ascii="Times New Roman" w:hAnsi="Times New Roman" w:cs="Times New Roman"/>
        </w:rPr>
        <w:t xml:space="preserve"> is therefore simply the product of </w:t>
      </w:r>
      <m:oMath>
        <m:sSub>
          <m:sSubPr>
            <m:ctrlPr>
              <w:rPr>
                <w:rFonts w:ascii="Cambria Math" w:eastAsia="Times New Roman" w:hAnsi="Cambria Math" w:cs="Times New Roman"/>
                <w:i/>
                <w:lang w:eastAsia="en-GB"/>
              </w:rPr>
            </m:ctrlPr>
          </m:sSubPr>
          <m:e>
            <m:r>
              <w:rPr>
                <w:rFonts w:ascii="Cambria Math" w:hAnsi="Cambria Math"/>
              </w:rPr>
              <m:t>TF</m:t>
            </m:r>
            <m:ctrlPr>
              <w:rPr>
                <w:rFonts w:ascii="Cambria Math" w:hAnsi="Cambria Math"/>
                <w:i/>
              </w:rPr>
            </m:ctrlPr>
          </m:e>
          <m:sub>
            <m:r>
              <w:rPr>
                <w:rFonts w:ascii="Cambria Math" w:hAnsi="Cambria Math"/>
              </w:rPr>
              <m:t>ij</m:t>
            </m:r>
          </m:sub>
        </m:sSub>
      </m:oMath>
      <w:r w:rsidR="00D74F38">
        <w:rPr>
          <w:rFonts w:ascii="Times New Roman" w:hAnsi="Times New Roman" w:cs="Times New Roman"/>
          <w:lang w:eastAsia="en-GB"/>
        </w:rPr>
        <w:t xml:space="preserve"> and </w:t>
      </w:r>
      <m:oMath>
        <m:sSub>
          <m:sSubPr>
            <m:ctrlPr>
              <w:rPr>
                <w:rFonts w:ascii="Cambria Math" w:eastAsia="Times New Roman" w:hAnsi="Cambria Math" w:cs="Times New Roman"/>
                <w:i/>
                <w:lang w:eastAsia="en-GB"/>
              </w:rPr>
            </m:ctrlPr>
          </m:sSubPr>
          <m:e>
            <m:r>
              <w:rPr>
                <w:rFonts w:ascii="Cambria Math" w:hAnsi="Cambria Math"/>
              </w:rPr>
              <m:t>IDF</m:t>
            </m:r>
            <m:ctrlPr>
              <w:rPr>
                <w:rFonts w:ascii="Cambria Math" w:hAnsi="Cambria Math"/>
                <w:i/>
              </w:rPr>
            </m:ctrlPr>
          </m:e>
          <m:sub>
            <m:r>
              <w:rPr>
                <w:rFonts w:ascii="Cambria Math" w:hAnsi="Cambria Math"/>
              </w:rPr>
              <m:t>i</m:t>
            </m:r>
          </m:sub>
        </m:sSub>
      </m:oMath>
      <w:r w:rsidR="00D74F38">
        <w:rPr>
          <w:rFonts w:ascii="Times New Roman" w:hAnsi="Times New Roman" w:cs="Times New Roman"/>
          <w:lang w:eastAsia="en-GB"/>
        </w:rPr>
        <w:t>.</w:t>
      </w:r>
      <w:r w:rsidR="00411E9B">
        <w:rPr>
          <w:rFonts w:ascii="Times New Roman" w:hAnsi="Times New Roman" w:cs="Times New Roman"/>
          <w:lang w:eastAsia="en-GB"/>
        </w:rPr>
        <w:t xml:space="preserve"> </w:t>
      </w:r>
    </w:p>
    <w:p w:rsidR="00064BCB" w:rsidRPr="00425B73" w:rsidRDefault="00064BCB">
      <w:pPr>
        <w:rPr>
          <w:rFonts w:ascii="Times New Roman" w:hAnsi="Times New Roman" w:cs="Times New Roman"/>
          <w:sz w:val="20"/>
          <w:szCs w:val="20"/>
          <w:lang w:eastAsia="en-GB"/>
        </w:rPr>
      </w:pPr>
      <w:r>
        <w:rPr>
          <w:rFonts w:ascii="Times New Roman" w:hAnsi="Times New Roman" w:cs="Times New Roman"/>
          <w:lang w:eastAsia="en-GB"/>
        </w:rPr>
        <w:t xml:space="preserve">The first adjustment was associated with the computation of </w:t>
      </w:r>
      <m:oMath>
        <m:sSub>
          <m:sSubPr>
            <m:ctrlPr>
              <w:rPr>
                <w:rFonts w:ascii="Cambria Math" w:eastAsia="Times New Roman" w:hAnsi="Cambria Math" w:cs="Times New Roman"/>
                <w:i/>
                <w:lang w:eastAsia="en-GB"/>
              </w:rPr>
            </m:ctrlPr>
          </m:sSubPr>
          <m:e>
            <m:r>
              <w:rPr>
                <w:rFonts w:ascii="Cambria Math" w:hAnsi="Cambria Math"/>
              </w:rPr>
              <m:t>TF</m:t>
            </m:r>
            <m:ctrlPr>
              <w:rPr>
                <w:rFonts w:ascii="Cambria Math" w:hAnsi="Cambria Math"/>
                <w:i/>
              </w:rPr>
            </m:ctrlPr>
          </m:e>
          <m:sub>
            <m:r>
              <w:rPr>
                <w:rFonts w:ascii="Cambria Math" w:hAnsi="Cambria Math"/>
              </w:rPr>
              <m:t>ij</m:t>
            </m:r>
          </m:sub>
        </m:sSub>
      </m:oMath>
      <w:r>
        <w:rPr>
          <w:rFonts w:ascii="Times New Roman" w:hAnsi="Times New Roman" w:cs="Times New Roman"/>
          <w:lang w:eastAsia="en-GB"/>
        </w:rPr>
        <w:t xml:space="preserve">. It was noticed that not every submission was provided with a solid paragraph of description as its additional information, some only had one generic sentence which was not considered very descriptive. In such cases, the value of </w:t>
      </w:r>
      <m:oMath>
        <m:func>
          <m:funcPr>
            <m:ctrlPr>
              <w:rPr>
                <w:rFonts w:ascii="Cambria Math" w:eastAsia="Times New Roman" w:hAnsi="Cambria Math" w:cs="Times New Roman"/>
                <w:i/>
                <w:sz w:val="20"/>
                <w:szCs w:val="20"/>
                <w:lang w:eastAsia="en-GB"/>
              </w:rPr>
            </m:ctrlPr>
          </m:funcPr>
          <m:fName>
            <m:limLow>
              <m:limLowPr>
                <m:ctrlPr>
                  <w:rPr>
                    <w:rFonts w:ascii="Cambria Math" w:eastAsia="Times New Roman" w:hAnsi="Cambria Math" w:cs="Times New Roman"/>
                    <w:i/>
                    <w:sz w:val="20"/>
                    <w:szCs w:val="20"/>
                    <w:lang w:eastAsia="en-GB"/>
                  </w:rPr>
                </m:ctrlPr>
              </m:limLowPr>
              <m:e>
                <m:r>
                  <w:rPr>
                    <w:rFonts w:ascii="Cambria Math" w:hAnsi="Cambria Math"/>
                  </w:rPr>
                  <m:t>max</m:t>
                </m:r>
              </m:e>
              <m:lim>
                <m:r>
                  <w:rPr>
                    <w:rFonts w:ascii="Cambria Math" w:hAnsi="Cambria Math"/>
                  </w:rPr>
                  <m:t>k</m:t>
                </m:r>
              </m:lim>
            </m:limLow>
          </m:fName>
          <m:e>
            <m:sSub>
              <m:sSubPr>
                <m:ctrlPr>
                  <w:rPr>
                    <w:rFonts w:ascii="Cambria Math" w:eastAsia="Times New Roman" w:hAnsi="Cambria Math" w:cs="Times New Roman"/>
                    <w:i/>
                    <w:sz w:val="20"/>
                    <w:szCs w:val="20"/>
                    <w:lang w:eastAsia="en-GB"/>
                  </w:rPr>
                </m:ctrlPr>
              </m:sSubPr>
              <m:e>
                <m:r>
                  <w:rPr>
                    <w:rFonts w:ascii="Cambria Math" w:hAnsi="Cambria Math"/>
                  </w:rPr>
                  <m:t>f</m:t>
                </m:r>
                <m:ctrlPr>
                  <w:rPr>
                    <w:rFonts w:ascii="Cambria Math" w:hAnsi="Cambria Math"/>
                    <w:i/>
                  </w:rPr>
                </m:ctrlPr>
              </m:e>
              <m:sub>
                <m:r>
                  <w:rPr>
                    <w:rFonts w:ascii="Cambria Math" w:hAnsi="Cambria Math"/>
                  </w:rPr>
                  <m:t>kj</m:t>
                </m:r>
              </m:sub>
            </m:sSub>
            <m:ctrlPr>
              <w:rPr>
                <w:rFonts w:ascii="Cambria Math" w:hAnsi="Cambria Math"/>
                <w:i/>
              </w:rPr>
            </m:ctrlPr>
          </m:e>
        </m:func>
      </m:oMath>
      <w:r>
        <w:rPr>
          <w:rFonts w:ascii="Times New Roman" w:hAnsi="Times New Roman" w:cs="Times New Roman"/>
        </w:rPr>
        <w:t xml:space="preserve"> would be relatively small, giving rise to a relatively higher </w:t>
      </w:r>
      <m:oMath>
        <m:sSub>
          <m:sSubPr>
            <m:ctrlPr>
              <w:rPr>
                <w:rFonts w:ascii="Cambria Math" w:eastAsia="Times New Roman" w:hAnsi="Cambria Math" w:cs="Times New Roman"/>
                <w:i/>
                <w:lang w:eastAsia="en-GB"/>
              </w:rPr>
            </m:ctrlPr>
          </m:sSubPr>
          <m:e>
            <m:r>
              <w:rPr>
                <w:rFonts w:ascii="Cambria Math" w:hAnsi="Cambria Math"/>
              </w:rPr>
              <m:t>TF</m:t>
            </m:r>
            <m:ctrlPr>
              <w:rPr>
                <w:rFonts w:ascii="Cambria Math" w:hAnsi="Cambria Math"/>
                <w:i/>
              </w:rPr>
            </m:ctrlPr>
          </m:e>
          <m:sub>
            <m:r>
              <w:rPr>
                <w:rFonts w:ascii="Cambria Math" w:hAnsi="Cambria Math"/>
              </w:rPr>
              <m:t>ij</m:t>
            </m:r>
          </m:sub>
        </m:sSub>
      </m:oMath>
      <w:r>
        <w:rPr>
          <w:rFonts w:ascii="Times New Roman" w:hAnsi="Times New Roman" w:cs="Times New Roman"/>
          <w:lang w:eastAsia="en-GB"/>
        </w:rPr>
        <w:t xml:space="preserve"> value</w:t>
      </w:r>
      <w:r w:rsidR="0042645B">
        <w:rPr>
          <w:rFonts w:ascii="Times New Roman" w:hAnsi="Times New Roman" w:cs="Times New Roman"/>
          <w:lang w:eastAsia="en-GB"/>
        </w:rPr>
        <w:t>s</w:t>
      </w:r>
      <w:r>
        <w:rPr>
          <w:rFonts w:ascii="Times New Roman" w:hAnsi="Times New Roman" w:cs="Times New Roman"/>
          <w:lang w:eastAsia="en-GB"/>
        </w:rPr>
        <w:t xml:space="preserve"> comparing to more descriptive paragraphs which simply contained more words. </w:t>
      </w:r>
      <w:r w:rsidR="00425B73">
        <w:rPr>
          <w:rFonts w:ascii="Times New Roman" w:hAnsi="Times New Roman" w:cs="Times New Roman"/>
          <w:lang w:eastAsia="en-GB"/>
        </w:rPr>
        <w:t xml:space="preserve">These falsely large </w:t>
      </w:r>
      <m:oMath>
        <m:sSub>
          <m:sSubPr>
            <m:ctrlPr>
              <w:rPr>
                <w:rFonts w:ascii="Cambria Math" w:eastAsia="Times New Roman" w:hAnsi="Cambria Math" w:cs="Times New Roman"/>
                <w:i/>
                <w:lang w:eastAsia="en-GB"/>
              </w:rPr>
            </m:ctrlPr>
          </m:sSubPr>
          <m:e>
            <m:r>
              <w:rPr>
                <w:rFonts w:ascii="Cambria Math" w:hAnsi="Cambria Math"/>
              </w:rPr>
              <m:t>TF</m:t>
            </m:r>
            <m:ctrlPr>
              <w:rPr>
                <w:rFonts w:ascii="Cambria Math" w:hAnsi="Cambria Math"/>
                <w:i/>
              </w:rPr>
            </m:ctrlPr>
          </m:e>
          <m:sub>
            <m:r>
              <w:rPr>
                <w:rFonts w:ascii="Cambria Math" w:hAnsi="Cambria Math"/>
              </w:rPr>
              <m:t>ij</m:t>
            </m:r>
          </m:sub>
        </m:sSub>
      </m:oMath>
      <w:r w:rsidR="00425B73">
        <w:rPr>
          <w:rFonts w:ascii="Times New Roman" w:hAnsi="Times New Roman" w:cs="Times New Roman"/>
          <w:lang w:eastAsia="en-GB"/>
        </w:rPr>
        <w:t xml:space="preserve"> values failed to reflect on the importance of words, thus the normalisation factor </w:t>
      </w:r>
      <m:oMath>
        <m:func>
          <m:funcPr>
            <m:ctrlPr>
              <w:rPr>
                <w:rFonts w:ascii="Cambria Math" w:eastAsia="Times New Roman" w:hAnsi="Cambria Math" w:cs="Times New Roman"/>
                <w:i/>
                <w:sz w:val="20"/>
                <w:szCs w:val="20"/>
                <w:lang w:eastAsia="en-GB"/>
              </w:rPr>
            </m:ctrlPr>
          </m:funcPr>
          <m:fName>
            <m:limLow>
              <m:limLowPr>
                <m:ctrlPr>
                  <w:rPr>
                    <w:rFonts w:ascii="Cambria Math" w:eastAsia="Times New Roman" w:hAnsi="Cambria Math" w:cs="Times New Roman"/>
                    <w:i/>
                    <w:sz w:val="20"/>
                    <w:szCs w:val="20"/>
                    <w:lang w:eastAsia="en-GB"/>
                  </w:rPr>
                </m:ctrlPr>
              </m:limLowPr>
              <m:e>
                <m:r>
                  <w:rPr>
                    <w:rFonts w:ascii="Cambria Math" w:hAnsi="Cambria Math"/>
                  </w:rPr>
                  <m:t>max</m:t>
                </m:r>
              </m:e>
              <m:lim>
                <m:r>
                  <w:rPr>
                    <w:rFonts w:ascii="Cambria Math" w:hAnsi="Cambria Math"/>
                  </w:rPr>
                  <m:t>k</m:t>
                </m:r>
              </m:lim>
            </m:limLow>
          </m:fName>
          <m:e>
            <m:sSub>
              <m:sSubPr>
                <m:ctrlPr>
                  <w:rPr>
                    <w:rFonts w:ascii="Cambria Math" w:eastAsia="Times New Roman" w:hAnsi="Cambria Math" w:cs="Times New Roman"/>
                    <w:i/>
                    <w:sz w:val="20"/>
                    <w:szCs w:val="20"/>
                    <w:lang w:eastAsia="en-GB"/>
                  </w:rPr>
                </m:ctrlPr>
              </m:sSubPr>
              <m:e>
                <m:r>
                  <w:rPr>
                    <w:rFonts w:ascii="Cambria Math" w:hAnsi="Cambria Math"/>
                  </w:rPr>
                  <m:t>f</m:t>
                </m:r>
                <m:ctrlPr>
                  <w:rPr>
                    <w:rFonts w:ascii="Cambria Math" w:hAnsi="Cambria Math"/>
                    <w:i/>
                  </w:rPr>
                </m:ctrlPr>
              </m:e>
              <m:sub>
                <m:r>
                  <w:rPr>
                    <w:rFonts w:ascii="Cambria Math" w:hAnsi="Cambria Math"/>
                  </w:rPr>
                  <m:t>kj</m:t>
                </m:r>
              </m:sub>
            </m:sSub>
            <m:ctrlPr>
              <w:rPr>
                <w:rFonts w:ascii="Cambria Math" w:hAnsi="Cambria Math"/>
                <w:i/>
              </w:rPr>
            </m:ctrlPr>
          </m:e>
        </m:func>
      </m:oMath>
      <w:r w:rsidR="00425B73">
        <w:rPr>
          <w:rFonts w:ascii="Times New Roman" w:hAnsi="Times New Roman" w:cs="Times New Roman"/>
        </w:rPr>
        <w:t xml:space="preserve"> was removed from the calculation leaving only </w:t>
      </w:r>
      <m:oMath>
        <m:sSub>
          <m:sSubPr>
            <m:ctrlPr>
              <w:rPr>
                <w:rFonts w:ascii="Cambria Math" w:eastAsia="Times New Roman" w:hAnsi="Cambria Math" w:cs="Times New Roman"/>
                <w:i/>
                <w:lang w:eastAsia="en-GB"/>
              </w:rPr>
            </m:ctrlPr>
          </m:sSubPr>
          <m:e>
            <m:r>
              <w:rPr>
                <w:rFonts w:ascii="Cambria Math" w:hAnsi="Cambria Math"/>
              </w:rPr>
              <m:t>TF</m:t>
            </m:r>
            <m:ctrlPr>
              <w:rPr>
                <w:rFonts w:ascii="Cambria Math" w:hAnsi="Cambria Math"/>
                <w:i/>
              </w:rPr>
            </m:ctrlPr>
          </m:e>
          <m:sub>
            <m:r>
              <w:rPr>
                <w:rFonts w:ascii="Cambria Math" w:hAnsi="Cambria Math"/>
              </w:rPr>
              <m:t>ij</m:t>
            </m:r>
          </m:sub>
        </m:sSub>
        <m:r>
          <w:rPr>
            <w:rFonts w:ascii="Cambria Math" w:hAnsi="Cambria Math"/>
          </w:rPr>
          <m:t>=</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f</m:t>
            </m:r>
            <m:ctrlPr>
              <w:rPr>
                <w:rFonts w:ascii="Cambria Math" w:hAnsi="Cambria Math"/>
                <w:i/>
              </w:rPr>
            </m:ctrlPr>
          </m:e>
          <m:sub>
            <m:r>
              <w:rPr>
                <w:rFonts w:ascii="Cambria Math" w:eastAsia="Times New Roman" w:hAnsi="Cambria Math" w:cs="Times New Roman"/>
                <w:sz w:val="20"/>
                <w:szCs w:val="20"/>
                <w:lang w:eastAsia="en-GB"/>
              </w:rPr>
              <m:t>ij</m:t>
            </m:r>
          </m:sub>
        </m:sSub>
      </m:oMath>
      <w:r w:rsidR="00425B73">
        <w:rPr>
          <w:rFonts w:ascii="Times New Roman" w:hAnsi="Times New Roman" w:cs="Times New Roman"/>
          <w:sz w:val="20"/>
          <w:szCs w:val="20"/>
          <w:lang w:eastAsia="en-GB"/>
        </w:rPr>
        <w:t>.</w:t>
      </w:r>
    </w:p>
    <w:p w:rsidR="00425B73" w:rsidRDefault="0079423E">
      <w:pPr>
        <w:rPr>
          <w:rFonts w:ascii="Times New Roman" w:hAnsi="Times New Roman" w:cs="Times New Roman"/>
        </w:rPr>
      </w:pPr>
      <w:r>
        <w:rPr>
          <w:rFonts w:ascii="Times New Roman" w:hAnsi="Times New Roman" w:cs="Times New Roman"/>
        </w:rPr>
        <w:t xml:space="preserve">For the computation of  </w:t>
      </w:r>
      <m:oMath>
        <m:sSub>
          <m:sSubPr>
            <m:ctrlPr>
              <w:rPr>
                <w:rFonts w:ascii="Cambria Math" w:eastAsia="Times New Roman" w:hAnsi="Cambria Math" w:cs="Times New Roman"/>
                <w:i/>
                <w:lang w:eastAsia="en-GB"/>
              </w:rPr>
            </m:ctrlPr>
          </m:sSubPr>
          <m:e>
            <m:r>
              <w:rPr>
                <w:rFonts w:ascii="Cambria Math" w:hAnsi="Cambria Math"/>
              </w:rPr>
              <m:t>IDF</m:t>
            </m:r>
            <m:ctrlPr>
              <w:rPr>
                <w:rFonts w:ascii="Cambria Math" w:hAnsi="Cambria Math"/>
                <w:i/>
              </w:rPr>
            </m:ctrlPr>
          </m:e>
          <m:sub>
            <m:r>
              <w:rPr>
                <w:rFonts w:ascii="Cambria Math" w:hAnsi="Cambria Math"/>
              </w:rPr>
              <m:t>i</m:t>
            </m:r>
          </m:sub>
        </m:sSub>
      </m:oMath>
      <w:r>
        <w:rPr>
          <w:rFonts w:ascii="Times New Roman" w:hAnsi="Times New Roman" w:cs="Times New Roman"/>
          <w:lang w:eastAsia="en-GB"/>
        </w:rPr>
        <w:t>, one had to</w:t>
      </w:r>
      <w:r>
        <w:rPr>
          <w:rFonts w:ascii="Times New Roman" w:hAnsi="Times New Roman" w:cs="Times New Roman"/>
        </w:rPr>
        <w:t xml:space="preserve"> raise</w:t>
      </w:r>
      <w:r w:rsidR="00120028">
        <w:rPr>
          <w:rFonts w:ascii="Times New Roman" w:hAnsi="Times New Roman" w:cs="Times New Roman"/>
        </w:rPr>
        <w:t xml:space="preserve"> the</w:t>
      </w:r>
      <w:r w:rsidR="00717123">
        <w:rPr>
          <w:rFonts w:ascii="Times New Roman" w:hAnsi="Times New Roman" w:cs="Times New Roman"/>
        </w:rPr>
        <w:t xml:space="preserve"> question </w:t>
      </w:r>
      <w:r w:rsidR="00E03ACD">
        <w:rPr>
          <w:rFonts w:ascii="Times New Roman" w:hAnsi="Times New Roman" w:cs="Times New Roman"/>
        </w:rPr>
        <w:t>whether</w:t>
      </w:r>
      <w:r w:rsidR="00120028">
        <w:rPr>
          <w:rFonts w:ascii="Times New Roman" w:hAnsi="Times New Roman" w:cs="Times New Roman"/>
        </w:rPr>
        <w:t xml:space="preserve"> the collection of documents was defined</w:t>
      </w:r>
      <w:r w:rsidR="00E03ACD">
        <w:rPr>
          <w:rFonts w:ascii="Times New Roman" w:hAnsi="Times New Roman" w:cs="Times New Roman"/>
        </w:rPr>
        <w:t xml:space="preserve"> per institution</w:t>
      </w:r>
      <w:r w:rsidR="00CC23C0">
        <w:rPr>
          <w:rFonts w:ascii="Times New Roman" w:hAnsi="Times New Roman" w:cs="Times New Roman"/>
        </w:rPr>
        <w:t xml:space="preserve"> (</w:t>
      </w:r>
      <m:oMath>
        <m:r>
          <w:rPr>
            <w:rFonts w:ascii="Cambria Math" w:hAnsi="Cambria Math"/>
          </w:rPr>
          <m:t>N</m:t>
        </m:r>
      </m:oMath>
      <w:r w:rsidR="00CC23C0">
        <w:rPr>
          <w:rFonts w:ascii="Times New Roman" w:hAnsi="Times New Roman" w:cs="Times New Roman"/>
        </w:rPr>
        <w:t xml:space="preserve"> represents the number of submissions per institution)</w:t>
      </w:r>
      <w:r w:rsidR="00E03ACD">
        <w:rPr>
          <w:rFonts w:ascii="Times New Roman" w:hAnsi="Times New Roman" w:cs="Times New Roman"/>
        </w:rPr>
        <w:t xml:space="preserve"> or as </w:t>
      </w:r>
      <w:r w:rsidR="00F032C9">
        <w:rPr>
          <w:rFonts w:ascii="Times New Roman" w:hAnsi="Times New Roman" w:cs="Times New Roman"/>
        </w:rPr>
        <w:t>an</w:t>
      </w:r>
      <w:r w:rsidR="00E03ACD">
        <w:rPr>
          <w:rFonts w:ascii="Times New Roman" w:hAnsi="Times New Roman" w:cs="Times New Roman"/>
        </w:rPr>
        <w:t xml:space="preserve"> overall pool of documents</w:t>
      </w:r>
      <w:r w:rsidR="00CC23C0">
        <w:rPr>
          <w:rFonts w:ascii="Times New Roman" w:hAnsi="Times New Roman" w:cs="Times New Roman"/>
        </w:rPr>
        <w:t xml:space="preserve"> </w:t>
      </w:r>
      <w:r w:rsidR="00CC23C0">
        <w:rPr>
          <w:rFonts w:ascii="Times New Roman" w:hAnsi="Times New Roman" w:cs="Times New Roman"/>
        </w:rPr>
        <w:t>(</w:t>
      </w:r>
      <m:oMath>
        <m:r>
          <w:rPr>
            <w:rFonts w:ascii="Cambria Math" w:hAnsi="Cambria Math"/>
          </w:rPr>
          <m:t>N</m:t>
        </m:r>
      </m:oMath>
      <w:r w:rsidR="00CC23C0">
        <w:rPr>
          <w:rFonts w:ascii="Times New Roman" w:hAnsi="Times New Roman" w:cs="Times New Roman"/>
        </w:rPr>
        <w:t xml:space="preserve"> represents the</w:t>
      </w:r>
      <w:r w:rsidR="00CC23C0">
        <w:rPr>
          <w:rFonts w:ascii="Times New Roman" w:hAnsi="Times New Roman" w:cs="Times New Roman"/>
        </w:rPr>
        <w:t xml:space="preserve"> total</w:t>
      </w:r>
      <w:r w:rsidR="00CC23C0">
        <w:rPr>
          <w:rFonts w:ascii="Times New Roman" w:hAnsi="Times New Roman" w:cs="Times New Roman"/>
        </w:rPr>
        <w:t xml:space="preserve"> number of submissions</w:t>
      </w:r>
      <w:r w:rsidR="00CC23C0">
        <w:rPr>
          <w:rFonts w:ascii="Times New Roman" w:hAnsi="Times New Roman" w:cs="Times New Roman"/>
        </w:rPr>
        <w:t xml:space="preserve"> in UOA</w:t>
      </w:r>
      <w:r w:rsidR="00CC23C0">
        <w:rPr>
          <w:rFonts w:ascii="Times New Roman" w:hAnsi="Times New Roman" w:cs="Times New Roman"/>
        </w:rPr>
        <w:t>)</w:t>
      </w:r>
      <w:r w:rsidR="00120028">
        <w:rPr>
          <w:rFonts w:ascii="Times New Roman" w:hAnsi="Times New Roman" w:cs="Times New Roman"/>
        </w:rPr>
        <w:t>.</w:t>
      </w:r>
      <w:r w:rsidR="00FE7AE2">
        <w:rPr>
          <w:rFonts w:ascii="Times New Roman" w:hAnsi="Times New Roman" w:cs="Times New Roman"/>
        </w:rPr>
        <w:t xml:space="preserve"> </w:t>
      </w:r>
      <w:r w:rsidR="00CC23C0">
        <w:rPr>
          <w:rFonts w:ascii="Times New Roman" w:hAnsi="Times New Roman" w:cs="Times New Roman"/>
        </w:rPr>
        <w:t>To answer this question, both normalisation scales were tested</w:t>
      </w:r>
      <w:r w:rsidR="0070496D">
        <w:rPr>
          <w:rFonts w:ascii="Times New Roman" w:hAnsi="Times New Roman" w:cs="Times New Roman"/>
        </w:rPr>
        <w:t xml:space="preserve"> for UOA11</w:t>
      </w:r>
      <w:r w:rsidR="00006BAB">
        <w:rPr>
          <w:rFonts w:ascii="Times New Roman" w:hAnsi="Times New Roman" w:cs="Times New Roman"/>
        </w:rPr>
        <w:t>, with results presented in Figures [][].</w:t>
      </w:r>
      <w:r w:rsidR="007A36C4">
        <w:rPr>
          <w:rFonts w:ascii="Times New Roman" w:hAnsi="Times New Roman" w:cs="Times New Roman"/>
        </w:rPr>
        <w:t xml:space="preserve"> </w:t>
      </w:r>
      <w:r w:rsidR="00D921DD">
        <w:rPr>
          <w:rFonts w:ascii="Times New Roman" w:hAnsi="Times New Roman" w:cs="Times New Roman"/>
        </w:rPr>
        <w:t xml:space="preserve">It can be seen that normalising by institution gives a much better correlation with overall 4* scores than that by normalising across all submissions. </w:t>
      </w:r>
      <w:r w:rsidR="0093264F">
        <w:rPr>
          <w:rFonts w:ascii="Times New Roman" w:hAnsi="Times New Roman" w:cs="Times New Roman"/>
        </w:rPr>
        <w:t>This could be explained as each institution has its writing style or a templete provided for additional information, a more informative document should stand out from its peers - i.e containing more ‘unusual’ words comparing to documents of the same style (in the same institution)</w:t>
      </w:r>
      <w:r w:rsidR="00F328AD">
        <w:rPr>
          <w:rFonts w:ascii="Times New Roman" w:hAnsi="Times New Roman" w:cs="Times New Roman"/>
        </w:rPr>
        <w:t>. Thus, when normalised by inst</w:t>
      </w:r>
      <w:r w:rsidR="00525ADF">
        <w:rPr>
          <w:rFonts w:ascii="Times New Roman" w:hAnsi="Times New Roman" w:cs="Times New Roman"/>
        </w:rPr>
        <w:t>itution, a better correlation is</w:t>
      </w:r>
      <w:r w:rsidR="00F328AD">
        <w:rPr>
          <w:rFonts w:ascii="Times New Roman" w:hAnsi="Times New Roman" w:cs="Times New Roman"/>
        </w:rPr>
        <w:t xml:space="preserve"> shown as </w:t>
      </w:r>
      <w:r w:rsidR="00525ADF">
        <w:rPr>
          <w:rFonts w:ascii="Times New Roman" w:hAnsi="Times New Roman" w:cs="Times New Roman"/>
        </w:rPr>
        <w:t>higher scores are awarded to the institution with distinctively written additional information for each of its submissions. The weak correlation shown for normalisation across all s</w:t>
      </w:r>
      <w:r w:rsidR="00CF0A99">
        <w:rPr>
          <w:rFonts w:ascii="Times New Roman" w:hAnsi="Times New Roman" w:cs="Times New Roman"/>
        </w:rPr>
        <w:t>ubmissions probably infers that even within a particular UOA, there seems not to be a</w:t>
      </w:r>
      <w:r w:rsidR="00AE3AF1">
        <w:rPr>
          <w:rFonts w:ascii="Times New Roman" w:hAnsi="Times New Roman" w:cs="Times New Roman"/>
        </w:rPr>
        <w:t>ny</w:t>
      </w:r>
      <w:r w:rsidR="00CF0A99">
        <w:rPr>
          <w:rFonts w:ascii="Times New Roman" w:hAnsi="Times New Roman" w:cs="Times New Roman"/>
        </w:rPr>
        <w:t xml:space="preserve"> </w:t>
      </w:r>
      <w:r w:rsidR="00B7450B">
        <w:rPr>
          <w:rFonts w:ascii="Times New Roman" w:hAnsi="Times New Roman" w:cs="Times New Roman"/>
        </w:rPr>
        <w:t>absolutely powerful</w:t>
      </w:r>
      <w:r w:rsidR="00CF0A99">
        <w:rPr>
          <w:rFonts w:ascii="Times New Roman" w:hAnsi="Times New Roman" w:cs="Times New Roman"/>
        </w:rPr>
        <w:t xml:space="preserve"> word that guarantees high scores when mentioned in additional information.</w:t>
      </w:r>
      <w:r w:rsidR="00262838">
        <w:rPr>
          <w:rFonts w:ascii="Times New Roman" w:hAnsi="Times New Roman" w:cs="Times New Roman"/>
        </w:rPr>
        <w:t xml:space="preserve"> Consequently, </w:t>
      </w:r>
      <m:oMath>
        <m:sSub>
          <m:sSubPr>
            <m:ctrlPr>
              <w:rPr>
                <w:rFonts w:ascii="Cambria Math" w:eastAsia="Times New Roman" w:hAnsi="Cambria Math" w:cs="Times New Roman"/>
                <w:i/>
                <w:lang w:eastAsia="en-GB"/>
              </w:rPr>
            </m:ctrlPr>
          </m:sSubPr>
          <m:e>
            <m:r>
              <w:rPr>
                <w:rFonts w:ascii="Cambria Math" w:hAnsi="Cambria Math"/>
              </w:rPr>
              <m:t>IDF</m:t>
            </m:r>
            <m:ctrlPr>
              <w:rPr>
                <w:rFonts w:ascii="Cambria Math" w:hAnsi="Cambria Math"/>
                <w:i/>
              </w:rPr>
            </m:ctrlPr>
          </m:e>
          <m:sub>
            <m:r>
              <w:rPr>
                <w:rFonts w:ascii="Cambria Math" w:hAnsi="Cambria Math"/>
              </w:rPr>
              <m:t>i</m:t>
            </m:r>
          </m:sub>
        </m:sSub>
      </m:oMath>
      <w:r w:rsidR="00262838">
        <w:rPr>
          <w:rFonts w:ascii="Times New Roman" w:hAnsi="Times New Roman" w:cs="Times New Roman"/>
          <w:lang w:eastAsia="en-GB"/>
        </w:rPr>
        <w:t xml:space="preserve"> was computed by normalising documents per institution. </w:t>
      </w:r>
    </w:p>
    <w:p w:rsidR="00006BAB" w:rsidRPr="00425B73" w:rsidRDefault="00006BAB">
      <w:pPr>
        <w:rPr>
          <w:rFonts w:ascii="Times New Roman" w:hAnsi="Times New Roman" w:cs="Times New Roman"/>
        </w:rPr>
      </w:pPr>
      <w:r>
        <w:rPr>
          <w:rFonts w:ascii="Times New Roman" w:hAnsi="Times New Roman" w:cs="Times New Roman"/>
        </w:rPr>
        <w:t>[Figure unusual word count vs overall 4* - normalised by institution]</w:t>
      </w:r>
    </w:p>
    <w:p w:rsidR="00C61DD0" w:rsidRDefault="00006BAB">
      <w:pPr>
        <w:rPr>
          <w:rFonts w:ascii="Times New Roman" w:hAnsi="Times New Roman" w:cs="Times New Roman"/>
        </w:rPr>
      </w:pPr>
      <w:r>
        <w:rPr>
          <w:rFonts w:ascii="Times New Roman" w:hAnsi="Times New Roman" w:cs="Times New Roman"/>
        </w:rPr>
        <w:t xml:space="preserve">[Figure unusual word count vs overall 4* - normalised </w:t>
      </w:r>
      <w:r w:rsidR="005F71D1">
        <w:rPr>
          <w:rFonts w:ascii="Times New Roman" w:hAnsi="Times New Roman" w:cs="Times New Roman"/>
        </w:rPr>
        <w:t>across all submissions</w:t>
      </w:r>
      <w:r w:rsidR="007A36C4">
        <w:rPr>
          <w:rFonts w:ascii="Times New Roman" w:hAnsi="Times New Roman" w:cs="Times New Roman"/>
        </w:rPr>
        <w:t xml:space="preserve"> – 2%</w:t>
      </w:r>
      <w:r>
        <w:rPr>
          <w:rFonts w:ascii="Times New Roman" w:hAnsi="Times New Roman" w:cs="Times New Roman"/>
        </w:rPr>
        <w:t>]</w:t>
      </w:r>
    </w:p>
    <w:p w:rsidR="00C61DD0" w:rsidRPr="00B640ED" w:rsidRDefault="00B640ED">
      <w:pPr>
        <w:rPr>
          <w:rFonts w:ascii="Times New Roman" w:hAnsi="Times New Roman" w:cs="Times New Roman"/>
          <w:b/>
        </w:rPr>
      </w:pPr>
      <w:r w:rsidRPr="00B640ED">
        <w:rPr>
          <w:rFonts w:ascii="Times New Roman" w:hAnsi="Times New Roman" w:cs="Times New Roman"/>
          <w:b/>
        </w:rPr>
        <w:lastRenderedPageBreak/>
        <w:t>Determining threshold</w:t>
      </w:r>
    </w:p>
    <w:p w:rsidR="00C61DD0" w:rsidRDefault="00856EE9">
      <w:pPr>
        <w:rPr>
          <w:rFonts w:ascii="Times New Roman" w:hAnsi="Times New Roman" w:cs="Times New Roman"/>
        </w:rPr>
      </w:pPr>
      <w:r>
        <w:rPr>
          <w:rFonts w:ascii="Times New Roman" w:hAnsi="Times New Roman" w:cs="Times New Roman"/>
        </w:rPr>
        <w:t xml:space="preserve">A threshold defined such that words with a TFIDF value above the threshold are considered ‘unusual’. </w:t>
      </w:r>
      <w:r w:rsidR="00B640ED">
        <w:rPr>
          <w:rFonts w:ascii="Times New Roman" w:hAnsi="Times New Roman" w:cs="Times New Roman"/>
        </w:rPr>
        <w:t>Based on the fact that the requirements for additional information differ between main panels and even between UOAs, it is difficult to set a uniform threshold across all sample UOAs. An althernative approach was to use the threshold that gave the best correlation between unusual word count and 4* scores inside each UOA, and then</w:t>
      </w:r>
      <w:r w:rsidR="00E74985">
        <w:rPr>
          <w:rFonts w:ascii="Times New Roman" w:hAnsi="Times New Roman" w:cs="Times New Roman"/>
        </w:rPr>
        <w:t xml:space="preserve"> to compare</w:t>
      </w:r>
      <w:r w:rsidR="00B640ED">
        <w:rPr>
          <w:rFonts w:ascii="Times New Roman" w:hAnsi="Times New Roman" w:cs="Times New Roman"/>
        </w:rPr>
        <w:t xml:space="preserve"> the best correlations across different UOAs or panels.</w:t>
      </w:r>
      <w:r>
        <w:rPr>
          <w:rFonts w:ascii="Times New Roman" w:hAnsi="Times New Roman" w:cs="Times New Roman"/>
        </w:rPr>
        <w:t xml:space="preserve"> </w:t>
      </w:r>
    </w:p>
    <w:p w:rsidR="00D75580" w:rsidRDefault="007C7D8A" w:rsidP="00D75580">
      <w:pPr>
        <w:rPr>
          <w:rFonts w:ascii="Times New Roman" w:hAnsi="Times New Roman" w:cs="Times New Roman"/>
        </w:rPr>
      </w:pPr>
      <w:r>
        <w:rPr>
          <w:rFonts w:ascii="Times New Roman" w:hAnsi="Times New Roman" w:cs="Times New Roman"/>
        </w:rPr>
        <w:t xml:space="preserve">A document </w:t>
      </w:r>
      <w:r w:rsidR="00856EE9">
        <w:rPr>
          <w:rFonts w:ascii="Times New Roman" w:hAnsi="Times New Roman" w:cs="Times New Roman"/>
        </w:rPr>
        <w:t xml:space="preserve">threshold was given as a certain percentile </w:t>
      </w:r>
      <w:r>
        <w:rPr>
          <w:rFonts w:ascii="Times New Roman" w:hAnsi="Times New Roman" w:cs="Times New Roman"/>
        </w:rPr>
        <w:t>of the</w:t>
      </w:r>
      <w:r>
        <w:rPr>
          <w:rFonts w:ascii="Times New Roman" w:hAnsi="Times New Roman" w:cs="Times New Roman"/>
        </w:rPr>
        <w:t xml:space="preserve"> TFIDF value</w:t>
      </w:r>
      <w:r>
        <w:rPr>
          <w:rFonts w:ascii="Times New Roman" w:hAnsi="Times New Roman" w:cs="Times New Roman"/>
        </w:rPr>
        <w:t>s</w:t>
      </w:r>
      <w:r>
        <w:rPr>
          <w:rFonts w:ascii="Times New Roman" w:hAnsi="Times New Roman" w:cs="Times New Roman"/>
        </w:rPr>
        <w:t xml:space="preserve"> </w:t>
      </w:r>
      <w:r w:rsidR="005314C8">
        <w:rPr>
          <w:rFonts w:ascii="Times New Roman" w:hAnsi="Times New Roman" w:cs="Times New Roman"/>
        </w:rPr>
        <w:t xml:space="preserve">in a document, and the final threshold would be an average of document thresholds </w:t>
      </w:r>
      <w:r w:rsidR="007602D9">
        <w:rPr>
          <w:rFonts w:ascii="Times New Roman" w:hAnsi="Times New Roman" w:cs="Times New Roman"/>
        </w:rPr>
        <w:t>across all submissions in a UOA regard</w:t>
      </w:r>
      <w:r w:rsidR="00C10E17">
        <w:rPr>
          <w:rFonts w:ascii="Times New Roman" w:hAnsi="Times New Roman" w:cs="Times New Roman"/>
        </w:rPr>
        <w:t>less of institutions.</w:t>
      </w:r>
      <w:r w:rsidR="00D75580" w:rsidRPr="00D75580">
        <w:rPr>
          <w:rFonts w:ascii="Times New Roman" w:hAnsi="Times New Roman" w:cs="Times New Roman"/>
        </w:rPr>
        <w:t xml:space="preserve"> </w:t>
      </w:r>
      <w:r w:rsidR="00D75580">
        <w:rPr>
          <w:rFonts w:ascii="Times New Roman" w:hAnsi="Times New Roman" w:cs="Times New Roman"/>
        </w:rPr>
        <w:t>T</w:t>
      </w:r>
      <w:r w:rsidR="00D75580">
        <w:rPr>
          <w:rFonts w:ascii="Times New Roman" w:hAnsi="Times New Roman" w:cs="Times New Roman"/>
        </w:rPr>
        <w:t xml:space="preserve">he final threshold was applied to </w:t>
      </w:r>
      <w:r w:rsidR="00D75580">
        <w:rPr>
          <w:rFonts w:ascii="Times New Roman" w:hAnsi="Times New Roman" w:cs="Times New Roman"/>
        </w:rPr>
        <w:t xml:space="preserve">count the number of unusual words per document, and the counted numbers were then averaged across each institution to give a unusual word count </w:t>
      </w:r>
      <w:r w:rsidR="00AE3836">
        <w:rPr>
          <w:rFonts w:ascii="Times New Roman" w:hAnsi="Times New Roman" w:cs="Times New Roman"/>
        </w:rPr>
        <w:t>for every</w:t>
      </w:r>
      <w:r w:rsidR="00D75580">
        <w:rPr>
          <w:rFonts w:ascii="Times New Roman" w:hAnsi="Times New Roman" w:cs="Times New Roman"/>
        </w:rPr>
        <w:t xml:space="preserve"> institution.</w:t>
      </w:r>
    </w:p>
    <w:p w:rsidR="00A16BC9" w:rsidRDefault="00A16BC9" w:rsidP="00D75580">
      <w:pPr>
        <w:rPr>
          <w:rFonts w:ascii="Times New Roman" w:hAnsi="Times New Roman" w:cs="Times New Roman"/>
        </w:rPr>
      </w:pPr>
      <w:r>
        <w:rPr>
          <w:rFonts w:ascii="Times New Roman" w:hAnsi="Times New Roman" w:cs="Times New Roman"/>
        </w:rPr>
        <w:t>To obtain the threshold that gave the best correlation, a range of document thresholds were initially set from 90 to 99.5 percentile at a 0.5 percentile increment.</w:t>
      </w:r>
      <w:r w:rsidR="00F52122">
        <w:rPr>
          <w:rFonts w:ascii="Times New Roman" w:hAnsi="Times New Roman" w:cs="Times New Roman"/>
        </w:rPr>
        <w:t xml:space="preserve"> Pearson correlations were computed between </w:t>
      </w:r>
      <w:r w:rsidR="00F52122">
        <w:rPr>
          <w:rFonts w:ascii="Times New Roman" w:hAnsi="Times New Roman" w:cs="Times New Roman"/>
        </w:rPr>
        <w:t xml:space="preserve">unusual word count </w:t>
      </w:r>
      <w:r w:rsidR="00F52122">
        <w:rPr>
          <w:rFonts w:ascii="Times New Roman" w:hAnsi="Times New Roman" w:cs="Times New Roman"/>
        </w:rPr>
        <w:t>and overall/output 4* scores</w:t>
      </w:r>
      <w:r w:rsidR="006A6FA7">
        <w:rPr>
          <w:rFonts w:ascii="Times New Roman" w:hAnsi="Times New Roman" w:cs="Times New Roman"/>
        </w:rPr>
        <w:t xml:space="preserve"> </w:t>
      </w:r>
      <w:r w:rsidR="000A28A7">
        <w:rPr>
          <w:rFonts w:ascii="Times New Roman" w:hAnsi="Times New Roman" w:cs="Times New Roman"/>
        </w:rPr>
        <w:t>at each threshold level</w:t>
      </w:r>
      <w:r w:rsidR="00AE3836">
        <w:rPr>
          <w:rFonts w:ascii="Times New Roman" w:hAnsi="Times New Roman" w:cs="Times New Roman"/>
        </w:rPr>
        <w:t>, and the best correlation was chosen to represent, when the optimal threshold was chosen, how well the unusual word count could give indication to the overall/output 4* scores awarded to each insitution.</w:t>
      </w:r>
    </w:p>
    <w:p w:rsidR="00856EE9" w:rsidRPr="00BD01AD" w:rsidRDefault="00BD01AD">
      <w:pPr>
        <w:rPr>
          <w:rFonts w:ascii="Times New Roman" w:hAnsi="Times New Roman" w:cs="Times New Roman"/>
          <w:b/>
          <w:u w:val="single"/>
        </w:rPr>
      </w:pPr>
      <w:r w:rsidRPr="00BD01AD">
        <w:rPr>
          <w:rFonts w:ascii="Times New Roman" w:hAnsi="Times New Roman" w:cs="Times New Roman"/>
          <w:b/>
          <w:u w:val="single"/>
        </w:rPr>
        <w:t>Results</w:t>
      </w:r>
    </w:p>
    <w:p w:rsidR="00246B43" w:rsidRDefault="0092367C">
      <w:pPr>
        <w:rPr>
          <w:rFonts w:ascii="Times New Roman" w:hAnsi="Times New Roman" w:cs="Times New Roman"/>
        </w:rPr>
      </w:pPr>
      <w:r>
        <w:rPr>
          <w:rFonts w:ascii="Times New Roman" w:hAnsi="Times New Roman" w:cs="Times New Roman"/>
        </w:rPr>
        <w:t>[</w:t>
      </w:r>
      <w:r w:rsidR="00BD01AD">
        <w:rPr>
          <w:rFonts w:ascii="Times New Roman" w:hAnsi="Times New Roman" w:cs="Times New Roman"/>
        </w:rPr>
        <w:t>Unusual word count vs overall/output 4* scores plots for every sample UOA</w:t>
      </w:r>
      <w:r>
        <w:rPr>
          <w:rFonts w:ascii="Times New Roman" w:hAnsi="Times New Roman" w:cs="Times New Roman"/>
        </w:rPr>
        <w:t>]</w:t>
      </w:r>
    </w:p>
    <w:tbl>
      <w:tblPr>
        <w:tblStyle w:val="TableGrid"/>
        <w:tblW w:w="0" w:type="auto"/>
        <w:tblLook w:val="04A0" w:firstRow="1" w:lastRow="0" w:firstColumn="1" w:lastColumn="0" w:noHBand="0" w:noVBand="1"/>
      </w:tblPr>
      <w:tblGrid>
        <w:gridCol w:w="730"/>
        <w:gridCol w:w="705"/>
        <w:gridCol w:w="2246"/>
        <w:gridCol w:w="1333"/>
        <w:gridCol w:w="1334"/>
        <w:gridCol w:w="1334"/>
        <w:gridCol w:w="1334"/>
      </w:tblGrid>
      <w:tr w:rsidR="00694FBA" w:rsidRPr="00016F8D" w:rsidTr="00EF70C7">
        <w:tc>
          <w:tcPr>
            <w:tcW w:w="730" w:type="dxa"/>
            <w:vMerge w:val="restart"/>
            <w:vAlign w:val="bottom"/>
          </w:tcPr>
          <w:p w:rsidR="00694FBA" w:rsidRPr="00016F8D" w:rsidRDefault="00694FBA" w:rsidP="00EF70C7">
            <w:pPr>
              <w:jc w:val="center"/>
              <w:rPr>
                <w:b/>
                <w:sz w:val="22"/>
                <w:szCs w:val="22"/>
              </w:rPr>
            </w:pPr>
            <w:r w:rsidRPr="00016F8D">
              <w:rPr>
                <w:b/>
                <w:sz w:val="22"/>
                <w:szCs w:val="22"/>
              </w:rPr>
              <w:t>Main panel</w:t>
            </w:r>
          </w:p>
        </w:tc>
        <w:tc>
          <w:tcPr>
            <w:tcW w:w="705" w:type="dxa"/>
            <w:vMerge w:val="restart"/>
            <w:vAlign w:val="bottom"/>
          </w:tcPr>
          <w:p w:rsidR="00694FBA" w:rsidRPr="00016F8D" w:rsidRDefault="00694FBA" w:rsidP="00EF70C7">
            <w:pPr>
              <w:jc w:val="center"/>
              <w:rPr>
                <w:b/>
                <w:sz w:val="22"/>
                <w:szCs w:val="22"/>
              </w:rPr>
            </w:pPr>
            <w:r w:rsidRPr="00016F8D">
              <w:rPr>
                <w:b/>
                <w:sz w:val="22"/>
                <w:szCs w:val="22"/>
              </w:rPr>
              <w:t>UOA</w:t>
            </w:r>
          </w:p>
        </w:tc>
        <w:tc>
          <w:tcPr>
            <w:tcW w:w="2246" w:type="dxa"/>
            <w:vMerge w:val="restart"/>
            <w:vAlign w:val="bottom"/>
          </w:tcPr>
          <w:p w:rsidR="00694FBA" w:rsidRPr="00016F8D" w:rsidRDefault="00694FBA" w:rsidP="00D313CF">
            <w:pPr>
              <w:jc w:val="center"/>
              <w:rPr>
                <w:b/>
                <w:sz w:val="22"/>
                <w:szCs w:val="22"/>
              </w:rPr>
            </w:pPr>
            <w:r w:rsidRPr="00016F8D">
              <w:rPr>
                <w:b/>
                <w:sz w:val="22"/>
                <w:szCs w:val="22"/>
              </w:rPr>
              <w:t>% submission</w:t>
            </w:r>
            <w:r w:rsidR="00FA6EAF">
              <w:rPr>
                <w:b/>
                <w:sz w:val="22"/>
                <w:szCs w:val="22"/>
              </w:rPr>
              <w:t>s</w:t>
            </w:r>
            <w:r w:rsidRPr="00016F8D">
              <w:rPr>
                <w:b/>
                <w:sz w:val="22"/>
                <w:szCs w:val="22"/>
              </w:rPr>
              <w:t xml:space="preserve"> with additional information</w:t>
            </w:r>
          </w:p>
        </w:tc>
        <w:tc>
          <w:tcPr>
            <w:tcW w:w="2667" w:type="dxa"/>
            <w:gridSpan w:val="2"/>
            <w:vAlign w:val="center"/>
          </w:tcPr>
          <w:p w:rsidR="00694FBA" w:rsidRPr="00016F8D" w:rsidRDefault="00694FBA" w:rsidP="00694FBA">
            <w:pPr>
              <w:jc w:val="center"/>
              <w:rPr>
                <w:b/>
                <w:sz w:val="22"/>
                <w:szCs w:val="22"/>
              </w:rPr>
            </w:pPr>
            <w:r w:rsidRPr="00016F8D">
              <w:rPr>
                <w:b/>
                <w:sz w:val="22"/>
                <w:szCs w:val="22"/>
              </w:rPr>
              <w:t>Overall 4*</w:t>
            </w:r>
          </w:p>
        </w:tc>
        <w:tc>
          <w:tcPr>
            <w:tcW w:w="2668" w:type="dxa"/>
            <w:gridSpan w:val="2"/>
            <w:vAlign w:val="center"/>
          </w:tcPr>
          <w:p w:rsidR="00694FBA" w:rsidRPr="00016F8D" w:rsidRDefault="00694FBA" w:rsidP="00694FBA">
            <w:pPr>
              <w:jc w:val="center"/>
              <w:rPr>
                <w:b/>
                <w:sz w:val="22"/>
                <w:szCs w:val="22"/>
              </w:rPr>
            </w:pPr>
            <w:r w:rsidRPr="00016F8D">
              <w:rPr>
                <w:b/>
                <w:sz w:val="22"/>
                <w:szCs w:val="22"/>
              </w:rPr>
              <w:t>Output 4*</w:t>
            </w:r>
          </w:p>
        </w:tc>
      </w:tr>
      <w:tr w:rsidR="00D313CF" w:rsidRPr="00016F8D" w:rsidTr="00EF70C7">
        <w:tc>
          <w:tcPr>
            <w:tcW w:w="730" w:type="dxa"/>
            <w:vMerge/>
            <w:vAlign w:val="center"/>
          </w:tcPr>
          <w:p w:rsidR="00694FBA" w:rsidRPr="00016F8D" w:rsidRDefault="00694FBA" w:rsidP="00EF70C7">
            <w:pPr>
              <w:jc w:val="center"/>
              <w:rPr>
                <w:b/>
                <w:sz w:val="22"/>
                <w:szCs w:val="22"/>
              </w:rPr>
            </w:pPr>
          </w:p>
        </w:tc>
        <w:tc>
          <w:tcPr>
            <w:tcW w:w="705" w:type="dxa"/>
            <w:vMerge/>
            <w:vAlign w:val="center"/>
          </w:tcPr>
          <w:p w:rsidR="00694FBA" w:rsidRPr="00016F8D" w:rsidRDefault="00694FBA" w:rsidP="00EF70C7">
            <w:pPr>
              <w:jc w:val="center"/>
              <w:rPr>
                <w:b/>
                <w:sz w:val="22"/>
                <w:szCs w:val="22"/>
              </w:rPr>
            </w:pPr>
          </w:p>
        </w:tc>
        <w:tc>
          <w:tcPr>
            <w:tcW w:w="2246" w:type="dxa"/>
            <w:vMerge/>
            <w:vAlign w:val="center"/>
          </w:tcPr>
          <w:p w:rsidR="00694FBA" w:rsidRPr="00016F8D" w:rsidRDefault="00694FBA" w:rsidP="00694FBA">
            <w:pPr>
              <w:jc w:val="center"/>
              <w:rPr>
                <w:b/>
                <w:sz w:val="22"/>
                <w:szCs w:val="22"/>
              </w:rPr>
            </w:pPr>
          </w:p>
        </w:tc>
        <w:tc>
          <w:tcPr>
            <w:tcW w:w="1333" w:type="dxa"/>
            <w:vAlign w:val="bottom"/>
          </w:tcPr>
          <w:p w:rsidR="00694FBA" w:rsidRPr="00016F8D" w:rsidRDefault="00694FBA" w:rsidP="00D313CF">
            <w:pPr>
              <w:jc w:val="center"/>
              <w:rPr>
                <w:b/>
                <w:sz w:val="22"/>
                <w:szCs w:val="22"/>
              </w:rPr>
            </w:pPr>
            <w:r w:rsidRPr="00016F8D">
              <w:rPr>
                <w:b/>
                <w:sz w:val="22"/>
                <w:szCs w:val="22"/>
              </w:rPr>
              <w:t>Threshold</w:t>
            </w:r>
            <w:r w:rsidR="00016F8D" w:rsidRPr="00016F8D">
              <w:rPr>
                <w:b/>
                <w:sz w:val="22"/>
                <w:szCs w:val="22"/>
              </w:rPr>
              <w:t xml:space="preserve"> (percentile)</w:t>
            </w:r>
          </w:p>
        </w:tc>
        <w:tc>
          <w:tcPr>
            <w:tcW w:w="1334" w:type="dxa"/>
            <w:vAlign w:val="bottom"/>
          </w:tcPr>
          <w:p w:rsidR="00694FBA" w:rsidRPr="00016F8D" w:rsidRDefault="00694FBA" w:rsidP="00D313CF">
            <w:pPr>
              <w:jc w:val="center"/>
              <w:rPr>
                <w:b/>
                <w:sz w:val="22"/>
                <w:szCs w:val="22"/>
              </w:rPr>
            </w:pPr>
            <w:r w:rsidRPr="00016F8D">
              <w:rPr>
                <w:b/>
                <w:sz w:val="22"/>
                <w:szCs w:val="22"/>
              </w:rPr>
              <w:t>Best correlation</w:t>
            </w:r>
          </w:p>
        </w:tc>
        <w:tc>
          <w:tcPr>
            <w:tcW w:w="1334" w:type="dxa"/>
            <w:vAlign w:val="bottom"/>
          </w:tcPr>
          <w:p w:rsidR="00694FBA" w:rsidRPr="00016F8D" w:rsidRDefault="00694FBA" w:rsidP="00D313CF">
            <w:pPr>
              <w:jc w:val="center"/>
              <w:rPr>
                <w:b/>
                <w:sz w:val="22"/>
                <w:szCs w:val="22"/>
              </w:rPr>
            </w:pPr>
            <w:r w:rsidRPr="00016F8D">
              <w:rPr>
                <w:b/>
                <w:sz w:val="22"/>
                <w:szCs w:val="22"/>
              </w:rPr>
              <w:t>Threshold</w:t>
            </w:r>
            <w:r w:rsidR="00016F8D" w:rsidRPr="00016F8D">
              <w:rPr>
                <w:b/>
                <w:sz w:val="22"/>
                <w:szCs w:val="22"/>
              </w:rPr>
              <w:t xml:space="preserve"> (percentile)</w:t>
            </w:r>
          </w:p>
        </w:tc>
        <w:tc>
          <w:tcPr>
            <w:tcW w:w="1334" w:type="dxa"/>
            <w:vAlign w:val="bottom"/>
          </w:tcPr>
          <w:p w:rsidR="00694FBA" w:rsidRPr="00016F8D" w:rsidRDefault="00694FBA" w:rsidP="00D313CF">
            <w:pPr>
              <w:jc w:val="center"/>
              <w:rPr>
                <w:b/>
                <w:sz w:val="22"/>
                <w:szCs w:val="22"/>
              </w:rPr>
            </w:pPr>
            <w:r w:rsidRPr="00016F8D">
              <w:rPr>
                <w:b/>
                <w:sz w:val="22"/>
                <w:szCs w:val="22"/>
              </w:rPr>
              <w:t>Best correlation</w:t>
            </w:r>
          </w:p>
        </w:tc>
      </w:tr>
      <w:tr w:rsidR="00EF70C7" w:rsidRPr="00016F8D" w:rsidTr="001143C9">
        <w:tc>
          <w:tcPr>
            <w:tcW w:w="730" w:type="dxa"/>
            <w:vMerge w:val="restart"/>
            <w:vAlign w:val="center"/>
          </w:tcPr>
          <w:p w:rsidR="00EF70C7" w:rsidRPr="00016F8D" w:rsidRDefault="00EF70C7" w:rsidP="00EF70C7">
            <w:pPr>
              <w:jc w:val="center"/>
              <w:rPr>
                <w:sz w:val="22"/>
                <w:szCs w:val="22"/>
              </w:rPr>
            </w:pPr>
            <w:r w:rsidRPr="00016F8D">
              <w:rPr>
                <w:sz w:val="22"/>
                <w:szCs w:val="22"/>
              </w:rPr>
              <w:t>A</w:t>
            </w:r>
          </w:p>
        </w:tc>
        <w:tc>
          <w:tcPr>
            <w:tcW w:w="705" w:type="dxa"/>
          </w:tcPr>
          <w:p w:rsidR="00EF70C7" w:rsidRPr="00016F8D" w:rsidRDefault="00EF70C7" w:rsidP="00EF70C7">
            <w:pPr>
              <w:jc w:val="center"/>
              <w:rPr>
                <w:sz w:val="22"/>
                <w:szCs w:val="22"/>
              </w:rPr>
            </w:pPr>
            <w:r w:rsidRPr="00016F8D">
              <w:rPr>
                <w:sz w:val="22"/>
                <w:szCs w:val="22"/>
              </w:rPr>
              <w:t>2</w:t>
            </w:r>
          </w:p>
        </w:tc>
        <w:tc>
          <w:tcPr>
            <w:tcW w:w="2246" w:type="dxa"/>
          </w:tcPr>
          <w:p w:rsidR="00EF70C7" w:rsidRPr="00016F8D" w:rsidRDefault="00EF70C7" w:rsidP="00EF70C7">
            <w:pPr>
              <w:jc w:val="right"/>
              <w:rPr>
                <w:sz w:val="22"/>
                <w:szCs w:val="22"/>
              </w:rPr>
            </w:pPr>
            <w:r w:rsidRPr="00016F8D">
              <w:rPr>
                <w:sz w:val="22"/>
                <w:szCs w:val="22"/>
              </w:rPr>
              <w:t>50.75%</w:t>
            </w:r>
          </w:p>
        </w:tc>
        <w:tc>
          <w:tcPr>
            <w:tcW w:w="1333" w:type="dxa"/>
          </w:tcPr>
          <w:p w:rsidR="00EF70C7" w:rsidRPr="00016F8D" w:rsidRDefault="00016F8D" w:rsidP="008003A6">
            <w:pPr>
              <w:jc w:val="center"/>
              <w:rPr>
                <w:sz w:val="22"/>
                <w:szCs w:val="22"/>
              </w:rPr>
            </w:pPr>
            <w:r w:rsidRPr="00016F8D">
              <w:rPr>
                <w:sz w:val="22"/>
                <w:szCs w:val="22"/>
              </w:rPr>
              <w:t>98</w:t>
            </w:r>
          </w:p>
        </w:tc>
        <w:tc>
          <w:tcPr>
            <w:tcW w:w="1334" w:type="dxa"/>
            <w:shd w:val="clear" w:color="auto" w:fill="E7E6E6" w:themeFill="background2"/>
          </w:tcPr>
          <w:p w:rsidR="00EF70C7" w:rsidRPr="00955CCD" w:rsidRDefault="00955CCD" w:rsidP="00955CCD">
            <w:pPr>
              <w:tabs>
                <w:tab w:val="center" w:pos="559"/>
                <w:tab w:val="right" w:pos="1118"/>
              </w:tabs>
              <w:rPr>
                <w:b/>
                <w:sz w:val="22"/>
                <w:szCs w:val="22"/>
              </w:rPr>
            </w:pPr>
            <w:r>
              <w:rPr>
                <w:b/>
                <w:sz w:val="22"/>
                <w:szCs w:val="22"/>
              </w:rPr>
              <w:tab/>
            </w:r>
            <w:r>
              <w:rPr>
                <w:b/>
                <w:sz w:val="22"/>
                <w:szCs w:val="22"/>
              </w:rPr>
              <w:tab/>
            </w:r>
            <w:r w:rsidR="00B8254A" w:rsidRPr="00955CCD">
              <w:rPr>
                <w:b/>
                <w:sz w:val="22"/>
                <w:szCs w:val="22"/>
              </w:rPr>
              <w:t>-</w:t>
            </w:r>
            <w:r w:rsidR="00016F8D" w:rsidRPr="00955CCD">
              <w:rPr>
                <w:b/>
                <w:sz w:val="22"/>
                <w:szCs w:val="22"/>
              </w:rPr>
              <w:t>0.54</w:t>
            </w:r>
          </w:p>
        </w:tc>
        <w:tc>
          <w:tcPr>
            <w:tcW w:w="1334" w:type="dxa"/>
          </w:tcPr>
          <w:p w:rsidR="00EF70C7" w:rsidRPr="00016F8D" w:rsidRDefault="00016F8D" w:rsidP="008003A6">
            <w:pPr>
              <w:jc w:val="center"/>
              <w:rPr>
                <w:sz w:val="22"/>
                <w:szCs w:val="22"/>
              </w:rPr>
            </w:pPr>
            <w:r w:rsidRPr="00016F8D">
              <w:rPr>
                <w:sz w:val="22"/>
                <w:szCs w:val="22"/>
              </w:rPr>
              <w:t>99.5</w:t>
            </w:r>
          </w:p>
        </w:tc>
        <w:tc>
          <w:tcPr>
            <w:tcW w:w="1334" w:type="dxa"/>
            <w:shd w:val="clear" w:color="auto" w:fill="E7E6E6" w:themeFill="background2"/>
          </w:tcPr>
          <w:p w:rsidR="00EF70C7" w:rsidRPr="00955CCD" w:rsidRDefault="00B8254A" w:rsidP="008003A6">
            <w:pPr>
              <w:jc w:val="right"/>
              <w:rPr>
                <w:sz w:val="22"/>
                <w:szCs w:val="22"/>
              </w:rPr>
            </w:pPr>
            <w:r w:rsidRPr="00955CCD">
              <w:rPr>
                <w:sz w:val="22"/>
                <w:szCs w:val="22"/>
              </w:rPr>
              <w:t>-</w:t>
            </w:r>
            <w:r w:rsidR="00016F8D" w:rsidRPr="00955CCD">
              <w:rPr>
                <w:sz w:val="22"/>
                <w:szCs w:val="22"/>
              </w:rPr>
              <w:t>0.39</w:t>
            </w:r>
          </w:p>
        </w:tc>
      </w:tr>
      <w:tr w:rsidR="00EF70C7" w:rsidRPr="00016F8D" w:rsidTr="00EF70C7">
        <w:tc>
          <w:tcPr>
            <w:tcW w:w="730" w:type="dxa"/>
            <w:vMerge/>
            <w:vAlign w:val="center"/>
          </w:tcPr>
          <w:p w:rsidR="00EF70C7" w:rsidRPr="00016F8D" w:rsidRDefault="00EF70C7" w:rsidP="00EF70C7">
            <w:pPr>
              <w:jc w:val="center"/>
              <w:rPr>
                <w:sz w:val="22"/>
                <w:szCs w:val="22"/>
              </w:rPr>
            </w:pPr>
          </w:p>
        </w:tc>
        <w:tc>
          <w:tcPr>
            <w:tcW w:w="705" w:type="dxa"/>
          </w:tcPr>
          <w:p w:rsidR="00EF70C7" w:rsidRPr="00016F8D" w:rsidRDefault="00EF70C7" w:rsidP="00EF70C7">
            <w:pPr>
              <w:jc w:val="center"/>
              <w:rPr>
                <w:sz w:val="22"/>
                <w:szCs w:val="22"/>
              </w:rPr>
            </w:pPr>
            <w:r w:rsidRPr="00016F8D">
              <w:rPr>
                <w:sz w:val="22"/>
                <w:szCs w:val="22"/>
              </w:rPr>
              <w:t>5</w:t>
            </w:r>
          </w:p>
        </w:tc>
        <w:tc>
          <w:tcPr>
            <w:tcW w:w="2246" w:type="dxa"/>
          </w:tcPr>
          <w:p w:rsidR="00EF70C7" w:rsidRPr="00016F8D" w:rsidRDefault="00EF70C7" w:rsidP="00EF70C7">
            <w:pPr>
              <w:jc w:val="right"/>
              <w:rPr>
                <w:sz w:val="22"/>
                <w:szCs w:val="22"/>
              </w:rPr>
            </w:pPr>
            <w:r w:rsidRPr="00016F8D">
              <w:rPr>
                <w:sz w:val="22"/>
                <w:szCs w:val="22"/>
              </w:rPr>
              <w:t>25.35%</w:t>
            </w:r>
          </w:p>
        </w:tc>
        <w:tc>
          <w:tcPr>
            <w:tcW w:w="1333" w:type="dxa"/>
          </w:tcPr>
          <w:p w:rsidR="00EF70C7" w:rsidRPr="00016F8D" w:rsidRDefault="00016F8D" w:rsidP="008003A6">
            <w:pPr>
              <w:jc w:val="center"/>
              <w:rPr>
                <w:sz w:val="22"/>
                <w:szCs w:val="22"/>
              </w:rPr>
            </w:pPr>
            <w:r w:rsidRPr="00016F8D">
              <w:rPr>
                <w:sz w:val="22"/>
                <w:szCs w:val="22"/>
              </w:rPr>
              <w:t>99</w:t>
            </w:r>
          </w:p>
        </w:tc>
        <w:tc>
          <w:tcPr>
            <w:tcW w:w="1334" w:type="dxa"/>
          </w:tcPr>
          <w:p w:rsidR="00EF70C7" w:rsidRPr="00016F8D" w:rsidRDefault="00016F8D" w:rsidP="008003A6">
            <w:pPr>
              <w:jc w:val="right"/>
              <w:rPr>
                <w:sz w:val="22"/>
                <w:szCs w:val="22"/>
              </w:rPr>
            </w:pPr>
            <w:r w:rsidRPr="00016F8D">
              <w:rPr>
                <w:sz w:val="22"/>
                <w:szCs w:val="22"/>
              </w:rPr>
              <w:t>0.22</w:t>
            </w:r>
          </w:p>
        </w:tc>
        <w:tc>
          <w:tcPr>
            <w:tcW w:w="1334" w:type="dxa"/>
          </w:tcPr>
          <w:p w:rsidR="00EF70C7" w:rsidRPr="00016F8D" w:rsidRDefault="00016F8D" w:rsidP="008003A6">
            <w:pPr>
              <w:jc w:val="center"/>
              <w:rPr>
                <w:sz w:val="22"/>
                <w:szCs w:val="22"/>
              </w:rPr>
            </w:pPr>
            <w:r w:rsidRPr="00016F8D">
              <w:rPr>
                <w:sz w:val="22"/>
                <w:szCs w:val="22"/>
              </w:rPr>
              <w:t>99</w:t>
            </w:r>
          </w:p>
        </w:tc>
        <w:tc>
          <w:tcPr>
            <w:tcW w:w="1334" w:type="dxa"/>
          </w:tcPr>
          <w:p w:rsidR="00EF70C7" w:rsidRPr="00016F8D" w:rsidRDefault="00016F8D" w:rsidP="008003A6">
            <w:pPr>
              <w:jc w:val="right"/>
              <w:rPr>
                <w:sz w:val="22"/>
                <w:szCs w:val="22"/>
              </w:rPr>
            </w:pPr>
            <w:r w:rsidRPr="00016F8D">
              <w:rPr>
                <w:sz w:val="22"/>
                <w:szCs w:val="22"/>
              </w:rPr>
              <w:t>0.21</w:t>
            </w:r>
          </w:p>
        </w:tc>
      </w:tr>
      <w:tr w:rsidR="00EF70C7" w:rsidRPr="00016F8D" w:rsidTr="001143C9">
        <w:tc>
          <w:tcPr>
            <w:tcW w:w="730" w:type="dxa"/>
            <w:vMerge w:val="restart"/>
            <w:vAlign w:val="center"/>
          </w:tcPr>
          <w:p w:rsidR="00EF70C7" w:rsidRPr="00016F8D" w:rsidRDefault="00EF70C7" w:rsidP="00EF70C7">
            <w:pPr>
              <w:jc w:val="center"/>
              <w:rPr>
                <w:sz w:val="22"/>
                <w:szCs w:val="22"/>
              </w:rPr>
            </w:pPr>
            <w:r w:rsidRPr="00016F8D">
              <w:rPr>
                <w:sz w:val="22"/>
                <w:szCs w:val="22"/>
              </w:rPr>
              <w:t>B</w:t>
            </w:r>
          </w:p>
        </w:tc>
        <w:tc>
          <w:tcPr>
            <w:tcW w:w="705" w:type="dxa"/>
          </w:tcPr>
          <w:p w:rsidR="00EF70C7" w:rsidRPr="00016F8D" w:rsidRDefault="00EF70C7" w:rsidP="00EF70C7">
            <w:pPr>
              <w:jc w:val="center"/>
              <w:rPr>
                <w:sz w:val="22"/>
                <w:szCs w:val="22"/>
              </w:rPr>
            </w:pPr>
            <w:r w:rsidRPr="00016F8D">
              <w:rPr>
                <w:sz w:val="22"/>
                <w:szCs w:val="22"/>
              </w:rPr>
              <w:t>9</w:t>
            </w:r>
          </w:p>
        </w:tc>
        <w:tc>
          <w:tcPr>
            <w:tcW w:w="2246" w:type="dxa"/>
          </w:tcPr>
          <w:p w:rsidR="00EF70C7" w:rsidRPr="00016F8D" w:rsidRDefault="00EF70C7" w:rsidP="00EF70C7">
            <w:pPr>
              <w:jc w:val="right"/>
              <w:rPr>
                <w:sz w:val="22"/>
                <w:szCs w:val="22"/>
              </w:rPr>
            </w:pPr>
            <w:r w:rsidRPr="00016F8D">
              <w:rPr>
                <w:sz w:val="22"/>
                <w:szCs w:val="22"/>
              </w:rPr>
              <w:t>32.57%</w:t>
            </w:r>
          </w:p>
        </w:tc>
        <w:tc>
          <w:tcPr>
            <w:tcW w:w="1333" w:type="dxa"/>
          </w:tcPr>
          <w:p w:rsidR="00EF70C7" w:rsidRPr="00016F8D" w:rsidRDefault="00016F8D" w:rsidP="008003A6">
            <w:pPr>
              <w:jc w:val="center"/>
              <w:rPr>
                <w:sz w:val="22"/>
                <w:szCs w:val="22"/>
              </w:rPr>
            </w:pPr>
            <w:r w:rsidRPr="00016F8D">
              <w:rPr>
                <w:sz w:val="22"/>
                <w:szCs w:val="22"/>
              </w:rPr>
              <w:t>91</w:t>
            </w:r>
          </w:p>
        </w:tc>
        <w:tc>
          <w:tcPr>
            <w:tcW w:w="1334" w:type="dxa"/>
            <w:shd w:val="clear" w:color="auto" w:fill="E7E6E6" w:themeFill="background2"/>
          </w:tcPr>
          <w:p w:rsidR="00EF70C7" w:rsidRPr="007351A2" w:rsidRDefault="00016F8D" w:rsidP="008003A6">
            <w:pPr>
              <w:jc w:val="right"/>
              <w:rPr>
                <w:b/>
                <w:sz w:val="22"/>
                <w:szCs w:val="22"/>
              </w:rPr>
            </w:pPr>
            <w:r w:rsidRPr="007351A2">
              <w:rPr>
                <w:b/>
                <w:sz w:val="22"/>
                <w:szCs w:val="22"/>
              </w:rPr>
              <w:t>0.53</w:t>
            </w:r>
          </w:p>
        </w:tc>
        <w:tc>
          <w:tcPr>
            <w:tcW w:w="1334" w:type="dxa"/>
          </w:tcPr>
          <w:p w:rsidR="00EF70C7" w:rsidRPr="00016F8D" w:rsidRDefault="00016F8D" w:rsidP="008003A6">
            <w:pPr>
              <w:jc w:val="center"/>
              <w:rPr>
                <w:sz w:val="22"/>
                <w:szCs w:val="22"/>
              </w:rPr>
            </w:pPr>
            <w:r w:rsidRPr="00016F8D">
              <w:rPr>
                <w:sz w:val="22"/>
                <w:szCs w:val="22"/>
              </w:rPr>
              <w:t>95</w:t>
            </w:r>
          </w:p>
        </w:tc>
        <w:tc>
          <w:tcPr>
            <w:tcW w:w="1334" w:type="dxa"/>
            <w:shd w:val="clear" w:color="auto" w:fill="E7E6E6" w:themeFill="background2"/>
          </w:tcPr>
          <w:p w:rsidR="00EF70C7" w:rsidRPr="007351A2" w:rsidRDefault="00016F8D" w:rsidP="008003A6">
            <w:pPr>
              <w:jc w:val="right"/>
              <w:rPr>
                <w:b/>
                <w:sz w:val="22"/>
                <w:szCs w:val="22"/>
              </w:rPr>
            </w:pPr>
            <w:r w:rsidRPr="007351A2">
              <w:rPr>
                <w:b/>
                <w:sz w:val="22"/>
                <w:szCs w:val="22"/>
              </w:rPr>
              <w:t>0.51</w:t>
            </w:r>
          </w:p>
        </w:tc>
      </w:tr>
      <w:tr w:rsidR="00EF70C7" w:rsidRPr="00016F8D" w:rsidTr="001143C9">
        <w:tc>
          <w:tcPr>
            <w:tcW w:w="730" w:type="dxa"/>
            <w:vMerge/>
            <w:vAlign w:val="center"/>
          </w:tcPr>
          <w:p w:rsidR="00EF70C7" w:rsidRPr="00016F8D" w:rsidRDefault="00EF70C7" w:rsidP="00EF70C7">
            <w:pPr>
              <w:jc w:val="center"/>
              <w:rPr>
                <w:sz w:val="22"/>
                <w:szCs w:val="22"/>
              </w:rPr>
            </w:pPr>
          </w:p>
        </w:tc>
        <w:tc>
          <w:tcPr>
            <w:tcW w:w="705" w:type="dxa"/>
          </w:tcPr>
          <w:p w:rsidR="00EF70C7" w:rsidRPr="00016F8D" w:rsidRDefault="00EF70C7" w:rsidP="00EF70C7">
            <w:pPr>
              <w:jc w:val="center"/>
              <w:rPr>
                <w:sz w:val="22"/>
                <w:szCs w:val="22"/>
              </w:rPr>
            </w:pPr>
            <w:r w:rsidRPr="00016F8D">
              <w:rPr>
                <w:sz w:val="22"/>
                <w:szCs w:val="22"/>
              </w:rPr>
              <w:t>11</w:t>
            </w:r>
          </w:p>
        </w:tc>
        <w:tc>
          <w:tcPr>
            <w:tcW w:w="2246" w:type="dxa"/>
          </w:tcPr>
          <w:p w:rsidR="00EF70C7" w:rsidRPr="00016F8D" w:rsidRDefault="00EF70C7" w:rsidP="00EF70C7">
            <w:pPr>
              <w:jc w:val="right"/>
              <w:rPr>
                <w:sz w:val="22"/>
                <w:szCs w:val="22"/>
              </w:rPr>
            </w:pPr>
            <w:r w:rsidRPr="00016F8D">
              <w:rPr>
                <w:sz w:val="22"/>
                <w:szCs w:val="22"/>
              </w:rPr>
              <w:t>93.74%</w:t>
            </w:r>
          </w:p>
        </w:tc>
        <w:tc>
          <w:tcPr>
            <w:tcW w:w="1333" w:type="dxa"/>
          </w:tcPr>
          <w:p w:rsidR="00EF70C7" w:rsidRPr="00016F8D" w:rsidRDefault="00016F8D" w:rsidP="008003A6">
            <w:pPr>
              <w:jc w:val="center"/>
              <w:rPr>
                <w:sz w:val="22"/>
                <w:szCs w:val="22"/>
              </w:rPr>
            </w:pPr>
            <w:r w:rsidRPr="00016F8D">
              <w:rPr>
                <w:sz w:val="22"/>
                <w:szCs w:val="22"/>
              </w:rPr>
              <w:t>98</w:t>
            </w:r>
          </w:p>
        </w:tc>
        <w:tc>
          <w:tcPr>
            <w:tcW w:w="1334" w:type="dxa"/>
            <w:shd w:val="clear" w:color="auto" w:fill="E7E6E6" w:themeFill="background2"/>
          </w:tcPr>
          <w:p w:rsidR="00EF70C7" w:rsidRPr="00955CCD" w:rsidRDefault="00016F8D" w:rsidP="008003A6">
            <w:pPr>
              <w:jc w:val="right"/>
              <w:rPr>
                <w:sz w:val="22"/>
                <w:szCs w:val="22"/>
              </w:rPr>
            </w:pPr>
            <w:r w:rsidRPr="00955CCD">
              <w:rPr>
                <w:sz w:val="22"/>
                <w:szCs w:val="22"/>
              </w:rPr>
              <w:t>0.46</w:t>
            </w:r>
          </w:p>
        </w:tc>
        <w:tc>
          <w:tcPr>
            <w:tcW w:w="1334" w:type="dxa"/>
          </w:tcPr>
          <w:p w:rsidR="00EF70C7" w:rsidRPr="00016F8D" w:rsidRDefault="00016F8D" w:rsidP="008003A6">
            <w:pPr>
              <w:jc w:val="center"/>
              <w:rPr>
                <w:sz w:val="22"/>
                <w:szCs w:val="22"/>
              </w:rPr>
            </w:pPr>
            <w:r w:rsidRPr="00016F8D">
              <w:rPr>
                <w:sz w:val="22"/>
                <w:szCs w:val="22"/>
              </w:rPr>
              <w:t>97</w:t>
            </w:r>
          </w:p>
        </w:tc>
        <w:tc>
          <w:tcPr>
            <w:tcW w:w="1334" w:type="dxa"/>
            <w:shd w:val="clear" w:color="auto" w:fill="E7E6E6" w:themeFill="background2"/>
          </w:tcPr>
          <w:p w:rsidR="00EF70C7" w:rsidRPr="00955CCD" w:rsidRDefault="00016F8D" w:rsidP="008003A6">
            <w:pPr>
              <w:jc w:val="right"/>
              <w:rPr>
                <w:sz w:val="22"/>
                <w:szCs w:val="22"/>
              </w:rPr>
            </w:pPr>
            <w:r w:rsidRPr="00955CCD">
              <w:rPr>
                <w:sz w:val="22"/>
                <w:szCs w:val="22"/>
              </w:rPr>
              <w:t>0.41</w:t>
            </w:r>
          </w:p>
        </w:tc>
      </w:tr>
      <w:tr w:rsidR="00EF70C7" w:rsidRPr="00016F8D" w:rsidTr="001143C9">
        <w:tc>
          <w:tcPr>
            <w:tcW w:w="730" w:type="dxa"/>
            <w:vMerge/>
            <w:vAlign w:val="center"/>
          </w:tcPr>
          <w:p w:rsidR="00EF70C7" w:rsidRPr="00016F8D" w:rsidRDefault="00EF70C7" w:rsidP="00EF70C7">
            <w:pPr>
              <w:jc w:val="center"/>
              <w:rPr>
                <w:sz w:val="22"/>
                <w:szCs w:val="22"/>
              </w:rPr>
            </w:pPr>
          </w:p>
        </w:tc>
        <w:tc>
          <w:tcPr>
            <w:tcW w:w="705" w:type="dxa"/>
          </w:tcPr>
          <w:p w:rsidR="00EF70C7" w:rsidRPr="00016F8D" w:rsidRDefault="00EF70C7" w:rsidP="00EF70C7">
            <w:pPr>
              <w:jc w:val="center"/>
              <w:rPr>
                <w:sz w:val="22"/>
                <w:szCs w:val="22"/>
              </w:rPr>
            </w:pPr>
            <w:r w:rsidRPr="00016F8D">
              <w:rPr>
                <w:sz w:val="22"/>
                <w:szCs w:val="22"/>
              </w:rPr>
              <w:t>12</w:t>
            </w:r>
          </w:p>
        </w:tc>
        <w:tc>
          <w:tcPr>
            <w:tcW w:w="2246" w:type="dxa"/>
          </w:tcPr>
          <w:p w:rsidR="00EF70C7" w:rsidRPr="00016F8D" w:rsidRDefault="00EF70C7" w:rsidP="00EF70C7">
            <w:pPr>
              <w:jc w:val="right"/>
              <w:rPr>
                <w:sz w:val="22"/>
                <w:szCs w:val="22"/>
              </w:rPr>
            </w:pPr>
            <w:r w:rsidRPr="00016F8D">
              <w:rPr>
                <w:sz w:val="22"/>
                <w:szCs w:val="22"/>
              </w:rPr>
              <w:t>95.19%</w:t>
            </w:r>
          </w:p>
        </w:tc>
        <w:tc>
          <w:tcPr>
            <w:tcW w:w="1333" w:type="dxa"/>
          </w:tcPr>
          <w:p w:rsidR="00EF70C7" w:rsidRPr="00016F8D" w:rsidRDefault="00016F8D" w:rsidP="008003A6">
            <w:pPr>
              <w:jc w:val="center"/>
              <w:rPr>
                <w:sz w:val="22"/>
                <w:szCs w:val="22"/>
              </w:rPr>
            </w:pPr>
            <w:r w:rsidRPr="00016F8D">
              <w:rPr>
                <w:sz w:val="22"/>
                <w:szCs w:val="22"/>
              </w:rPr>
              <w:t>97.5</w:t>
            </w:r>
          </w:p>
        </w:tc>
        <w:tc>
          <w:tcPr>
            <w:tcW w:w="1334" w:type="dxa"/>
            <w:shd w:val="clear" w:color="auto" w:fill="E7E6E6" w:themeFill="background2"/>
          </w:tcPr>
          <w:p w:rsidR="00EF70C7" w:rsidRPr="007351A2" w:rsidRDefault="00016F8D" w:rsidP="008003A6">
            <w:pPr>
              <w:jc w:val="right"/>
              <w:rPr>
                <w:b/>
                <w:sz w:val="22"/>
                <w:szCs w:val="22"/>
              </w:rPr>
            </w:pPr>
            <w:r w:rsidRPr="007351A2">
              <w:rPr>
                <w:b/>
                <w:sz w:val="22"/>
                <w:szCs w:val="22"/>
              </w:rPr>
              <w:t>0.62</w:t>
            </w:r>
          </w:p>
        </w:tc>
        <w:tc>
          <w:tcPr>
            <w:tcW w:w="1334" w:type="dxa"/>
          </w:tcPr>
          <w:p w:rsidR="00EF70C7" w:rsidRPr="00016F8D" w:rsidRDefault="004C2B19" w:rsidP="008003A6">
            <w:pPr>
              <w:jc w:val="center"/>
              <w:rPr>
                <w:sz w:val="22"/>
                <w:szCs w:val="22"/>
              </w:rPr>
            </w:pPr>
            <w:r>
              <w:rPr>
                <w:sz w:val="22"/>
                <w:szCs w:val="22"/>
              </w:rPr>
              <w:t>95.5</w:t>
            </w:r>
          </w:p>
        </w:tc>
        <w:tc>
          <w:tcPr>
            <w:tcW w:w="1334" w:type="dxa"/>
            <w:shd w:val="clear" w:color="auto" w:fill="E7E6E6" w:themeFill="background2"/>
          </w:tcPr>
          <w:p w:rsidR="00EF70C7" w:rsidRPr="007351A2" w:rsidRDefault="004C2B19" w:rsidP="008003A6">
            <w:pPr>
              <w:jc w:val="right"/>
              <w:rPr>
                <w:b/>
                <w:sz w:val="22"/>
                <w:szCs w:val="22"/>
              </w:rPr>
            </w:pPr>
            <w:r w:rsidRPr="007351A2">
              <w:rPr>
                <w:b/>
                <w:sz w:val="22"/>
                <w:szCs w:val="22"/>
              </w:rPr>
              <w:t>0.55</w:t>
            </w:r>
          </w:p>
        </w:tc>
      </w:tr>
      <w:tr w:rsidR="00EF70C7" w:rsidRPr="00016F8D" w:rsidTr="00EF70C7">
        <w:tc>
          <w:tcPr>
            <w:tcW w:w="730" w:type="dxa"/>
            <w:vMerge w:val="restart"/>
            <w:vAlign w:val="center"/>
          </w:tcPr>
          <w:p w:rsidR="00EF70C7" w:rsidRPr="00016F8D" w:rsidRDefault="00EF70C7" w:rsidP="00EF70C7">
            <w:pPr>
              <w:jc w:val="center"/>
              <w:rPr>
                <w:sz w:val="22"/>
                <w:szCs w:val="22"/>
              </w:rPr>
            </w:pPr>
            <w:r w:rsidRPr="00016F8D">
              <w:rPr>
                <w:sz w:val="22"/>
                <w:szCs w:val="22"/>
              </w:rPr>
              <w:t>C</w:t>
            </w:r>
          </w:p>
        </w:tc>
        <w:tc>
          <w:tcPr>
            <w:tcW w:w="705" w:type="dxa"/>
          </w:tcPr>
          <w:p w:rsidR="00EF70C7" w:rsidRPr="00016F8D" w:rsidRDefault="00EF70C7" w:rsidP="00EF70C7">
            <w:pPr>
              <w:jc w:val="center"/>
              <w:rPr>
                <w:sz w:val="22"/>
                <w:szCs w:val="22"/>
              </w:rPr>
            </w:pPr>
            <w:r w:rsidRPr="00016F8D">
              <w:rPr>
                <w:sz w:val="22"/>
                <w:szCs w:val="22"/>
              </w:rPr>
              <w:t>18</w:t>
            </w:r>
          </w:p>
        </w:tc>
        <w:tc>
          <w:tcPr>
            <w:tcW w:w="2246" w:type="dxa"/>
          </w:tcPr>
          <w:p w:rsidR="00EF70C7" w:rsidRPr="00016F8D" w:rsidRDefault="00EF70C7" w:rsidP="00EF70C7">
            <w:pPr>
              <w:jc w:val="right"/>
              <w:rPr>
                <w:sz w:val="22"/>
                <w:szCs w:val="22"/>
              </w:rPr>
            </w:pPr>
            <w:r w:rsidRPr="00016F8D">
              <w:rPr>
                <w:sz w:val="22"/>
                <w:szCs w:val="22"/>
              </w:rPr>
              <w:t>6.66%</w:t>
            </w:r>
          </w:p>
        </w:tc>
        <w:tc>
          <w:tcPr>
            <w:tcW w:w="1333" w:type="dxa"/>
          </w:tcPr>
          <w:p w:rsidR="00EF70C7" w:rsidRPr="00016F8D" w:rsidRDefault="004C2B19" w:rsidP="008003A6">
            <w:pPr>
              <w:jc w:val="center"/>
              <w:rPr>
                <w:sz w:val="22"/>
                <w:szCs w:val="22"/>
              </w:rPr>
            </w:pPr>
            <w:r>
              <w:rPr>
                <w:sz w:val="22"/>
                <w:szCs w:val="22"/>
              </w:rPr>
              <w:t>90.5</w:t>
            </w:r>
          </w:p>
        </w:tc>
        <w:tc>
          <w:tcPr>
            <w:tcW w:w="1334" w:type="dxa"/>
          </w:tcPr>
          <w:p w:rsidR="00EF70C7" w:rsidRPr="00016F8D" w:rsidRDefault="004C2B19" w:rsidP="008003A6">
            <w:pPr>
              <w:jc w:val="right"/>
              <w:rPr>
                <w:sz w:val="22"/>
                <w:szCs w:val="22"/>
              </w:rPr>
            </w:pPr>
            <w:r>
              <w:rPr>
                <w:sz w:val="22"/>
                <w:szCs w:val="22"/>
              </w:rPr>
              <w:t>0.08</w:t>
            </w:r>
          </w:p>
        </w:tc>
        <w:tc>
          <w:tcPr>
            <w:tcW w:w="1334" w:type="dxa"/>
          </w:tcPr>
          <w:p w:rsidR="00EF70C7" w:rsidRPr="00016F8D" w:rsidRDefault="004C2B19" w:rsidP="008003A6">
            <w:pPr>
              <w:jc w:val="center"/>
              <w:rPr>
                <w:sz w:val="22"/>
                <w:szCs w:val="22"/>
              </w:rPr>
            </w:pPr>
            <w:r>
              <w:rPr>
                <w:sz w:val="22"/>
                <w:szCs w:val="22"/>
              </w:rPr>
              <w:t>94</w:t>
            </w:r>
          </w:p>
        </w:tc>
        <w:tc>
          <w:tcPr>
            <w:tcW w:w="1334" w:type="dxa"/>
          </w:tcPr>
          <w:p w:rsidR="00EF70C7" w:rsidRPr="00016F8D" w:rsidRDefault="004C2B19" w:rsidP="008003A6">
            <w:pPr>
              <w:jc w:val="right"/>
              <w:rPr>
                <w:sz w:val="22"/>
                <w:szCs w:val="22"/>
              </w:rPr>
            </w:pPr>
            <w:r>
              <w:rPr>
                <w:sz w:val="22"/>
                <w:szCs w:val="22"/>
              </w:rPr>
              <w:t>0.06</w:t>
            </w:r>
          </w:p>
        </w:tc>
      </w:tr>
      <w:tr w:rsidR="00EF70C7" w:rsidRPr="00016F8D" w:rsidTr="001143C9">
        <w:tc>
          <w:tcPr>
            <w:tcW w:w="730" w:type="dxa"/>
            <w:vMerge/>
            <w:vAlign w:val="center"/>
          </w:tcPr>
          <w:p w:rsidR="00EF70C7" w:rsidRPr="00016F8D" w:rsidRDefault="00EF70C7" w:rsidP="00EF70C7">
            <w:pPr>
              <w:jc w:val="center"/>
              <w:rPr>
                <w:sz w:val="22"/>
                <w:szCs w:val="22"/>
              </w:rPr>
            </w:pPr>
          </w:p>
        </w:tc>
        <w:tc>
          <w:tcPr>
            <w:tcW w:w="705" w:type="dxa"/>
          </w:tcPr>
          <w:p w:rsidR="00EF70C7" w:rsidRPr="00016F8D" w:rsidRDefault="00EF70C7" w:rsidP="00EF70C7">
            <w:pPr>
              <w:jc w:val="center"/>
              <w:rPr>
                <w:sz w:val="22"/>
                <w:szCs w:val="22"/>
              </w:rPr>
            </w:pPr>
            <w:r w:rsidRPr="00016F8D">
              <w:rPr>
                <w:sz w:val="22"/>
                <w:szCs w:val="22"/>
              </w:rPr>
              <w:t>24</w:t>
            </w:r>
          </w:p>
        </w:tc>
        <w:tc>
          <w:tcPr>
            <w:tcW w:w="2246" w:type="dxa"/>
          </w:tcPr>
          <w:p w:rsidR="00EF70C7" w:rsidRPr="00016F8D" w:rsidRDefault="00EF70C7" w:rsidP="00EF70C7">
            <w:pPr>
              <w:jc w:val="right"/>
              <w:rPr>
                <w:sz w:val="22"/>
                <w:szCs w:val="22"/>
              </w:rPr>
            </w:pPr>
            <w:r w:rsidRPr="00016F8D">
              <w:rPr>
                <w:sz w:val="22"/>
                <w:szCs w:val="22"/>
              </w:rPr>
              <w:t>7.97%</w:t>
            </w:r>
          </w:p>
        </w:tc>
        <w:tc>
          <w:tcPr>
            <w:tcW w:w="1333" w:type="dxa"/>
          </w:tcPr>
          <w:p w:rsidR="00EF70C7" w:rsidRPr="00016F8D" w:rsidRDefault="004C2B19" w:rsidP="008003A6">
            <w:pPr>
              <w:jc w:val="center"/>
              <w:rPr>
                <w:sz w:val="22"/>
                <w:szCs w:val="22"/>
              </w:rPr>
            </w:pPr>
            <w:r>
              <w:rPr>
                <w:sz w:val="22"/>
                <w:szCs w:val="22"/>
              </w:rPr>
              <w:t>91</w:t>
            </w:r>
          </w:p>
        </w:tc>
        <w:tc>
          <w:tcPr>
            <w:tcW w:w="1334" w:type="dxa"/>
            <w:shd w:val="clear" w:color="auto" w:fill="E7E6E6" w:themeFill="background2"/>
          </w:tcPr>
          <w:p w:rsidR="00EF70C7" w:rsidRPr="00016F8D" w:rsidRDefault="004C2B19" w:rsidP="008003A6">
            <w:pPr>
              <w:jc w:val="right"/>
              <w:rPr>
                <w:sz w:val="22"/>
                <w:szCs w:val="22"/>
              </w:rPr>
            </w:pPr>
            <w:r>
              <w:rPr>
                <w:sz w:val="22"/>
                <w:szCs w:val="22"/>
              </w:rPr>
              <w:t>0.40</w:t>
            </w:r>
          </w:p>
        </w:tc>
        <w:tc>
          <w:tcPr>
            <w:tcW w:w="1334" w:type="dxa"/>
          </w:tcPr>
          <w:p w:rsidR="00EF70C7" w:rsidRPr="00016F8D" w:rsidRDefault="004C2B19" w:rsidP="008003A6">
            <w:pPr>
              <w:jc w:val="center"/>
              <w:rPr>
                <w:sz w:val="22"/>
                <w:szCs w:val="22"/>
              </w:rPr>
            </w:pPr>
            <w:r>
              <w:rPr>
                <w:sz w:val="22"/>
                <w:szCs w:val="22"/>
              </w:rPr>
              <w:t>99</w:t>
            </w:r>
          </w:p>
        </w:tc>
        <w:tc>
          <w:tcPr>
            <w:tcW w:w="1334" w:type="dxa"/>
            <w:shd w:val="clear" w:color="auto" w:fill="E7E6E6" w:themeFill="background2"/>
          </w:tcPr>
          <w:p w:rsidR="00EF70C7" w:rsidRPr="00016F8D" w:rsidRDefault="004C2B19" w:rsidP="008003A6">
            <w:pPr>
              <w:jc w:val="right"/>
              <w:rPr>
                <w:sz w:val="22"/>
                <w:szCs w:val="22"/>
              </w:rPr>
            </w:pPr>
            <w:r>
              <w:rPr>
                <w:sz w:val="22"/>
                <w:szCs w:val="22"/>
              </w:rPr>
              <w:t>0.34</w:t>
            </w:r>
          </w:p>
        </w:tc>
      </w:tr>
      <w:tr w:rsidR="00EF70C7" w:rsidRPr="00016F8D" w:rsidTr="00EF70C7">
        <w:tc>
          <w:tcPr>
            <w:tcW w:w="730" w:type="dxa"/>
            <w:vMerge/>
            <w:vAlign w:val="center"/>
          </w:tcPr>
          <w:p w:rsidR="00EF70C7" w:rsidRPr="00016F8D" w:rsidRDefault="00EF70C7" w:rsidP="00EF70C7">
            <w:pPr>
              <w:jc w:val="center"/>
              <w:rPr>
                <w:sz w:val="22"/>
                <w:szCs w:val="22"/>
              </w:rPr>
            </w:pPr>
          </w:p>
        </w:tc>
        <w:tc>
          <w:tcPr>
            <w:tcW w:w="705" w:type="dxa"/>
          </w:tcPr>
          <w:p w:rsidR="00EF70C7" w:rsidRPr="00016F8D" w:rsidRDefault="00EF70C7" w:rsidP="00EF70C7">
            <w:pPr>
              <w:jc w:val="center"/>
              <w:rPr>
                <w:sz w:val="22"/>
                <w:szCs w:val="22"/>
              </w:rPr>
            </w:pPr>
            <w:r w:rsidRPr="00016F8D">
              <w:rPr>
                <w:sz w:val="22"/>
                <w:szCs w:val="22"/>
              </w:rPr>
              <w:t>25</w:t>
            </w:r>
          </w:p>
        </w:tc>
        <w:tc>
          <w:tcPr>
            <w:tcW w:w="2246" w:type="dxa"/>
          </w:tcPr>
          <w:p w:rsidR="00EF70C7" w:rsidRPr="00016F8D" w:rsidRDefault="00EF70C7" w:rsidP="00EF70C7">
            <w:pPr>
              <w:jc w:val="right"/>
              <w:rPr>
                <w:sz w:val="22"/>
                <w:szCs w:val="22"/>
              </w:rPr>
            </w:pPr>
            <w:r w:rsidRPr="00016F8D">
              <w:rPr>
                <w:sz w:val="22"/>
                <w:szCs w:val="22"/>
              </w:rPr>
              <w:t>8.49%</w:t>
            </w:r>
          </w:p>
        </w:tc>
        <w:tc>
          <w:tcPr>
            <w:tcW w:w="1333" w:type="dxa"/>
          </w:tcPr>
          <w:p w:rsidR="00EF70C7" w:rsidRPr="00016F8D" w:rsidRDefault="004C2B19" w:rsidP="008003A6">
            <w:pPr>
              <w:jc w:val="center"/>
              <w:rPr>
                <w:sz w:val="22"/>
                <w:szCs w:val="22"/>
              </w:rPr>
            </w:pPr>
            <w:r>
              <w:rPr>
                <w:sz w:val="22"/>
                <w:szCs w:val="22"/>
              </w:rPr>
              <w:t>96</w:t>
            </w:r>
          </w:p>
        </w:tc>
        <w:tc>
          <w:tcPr>
            <w:tcW w:w="1334" w:type="dxa"/>
          </w:tcPr>
          <w:p w:rsidR="00EF70C7" w:rsidRPr="00016F8D" w:rsidRDefault="004C2B19" w:rsidP="008003A6">
            <w:pPr>
              <w:jc w:val="right"/>
              <w:rPr>
                <w:sz w:val="22"/>
                <w:szCs w:val="22"/>
              </w:rPr>
            </w:pPr>
            <w:r>
              <w:rPr>
                <w:sz w:val="22"/>
                <w:szCs w:val="22"/>
              </w:rPr>
              <w:t>0.19</w:t>
            </w:r>
          </w:p>
        </w:tc>
        <w:tc>
          <w:tcPr>
            <w:tcW w:w="1334" w:type="dxa"/>
          </w:tcPr>
          <w:p w:rsidR="00EF70C7" w:rsidRPr="00016F8D" w:rsidRDefault="004C2B19" w:rsidP="008003A6">
            <w:pPr>
              <w:jc w:val="center"/>
              <w:rPr>
                <w:sz w:val="22"/>
                <w:szCs w:val="22"/>
              </w:rPr>
            </w:pPr>
            <w:r>
              <w:rPr>
                <w:sz w:val="22"/>
                <w:szCs w:val="22"/>
              </w:rPr>
              <w:t>91.5</w:t>
            </w:r>
          </w:p>
        </w:tc>
        <w:tc>
          <w:tcPr>
            <w:tcW w:w="1334" w:type="dxa"/>
          </w:tcPr>
          <w:p w:rsidR="00EF70C7" w:rsidRPr="00016F8D" w:rsidRDefault="004C2B19" w:rsidP="008003A6">
            <w:pPr>
              <w:jc w:val="right"/>
              <w:rPr>
                <w:sz w:val="22"/>
                <w:szCs w:val="22"/>
              </w:rPr>
            </w:pPr>
            <w:r>
              <w:rPr>
                <w:sz w:val="22"/>
                <w:szCs w:val="22"/>
              </w:rPr>
              <w:t>0.15</w:t>
            </w:r>
          </w:p>
        </w:tc>
      </w:tr>
      <w:tr w:rsidR="00EF70C7" w:rsidRPr="00016F8D" w:rsidTr="00EF70C7">
        <w:tc>
          <w:tcPr>
            <w:tcW w:w="730" w:type="dxa"/>
            <w:vMerge w:val="restart"/>
            <w:vAlign w:val="center"/>
          </w:tcPr>
          <w:p w:rsidR="00EF70C7" w:rsidRPr="00016F8D" w:rsidRDefault="00EF70C7" w:rsidP="00EF70C7">
            <w:pPr>
              <w:jc w:val="center"/>
              <w:rPr>
                <w:sz w:val="22"/>
                <w:szCs w:val="22"/>
              </w:rPr>
            </w:pPr>
            <w:r w:rsidRPr="00016F8D">
              <w:rPr>
                <w:sz w:val="22"/>
                <w:szCs w:val="22"/>
              </w:rPr>
              <w:t>D</w:t>
            </w:r>
          </w:p>
        </w:tc>
        <w:tc>
          <w:tcPr>
            <w:tcW w:w="705" w:type="dxa"/>
          </w:tcPr>
          <w:p w:rsidR="00EF70C7" w:rsidRPr="00016F8D" w:rsidRDefault="00EF70C7" w:rsidP="00EF70C7">
            <w:pPr>
              <w:jc w:val="center"/>
              <w:rPr>
                <w:sz w:val="22"/>
                <w:szCs w:val="22"/>
              </w:rPr>
            </w:pPr>
            <w:r w:rsidRPr="00016F8D">
              <w:rPr>
                <w:sz w:val="22"/>
                <w:szCs w:val="22"/>
              </w:rPr>
              <w:t>32</w:t>
            </w:r>
          </w:p>
        </w:tc>
        <w:tc>
          <w:tcPr>
            <w:tcW w:w="2246" w:type="dxa"/>
          </w:tcPr>
          <w:p w:rsidR="00EF70C7" w:rsidRPr="00016F8D" w:rsidRDefault="00EF70C7" w:rsidP="00EF70C7">
            <w:pPr>
              <w:jc w:val="right"/>
              <w:rPr>
                <w:sz w:val="22"/>
                <w:szCs w:val="22"/>
              </w:rPr>
            </w:pPr>
            <w:r w:rsidRPr="00016F8D">
              <w:rPr>
                <w:sz w:val="22"/>
                <w:szCs w:val="22"/>
              </w:rPr>
              <w:t>5.79%</w:t>
            </w:r>
          </w:p>
        </w:tc>
        <w:tc>
          <w:tcPr>
            <w:tcW w:w="1333" w:type="dxa"/>
          </w:tcPr>
          <w:p w:rsidR="00EF70C7" w:rsidRPr="00016F8D" w:rsidRDefault="004C2B19" w:rsidP="008003A6">
            <w:pPr>
              <w:jc w:val="center"/>
              <w:rPr>
                <w:sz w:val="22"/>
                <w:szCs w:val="22"/>
              </w:rPr>
            </w:pPr>
            <w:r>
              <w:rPr>
                <w:sz w:val="22"/>
                <w:szCs w:val="22"/>
              </w:rPr>
              <w:t>99</w:t>
            </w:r>
          </w:p>
        </w:tc>
        <w:tc>
          <w:tcPr>
            <w:tcW w:w="1334" w:type="dxa"/>
          </w:tcPr>
          <w:p w:rsidR="00EF70C7" w:rsidRPr="00016F8D" w:rsidRDefault="004C2B19" w:rsidP="008003A6">
            <w:pPr>
              <w:jc w:val="right"/>
              <w:rPr>
                <w:sz w:val="22"/>
                <w:szCs w:val="22"/>
              </w:rPr>
            </w:pPr>
            <w:r>
              <w:rPr>
                <w:sz w:val="22"/>
                <w:szCs w:val="22"/>
              </w:rPr>
              <w:t>0.06</w:t>
            </w:r>
          </w:p>
        </w:tc>
        <w:tc>
          <w:tcPr>
            <w:tcW w:w="1334" w:type="dxa"/>
          </w:tcPr>
          <w:p w:rsidR="00EF70C7" w:rsidRPr="00016F8D" w:rsidRDefault="004C2B19" w:rsidP="008003A6">
            <w:pPr>
              <w:jc w:val="center"/>
              <w:rPr>
                <w:sz w:val="22"/>
                <w:szCs w:val="22"/>
              </w:rPr>
            </w:pPr>
            <w:r>
              <w:rPr>
                <w:sz w:val="22"/>
                <w:szCs w:val="22"/>
              </w:rPr>
              <w:t>99</w:t>
            </w:r>
          </w:p>
        </w:tc>
        <w:tc>
          <w:tcPr>
            <w:tcW w:w="1334" w:type="dxa"/>
          </w:tcPr>
          <w:p w:rsidR="00EF70C7" w:rsidRPr="00016F8D" w:rsidRDefault="004C2B19" w:rsidP="008003A6">
            <w:pPr>
              <w:jc w:val="right"/>
              <w:rPr>
                <w:sz w:val="22"/>
                <w:szCs w:val="22"/>
              </w:rPr>
            </w:pPr>
            <w:r>
              <w:rPr>
                <w:sz w:val="22"/>
                <w:szCs w:val="22"/>
              </w:rPr>
              <w:t>0.06</w:t>
            </w:r>
          </w:p>
        </w:tc>
      </w:tr>
      <w:tr w:rsidR="00EF70C7" w:rsidRPr="00016F8D" w:rsidTr="00EF70C7">
        <w:tc>
          <w:tcPr>
            <w:tcW w:w="730" w:type="dxa"/>
            <w:vMerge/>
            <w:vAlign w:val="center"/>
          </w:tcPr>
          <w:p w:rsidR="00EF70C7" w:rsidRPr="00016F8D" w:rsidRDefault="00EF70C7" w:rsidP="00EF70C7">
            <w:pPr>
              <w:jc w:val="center"/>
              <w:rPr>
                <w:sz w:val="22"/>
                <w:szCs w:val="22"/>
              </w:rPr>
            </w:pPr>
          </w:p>
        </w:tc>
        <w:tc>
          <w:tcPr>
            <w:tcW w:w="705" w:type="dxa"/>
          </w:tcPr>
          <w:p w:rsidR="00EF70C7" w:rsidRPr="00016F8D" w:rsidRDefault="00EF70C7" w:rsidP="00EF70C7">
            <w:pPr>
              <w:jc w:val="center"/>
              <w:rPr>
                <w:sz w:val="22"/>
                <w:szCs w:val="22"/>
              </w:rPr>
            </w:pPr>
            <w:r w:rsidRPr="00016F8D">
              <w:rPr>
                <w:sz w:val="22"/>
                <w:szCs w:val="22"/>
              </w:rPr>
              <w:t>36</w:t>
            </w:r>
          </w:p>
        </w:tc>
        <w:tc>
          <w:tcPr>
            <w:tcW w:w="2246" w:type="dxa"/>
          </w:tcPr>
          <w:p w:rsidR="00EF70C7" w:rsidRPr="00016F8D" w:rsidRDefault="00EF70C7" w:rsidP="00EF70C7">
            <w:pPr>
              <w:jc w:val="right"/>
              <w:rPr>
                <w:sz w:val="22"/>
                <w:szCs w:val="22"/>
              </w:rPr>
            </w:pPr>
            <w:r w:rsidRPr="00016F8D">
              <w:rPr>
                <w:sz w:val="22"/>
                <w:szCs w:val="22"/>
              </w:rPr>
              <w:t>15.60%</w:t>
            </w:r>
          </w:p>
        </w:tc>
        <w:tc>
          <w:tcPr>
            <w:tcW w:w="1333" w:type="dxa"/>
          </w:tcPr>
          <w:p w:rsidR="00EF70C7" w:rsidRPr="00016F8D" w:rsidRDefault="004C2B19" w:rsidP="008003A6">
            <w:pPr>
              <w:jc w:val="center"/>
              <w:rPr>
                <w:sz w:val="22"/>
                <w:szCs w:val="22"/>
              </w:rPr>
            </w:pPr>
            <w:r>
              <w:rPr>
                <w:sz w:val="22"/>
                <w:szCs w:val="22"/>
              </w:rPr>
              <w:t>99.5</w:t>
            </w:r>
          </w:p>
        </w:tc>
        <w:tc>
          <w:tcPr>
            <w:tcW w:w="1334" w:type="dxa"/>
          </w:tcPr>
          <w:p w:rsidR="00EF70C7" w:rsidRPr="00016F8D" w:rsidRDefault="004C2B19" w:rsidP="008003A6">
            <w:pPr>
              <w:jc w:val="right"/>
              <w:rPr>
                <w:sz w:val="22"/>
                <w:szCs w:val="22"/>
              </w:rPr>
            </w:pPr>
            <w:r>
              <w:rPr>
                <w:sz w:val="22"/>
                <w:szCs w:val="22"/>
              </w:rPr>
              <w:t>-0.15</w:t>
            </w:r>
          </w:p>
        </w:tc>
        <w:tc>
          <w:tcPr>
            <w:tcW w:w="1334" w:type="dxa"/>
          </w:tcPr>
          <w:p w:rsidR="00EF70C7" w:rsidRPr="00016F8D" w:rsidRDefault="004C2B19" w:rsidP="008003A6">
            <w:pPr>
              <w:jc w:val="center"/>
              <w:rPr>
                <w:sz w:val="22"/>
                <w:szCs w:val="22"/>
              </w:rPr>
            </w:pPr>
            <w:r>
              <w:rPr>
                <w:sz w:val="22"/>
                <w:szCs w:val="22"/>
              </w:rPr>
              <w:t>99.5</w:t>
            </w:r>
          </w:p>
        </w:tc>
        <w:tc>
          <w:tcPr>
            <w:tcW w:w="1334" w:type="dxa"/>
          </w:tcPr>
          <w:p w:rsidR="00EF70C7" w:rsidRPr="00016F8D" w:rsidRDefault="004C2B19" w:rsidP="008003A6">
            <w:pPr>
              <w:jc w:val="right"/>
              <w:rPr>
                <w:sz w:val="22"/>
                <w:szCs w:val="22"/>
              </w:rPr>
            </w:pPr>
            <w:r>
              <w:rPr>
                <w:sz w:val="22"/>
                <w:szCs w:val="22"/>
              </w:rPr>
              <w:t>-0.25</w:t>
            </w:r>
          </w:p>
        </w:tc>
      </w:tr>
    </w:tbl>
    <w:p w:rsidR="00BD01AD" w:rsidRDefault="00CC50BB">
      <w:pPr>
        <w:rPr>
          <w:rFonts w:ascii="Times New Roman" w:hAnsi="Times New Roman" w:cs="Times New Roman"/>
        </w:rPr>
      </w:pPr>
      <w:r>
        <w:rPr>
          <w:rFonts w:ascii="Times New Roman" w:hAnsi="Times New Roman" w:cs="Times New Roman"/>
        </w:rPr>
        <w:t>Table: Summary of best correlations between unusual word count and overall/output 4* score in sample UOAs</w:t>
      </w:r>
    </w:p>
    <w:p w:rsidR="00985CFB" w:rsidRDefault="00985CFB">
      <w:pPr>
        <w:rPr>
          <w:rFonts w:ascii="Times New Roman" w:hAnsi="Times New Roman" w:cs="Times New Roman"/>
        </w:rPr>
      </w:pPr>
      <w:r>
        <w:rPr>
          <w:rFonts w:ascii="Times New Roman" w:hAnsi="Times New Roman" w:cs="Times New Roman"/>
        </w:rPr>
        <w:t>As seen in Table[], correlations of moderate level and above are shaded while strong correlations are bold as well as shaded.</w:t>
      </w:r>
    </w:p>
    <w:p w:rsidR="00CC50BB" w:rsidRPr="007351A2" w:rsidRDefault="007351A2">
      <w:pPr>
        <w:rPr>
          <w:rFonts w:ascii="Times New Roman" w:hAnsi="Times New Roman" w:cs="Times New Roman"/>
          <w:b/>
          <w:u w:val="single"/>
        </w:rPr>
      </w:pPr>
      <w:r w:rsidRPr="007351A2">
        <w:rPr>
          <w:rFonts w:ascii="Times New Roman" w:hAnsi="Times New Roman" w:cs="Times New Roman"/>
          <w:b/>
          <w:u w:val="single"/>
        </w:rPr>
        <w:t xml:space="preserve">Discussion </w:t>
      </w:r>
    </w:p>
    <w:p w:rsidR="00BD01AD" w:rsidRDefault="009955A6">
      <w:pPr>
        <w:rPr>
          <w:rFonts w:ascii="Times New Roman" w:hAnsi="Times New Roman" w:cs="Times New Roman"/>
        </w:rPr>
      </w:pPr>
      <w:r>
        <w:rPr>
          <w:rFonts w:ascii="Times New Roman" w:hAnsi="Times New Roman" w:cs="Times New Roman"/>
        </w:rPr>
        <w:t xml:space="preserve">Based on the results, different levels of correlations are obtained for various UOAs. This section attempts to discuss all the possible reasons behind such difference </w:t>
      </w:r>
      <w:r w:rsidR="0052361E">
        <w:rPr>
          <w:rFonts w:ascii="Times New Roman" w:hAnsi="Times New Roman" w:cs="Times New Roman"/>
        </w:rPr>
        <w:t>thus to conclude the level of influence additional information has on the scores awarded.</w:t>
      </w:r>
    </w:p>
    <w:p w:rsidR="0052361E" w:rsidRPr="00FA6EAF" w:rsidRDefault="00FA6EAF">
      <w:pPr>
        <w:rPr>
          <w:rFonts w:ascii="Times New Roman" w:hAnsi="Times New Roman" w:cs="Times New Roman"/>
          <w:b/>
        </w:rPr>
      </w:pPr>
      <w:r w:rsidRPr="00FA6EAF">
        <w:rPr>
          <w:rFonts w:ascii="Times New Roman" w:hAnsi="Times New Roman" w:cs="Times New Roman"/>
          <w:b/>
        </w:rPr>
        <w:t>Percentage of submissions with additional information</w:t>
      </w:r>
    </w:p>
    <w:p w:rsidR="00F13D02" w:rsidRDefault="00FA6EAF">
      <w:pPr>
        <w:rPr>
          <w:rFonts w:ascii="Times New Roman" w:hAnsi="Times New Roman" w:cs="Times New Roman"/>
        </w:rPr>
      </w:pPr>
      <w:r>
        <w:rPr>
          <w:rFonts w:ascii="Times New Roman" w:hAnsi="Times New Roman" w:cs="Times New Roman"/>
        </w:rPr>
        <w:t>In the first instance, one would suspect the difference in correlation</w:t>
      </w:r>
      <w:r w:rsidR="00166974">
        <w:rPr>
          <w:rFonts w:ascii="Times New Roman" w:hAnsi="Times New Roman" w:cs="Times New Roman"/>
        </w:rPr>
        <w:t>s</w:t>
      </w:r>
      <w:r>
        <w:rPr>
          <w:rFonts w:ascii="Times New Roman" w:hAnsi="Times New Roman" w:cs="Times New Roman"/>
        </w:rPr>
        <w:t xml:space="preserve"> is largely associated with </w:t>
      </w:r>
      <w:r w:rsidR="00166974">
        <w:rPr>
          <w:rFonts w:ascii="Times New Roman" w:hAnsi="Times New Roman" w:cs="Times New Roman"/>
        </w:rPr>
        <w:t xml:space="preserve">the amount of data available – the more data there is, the more likely a correlation is going to be found. </w:t>
      </w:r>
      <w:r w:rsidR="000E79B2">
        <w:rPr>
          <w:rFonts w:ascii="Times New Roman" w:hAnsi="Times New Roman" w:cs="Times New Roman"/>
        </w:rPr>
        <w:t>This could be illustrated in Figure[], which</w:t>
      </w:r>
      <w:r w:rsidR="00D0019D">
        <w:rPr>
          <w:rFonts w:ascii="Times New Roman" w:hAnsi="Times New Roman" w:cs="Times New Roman"/>
        </w:rPr>
        <w:t xml:space="preserve"> seems</w:t>
      </w:r>
      <w:r w:rsidR="000E79B2">
        <w:rPr>
          <w:rFonts w:ascii="Times New Roman" w:hAnsi="Times New Roman" w:cs="Times New Roman"/>
        </w:rPr>
        <w:t xml:space="preserve"> </w:t>
      </w:r>
      <w:r w:rsidR="00D0019D">
        <w:rPr>
          <w:rFonts w:ascii="Times New Roman" w:hAnsi="Times New Roman" w:cs="Times New Roman"/>
        </w:rPr>
        <w:t>to show</w:t>
      </w:r>
      <w:r w:rsidR="000E79B2">
        <w:rPr>
          <w:rFonts w:ascii="Times New Roman" w:hAnsi="Times New Roman" w:cs="Times New Roman"/>
        </w:rPr>
        <w:t xml:space="preserve"> a trend that Pearson correlation coefficient </w:t>
      </w:r>
      <w:r w:rsidR="00583277">
        <w:rPr>
          <w:rFonts w:ascii="Times New Roman" w:hAnsi="Times New Roman" w:cs="Times New Roman"/>
        </w:rPr>
        <w:t>becomes more positive</w:t>
      </w:r>
      <w:r w:rsidR="000E79B2">
        <w:rPr>
          <w:rFonts w:ascii="Times New Roman" w:hAnsi="Times New Roman" w:cs="Times New Roman"/>
        </w:rPr>
        <w:t xml:space="preserve"> as more data is given. </w:t>
      </w:r>
      <w:r w:rsidR="00583277">
        <w:rPr>
          <w:rFonts w:ascii="Times New Roman" w:hAnsi="Times New Roman" w:cs="Times New Roman"/>
        </w:rPr>
        <w:t xml:space="preserve">However, there are two distictive cases where negative </w:t>
      </w:r>
      <w:r w:rsidR="00583277">
        <w:rPr>
          <w:rFonts w:ascii="Times New Roman" w:hAnsi="Times New Roman" w:cs="Times New Roman"/>
        </w:rPr>
        <w:lastRenderedPageBreak/>
        <w:t xml:space="preserve">and even strongly </w:t>
      </w:r>
      <w:r w:rsidR="00085932">
        <w:rPr>
          <w:rFonts w:ascii="Times New Roman" w:hAnsi="Times New Roman" w:cs="Times New Roman"/>
        </w:rPr>
        <w:t>ne</w:t>
      </w:r>
      <w:r w:rsidR="00583277">
        <w:rPr>
          <w:rFonts w:ascii="Times New Roman" w:hAnsi="Times New Roman" w:cs="Times New Roman"/>
        </w:rPr>
        <w:t>gative correlations are seen</w:t>
      </w:r>
      <w:bookmarkStart w:id="0" w:name="_GoBack"/>
      <w:bookmarkEnd w:id="0"/>
      <w:r w:rsidR="00583277">
        <w:rPr>
          <w:rFonts w:ascii="Times New Roman" w:hAnsi="Times New Roman" w:cs="Times New Roman"/>
        </w:rPr>
        <w:t>.</w:t>
      </w:r>
      <w:r w:rsidR="00AA5C20">
        <w:rPr>
          <w:rFonts w:ascii="Times New Roman" w:hAnsi="Times New Roman" w:cs="Times New Roman"/>
        </w:rPr>
        <w:t xml:space="preserve"> </w:t>
      </w:r>
      <w:r w:rsidR="0005557B">
        <w:rPr>
          <w:rFonts w:ascii="Times New Roman" w:hAnsi="Times New Roman" w:cs="Times New Roman"/>
        </w:rPr>
        <w:t xml:space="preserve">Since 2 out of 10 chosen UOAs are showing negative correlations, it is therefore hard to conclude that unusual word count correlates positively with 4* scores. Further clarification should be made by considering more UOAs. </w:t>
      </w:r>
      <w:r w:rsidR="006B114B">
        <w:rPr>
          <w:rFonts w:ascii="Times New Roman" w:hAnsi="Times New Roman" w:cs="Times New Roman"/>
        </w:rPr>
        <w:t>However, g</w:t>
      </w:r>
      <w:r w:rsidR="00F13D02">
        <w:rPr>
          <w:rFonts w:ascii="Times New Roman" w:hAnsi="Times New Roman" w:cs="Times New Roman"/>
        </w:rPr>
        <w:t xml:space="preserve">iven the chosen sample UOAs for this project, </w:t>
      </w:r>
      <w:r w:rsidR="00CE5D2D">
        <w:rPr>
          <w:rFonts w:ascii="Times New Roman" w:hAnsi="Times New Roman" w:cs="Times New Roman"/>
        </w:rPr>
        <w:t>it is suggested to look at the main panels in which a UOA belongs on efforts to identify any pattern that gives rise to different directions of correlations.</w:t>
      </w:r>
    </w:p>
    <w:p w:rsidR="00AE4E40" w:rsidRDefault="00AE4E40">
      <w:pPr>
        <w:rPr>
          <w:rFonts w:ascii="Times New Roman" w:hAnsi="Times New Roman" w:cs="Times New Roman"/>
        </w:rPr>
      </w:pPr>
    </w:p>
    <w:p w:rsidR="00AE4E40" w:rsidRDefault="00583277">
      <w:pPr>
        <w:rPr>
          <w:rFonts w:ascii="Times New Roman" w:hAnsi="Times New Roman" w:cs="Times New Roman"/>
        </w:rPr>
      </w:pPr>
      <w:r>
        <w:rPr>
          <w:noProof/>
        </w:rPr>
        <w:drawing>
          <wp:inline distT="0" distB="0" distL="0" distR="0" wp14:anchorId="72928EF5" wp14:editId="7B834FD3">
            <wp:extent cx="4572000" cy="2743200"/>
            <wp:effectExtent l="0" t="0" r="0" b="0"/>
            <wp:docPr id="1" name="Chart 1">
              <a:extLst xmlns:a="http://schemas.openxmlformats.org/drawingml/2006/main">
                <a:ext uri="{FF2B5EF4-FFF2-40B4-BE49-F238E27FC236}">
                  <a16:creationId xmlns:a16="http://schemas.microsoft.com/office/drawing/2014/main" id="{659C05EE-86BA-4B8B-8342-8625530E49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9355F" w:rsidRDefault="00A9355F">
      <w:pPr>
        <w:rPr>
          <w:rFonts w:ascii="Times New Roman" w:hAnsi="Times New Roman" w:cs="Times New Roman"/>
        </w:rPr>
      </w:pPr>
    </w:p>
    <w:p w:rsidR="0029728B" w:rsidRPr="0029728B" w:rsidRDefault="0029728B">
      <w:pPr>
        <w:rPr>
          <w:rFonts w:ascii="Times New Roman" w:hAnsi="Times New Roman" w:cs="Times New Roman"/>
          <w:b/>
        </w:rPr>
      </w:pPr>
      <w:r w:rsidRPr="0029728B">
        <w:rPr>
          <w:rFonts w:ascii="Times New Roman" w:hAnsi="Times New Roman" w:cs="Times New Roman"/>
          <w:b/>
        </w:rPr>
        <w:t>Main panels</w:t>
      </w:r>
    </w:p>
    <w:p w:rsidR="0029728B" w:rsidRDefault="00767B30">
      <w:pPr>
        <w:rPr>
          <w:rFonts w:ascii="Times New Roman" w:hAnsi="Times New Roman" w:cs="Times New Roman"/>
        </w:rPr>
      </w:pPr>
      <w:r>
        <w:rPr>
          <w:rFonts w:ascii="Times New Roman" w:hAnsi="Times New Roman" w:cs="Times New Roman"/>
        </w:rPr>
        <w:t xml:space="preserve">Table[] shows that the highest positive correlations are found in main panel B, moderate positive correlations are occasionally found in main panel C, while </w:t>
      </w:r>
      <w:r w:rsidR="002F69A7">
        <w:rPr>
          <w:rFonts w:ascii="Times New Roman" w:hAnsi="Times New Roman" w:cs="Times New Roman"/>
        </w:rPr>
        <w:t xml:space="preserve">strong and week </w:t>
      </w:r>
      <w:r>
        <w:rPr>
          <w:rFonts w:ascii="Times New Roman" w:hAnsi="Times New Roman" w:cs="Times New Roman"/>
        </w:rPr>
        <w:t>negative correlations are found in panels A and D</w:t>
      </w:r>
      <w:r w:rsidR="002F69A7">
        <w:rPr>
          <w:rFonts w:ascii="Times New Roman" w:hAnsi="Times New Roman" w:cs="Times New Roman"/>
        </w:rPr>
        <w:t xml:space="preserve"> respectively</w:t>
      </w:r>
      <w:r>
        <w:rPr>
          <w:rFonts w:ascii="Times New Roman" w:hAnsi="Times New Roman" w:cs="Times New Roman"/>
        </w:rPr>
        <w:t>.</w:t>
      </w:r>
      <w:r w:rsidR="007A7371">
        <w:rPr>
          <w:rFonts w:ascii="Times New Roman" w:hAnsi="Times New Roman" w:cs="Times New Roman"/>
        </w:rPr>
        <w:t xml:space="preserve"> </w:t>
      </w:r>
      <w:r w:rsidR="00D66DFE">
        <w:rPr>
          <w:rFonts w:ascii="Times New Roman" w:hAnsi="Times New Roman" w:cs="Times New Roman"/>
        </w:rPr>
        <w:t>This reflects on the fact that the UOAs in panel B</w:t>
      </w:r>
      <w:r w:rsidR="009674E9">
        <w:rPr>
          <w:rFonts w:ascii="Times New Roman" w:hAnsi="Times New Roman" w:cs="Times New Roman"/>
        </w:rPr>
        <w:t xml:space="preserve"> generally</w:t>
      </w:r>
      <w:r w:rsidR="00D66DFE">
        <w:rPr>
          <w:rFonts w:ascii="Times New Roman" w:hAnsi="Times New Roman" w:cs="Times New Roman"/>
        </w:rPr>
        <w:t xml:space="preserve"> provide </w:t>
      </w:r>
      <w:r w:rsidR="009674E9">
        <w:rPr>
          <w:rFonts w:ascii="Times New Roman" w:hAnsi="Times New Roman" w:cs="Times New Roman"/>
        </w:rPr>
        <w:t>the</w:t>
      </w:r>
      <w:r w:rsidR="00D66DFE">
        <w:rPr>
          <w:rFonts w:ascii="Times New Roman" w:hAnsi="Times New Roman" w:cs="Times New Roman"/>
        </w:rPr>
        <w:t xml:space="preserve"> </w:t>
      </w:r>
      <w:r w:rsidR="009674E9">
        <w:rPr>
          <w:rFonts w:ascii="Times New Roman" w:hAnsi="Times New Roman" w:cs="Times New Roman"/>
        </w:rPr>
        <w:t>largest amount</w:t>
      </w:r>
      <w:r w:rsidR="00D66DFE">
        <w:rPr>
          <w:rFonts w:ascii="Times New Roman" w:hAnsi="Times New Roman" w:cs="Times New Roman"/>
        </w:rPr>
        <w:t xml:space="preserve"> data in the </w:t>
      </w:r>
      <w:r w:rsidR="009674E9">
        <w:rPr>
          <w:rFonts w:ascii="Times New Roman" w:hAnsi="Times New Roman" w:cs="Times New Roman"/>
        </w:rPr>
        <w:t>form of additional information, while panel A being th</w:t>
      </w:r>
      <w:r w:rsidR="0015237D">
        <w:rPr>
          <w:rFonts w:ascii="Times New Roman" w:hAnsi="Times New Roman" w:cs="Times New Roman"/>
        </w:rPr>
        <w:t>e second largest – strong correlations (both positive and negative) are found in these panels.</w:t>
      </w:r>
      <w:r w:rsidR="003A1E78">
        <w:rPr>
          <w:rFonts w:ascii="Times New Roman" w:hAnsi="Times New Roman" w:cs="Times New Roman"/>
        </w:rPr>
        <w:t xml:space="preserve"> </w:t>
      </w:r>
      <w:r w:rsidR="00135855">
        <w:rPr>
          <w:rFonts w:ascii="Times New Roman" w:hAnsi="Times New Roman" w:cs="Times New Roman"/>
        </w:rPr>
        <w:t>The difference in the amout of information available could be explained by REF submission requirements</w:t>
      </w:r>
      <w:r w:rsidR="002E7CA4">
        <w:rPr>
          <w:rFonts w:ascii="Times New Roman" w:hAnsi="Times New Roman" w:cs="Times New Roman"/>
        </w:rPr>
        <w:t xml:space="preserve"> – for additional information, panel A emphasizes the contributions of co-authors and co-researchers, panel B focuses on abstract-like description for the actual work, while panels C and D do not have </w:t>
      </w:r>
      <w:r w:rsidR="006A52BD">
        <w:rPr>
          <w:rFonts w:ascii="Times New Roman" w:hAnsi="Times New Roman" w:cs="Times New Roman"/>
        </w:rPr>
        <w:t xml:space="preserve">any </w:t>
      </w:r>
      <w:r w:rsidR="002E7CA4">
        <w:rPr>
          <w:rFonts w:ascii="Times New Roman" w:hAnsi="Times New Roman" w:cs="Times New Roman"/>
        </w:rPr>
        <w:t xml:space="preserve">strict </w:t>
      </w:r>
      <w:r w:rsidR="006A52BD">
        <w:rPr>
          <w:rFonts w:ascii="Times New Roman" w:hAnsi="Times New Roman" w:cs="Times New Roman"/>
        </w:rPr>
        <w:t>emphasis.</w:t>
      </w:r>
      <w:r w:rsidR="00F72DF7">
        <w:rPr>
          <w:rFonts w:ascii="Times New Roman" w:hAnsi="Times New Roman" w:cs="Times New Roman"/>
        </w:rPr>
        <w:t xml:space="preserve"> </w:t>
      </w:r>
      <w:r w:rsidR="003977CD">
        <w:rPr>
          <w:rFonts w:ascii="Times New Roman" w:hAnsi="Times New Roman" w:cs="Times New Roman"/>
        </w:rPr>
        <w:t>This casts a doubt on the previous hypothesis whether a more “well-written” and informative additional information woud give rise to a better score in all main panels, given that the additional information in some panels does not summarise the submissions.</w:t>
      </w:r>
      <w:r w:rsidR="002F596B">
        <w:rPr>
          <w:rFonts w:ascii="Times New Roman" w:hAnsi="Times New Roman" w:cs="Times New Roman"/>
        </w:rPr>
        <w:t xml:space="preserve"> Thus, this hypothesis could be modified such that more </w:t>
      </w:r>
      <w:r w:rsidR="00921488">
        <w:rPr>
          <w:rFonts w:ascii="Times New Roman" w:hAnsi="Times New Roman" w:cs="Times New Roman"/>
        </w:rPr>
        <w:t>‘well-written’</w:t>
      </w:r>
      <w:r w:rsidR="002F596B">
        <w:rPr>
          <w:rFonts w:ascii="Times New Roman" w:hAnsi="Times New Roman" w:cs="Times New Roman"/>
        </w:rPr>
        <w:t xml:space="preserve"> additional information only contribute</w:t>
      </w:r>
      <w:r w:rsidR="00921488">
        <w:rPr>
          <w:rFonts w:ascii="Times New Roman" w:hAnsi="Times New Roman" w:cs="Times New Roman"/>
        </w:rPr>
        <w:t>s</w:t>
      </w:r>
      <w:r w:rsidR="002F596B">
        <w:rPr>
          <w:rFonts w:ascii="Times New Roman" w:hAnsi="Times New Roman" w:cs="Times New Roman"/>
        </w:rPr>
        <w:t xml:space="preserve"> positively to 4* scores for UOAs in panel B.</w:t>
      </w:r>
      <w:r w:rsidR="00390D00">
        <w:rPr>
          <w:rFonts w:ascii="Times New Roman" w:hAnsi="Times New Roman" w:cs="Times New Roman"/>
        </w:rPr>
        <w:t xml:space="preserve"> </w:t>
      </w:r>
      <w:r w:rsidR="00EC1F90">
        <w:rPr>
          <w:rFonts w:ascii="Times New Roman" w:hAnsi="Times New Roman" w:cs="Times New Roman"/>
        </w:rPr>
        <w:t>Since mainly co-author/co-researcher information is involved in additional information in panel A, it is reasonable to question to what extent this information contributes to the scores. Therefore</w:t>
      </w:r>
      <w:r w:rsidR="00EC1F90">
        <w:rPr>
          <w:rFonts w:ascii="Times New Roman" w:hAnsi="Times New Roman" w:cs="Times New Roman"/>
        </w:rPr>
        <w:t>, more investigation</w:t>
      </w:r>
      <w:r w:rsidR="00A3167D">
        <w:rPr>
          <w:rFonts w:ascii="Times New Roman" w:hAnsi="Times New Roman" w:cs="Times New Roman"/>
        </w:rPr>
        <w:t>s</w:t>
      </w:r>
      <w:r w:rsidR="00EC1F90">
        <w:rPr>
          <w:rFonts w:ascii="Times New Roman" w:hAnsi="Times New Roman" w:cs="Times New Roman"/>
        </w:rPr>
        <w:t xml:space="preserve"> in panel A</w:t>
      </w:r>
      <w:r w:rsidR="00A3167D">
        <w:rPr>
          <w:rFonts w:ascii="Times New Roman" w:hAnsi="Times New Roman" w:cs="Times New Roman"/>
        </w:rPr>
        <w:t xml:space="preserve"> are</w:t>
      </w:r>
      <w:r w:rsidR="00EC1F90">
        <w:rPr>
          <w:rFonts w:ascii="Times New Roman" w:hAnsi="Times New Roman" w:cs="Times New Roman"/>
        </w:rPr>
        <w:t xml:space="preserve"> required to clarify whether or not the negative correlation is a coincidence.</w:t>
      </w:r>
    </w:p>
    <w:p w:rsidR="0029728B" w:rsidRDefault="0029728B">
      <w:pPr>
        <w:rPr>
          <w:rFonts w:ascii="Times New Roman" w:hAnsi="Times New Roman" w:cs="Times New Roman"/>
        </w:rPr>
      </w:pPr>
    </w:p>
    <w:p w:rsidR="00EE347D" w:rsidRDefault="00EE347D">
      <w:pPr>
        <w:rPr>
          <w:rFonts w:ascii="Times New Roman" w:hAnsi="Times New Roman" w:cs="Times New Roman"/>
        </w:rPr>
      </w:pPr>
    </w:p>
    <w:sdt>
      <w:sdtPr>
        <w:rPr>
          <w:rFonts w:asciiTheme="minorHAnsi" w:eastAsiaTheme="minorEastAsia" w:hAnsiTheme="minorHAnsi" w:cstheme="minorBidi"/>
          <w:color w:val="auto"/>
          <w:sz w:val="22"/>
          <w:szCs w:val="22"/>
          <w:lang w:val="en-GB" w:eastAsia="zh-CN"/>
        </w:rPr>
        <w:id w:val="-1884706379"/>
        <w:docPartObj>
          <w:docPartGallery w:val="Bibliographies"/>
          <w:docPartUnique/>
        </w:docPartObj>
      </w:sdtPr>
      <w:sdtEndPr/>
      <w:sdtContent>
        <w:p w:rsidR="006373A0" w:rsidRDefault="006373A0">
          <w:pPr>
            <w:pStyle w:val="Heading1"/>
          </w:pPr>
          <w:r>
            <w:t>References</w:t>
          </w:r>
        </w:p>
        <w:sdt>
          <w:sdtPr>
            <w:id w:val="-573587230"/>
            <w:bibliography/>
          </w:sdtPr>
          <w:sdtEndPr/>
          <w:sdtContent>
            <w:p w:rsidR="00EE347D" w:rsidRDefault="006373A0" w:rsidP="00EE347D">
              <w:pPr>
                <w:pStyle w:val="Bibliography"/>
                <w:rPr>
                  <w:noProof/>
                  <w:sz w:val="24"/>
                  <w:szCs w:val="24"/>
                  <w:lang w:val="en-US"/>
                </w:rPr>
              </w:pPr>
              <w:r>
                <w:fldChar w:fldCharType="begin"/>
              </w:r>
              <w:r>
                <w:instrText xml:space="preserve"> BIBLIOGRAPHY </w:instrText>
              </w:r>
              <w:r>
                <w:fldChar w:fldCharType="separate"/>
              </w:r>
              <w:r w:rsidR="00EE347D">
                <w:rPr>
                  <w:noProof/>
                  <w:lang w:val="en-US"/>
                </w:rPr>
                <w:t xml:space="preserve">Gilleland, M., 2006. </w:t>
              </w:r>
              <w:r w:rsidR="00EE347D">
                <w:rPr>
                  <w:i/>
                  <w:iCs/>
                  <w:noProof/>
                  <w:lang w:val="en-US"/>
                </w:rPr>
                <w:t xml:space="preserve">Levenshtein Distance, in Three Flavors. </w:t>
              </w:r>
              <w:r w:rsidR="00EE347D">
                <w:rPr>
                  <w:noProof/>
                  <w:lang w:val="en-US"/>
                </w:rPr>
                <w:t xml:space="preserve">[Online] </w:t>
              </w:r>
              <w:r w:rsidR="00EE347D">
                <w:rPr>
                  <w:noProof/>
                  <w:lang w:val="en-US"/>
                </w:rPr>
                <w:br/>
                <w:t xml:space="preserve">Available at: </w:t>
              </w:r>
              <w:r w:rsidR="00EE347D">
                <w:rPr>
                  <w:noProof/>
                  <w:u w:val="single"/>
                  <w:lang w:val="en-US"/>
                </w:rPr>
                <w:lastRenderedPageBreak/>
                <w:t>http://people.cs.pitt.edu/~kirk/cs1501/Pruhs/Spring2006/assignments/editdistance/Levenshtein%20Distance.htm</w:t>
              </w:r>
              <w:r w:rsidR="00EE347D">
                <w:rPr>
                  <w:noProof/>
                  <w:lang w:val="en-US"/>
                </w:rPr>
                <w:br/>
                <w:t>[Accessed 07 12 2017].</w:t>
              </w:r>
            </w:p>
            <w:p w:rsidR="00EE347D" w:rsidRDefault="00EE347D" w:rsidP="00EE347D">
              <w:pPr>
                <w:pStyle w:val="Bibliography"/>
                <w:rPr>
                  <w:noProof/>
                  <w:lang w:val="en-US"/>
                </w:rPr>
              </w:pPr>
              <w:r>
                <w:rPr>
                  <w:noProof/>
                  <w:lang w:val="en-US"/>
                </w:rPr>
                <w:t xml:space="preserve">Rajaraman, A. &amp; Ullman, J., 2011. Data Mining. In: </w:t>
              </w:r>
              <w:r>
                <w:rPr>
                  <w:i/>
                  <w:iCs/>
                  <w:noProof/>
                  <w:lang w:val="en-US"/>
                </w:rPr>
                <w:t xml:space="preserve">Minding of Massive Datasets. </w:t>
              </w:r>
              <w:r>
                <w:rPr>
                  <w:noProof/>
                  <w:lang w:val="en-US"/>
                </w:rPr>
                <w:t>s.l.:s.n.</w:t>
              </w:r>
            </w:p>
            <w:p w:rsidR="00EE347D" w:rsidRDefault="00EE347D" w:rsidP="00EE347D">
              <w:pPr>
                <w:pStyle w:val="Bibliography"/>
                <w:rPr>
                  <w:noProof/>
                  <w:lang w:val="en-US"/>
                </w:rPr>
              </w:pPr>
              <w:r>
                <w:rPr>
                  <w:noProof/>
                  <w:lang w:val="en-US"/>
                </w:rPr>
                <w:t xml:space="preserve">REF, 2012. </w:t>
              </w:r>
              <w:r>
                <w:rPr>
                  <w:i/>
                  <w:iCs/>
                  <w:noProof/>
                  <w:lang w:val="en-US"/>
                </w:rPr>
                <w:t xml:space="preserve">Annex A Summary of additional information about outputs, </w:t>
              </w:r>
              <w:r>
                <w:rPr>
                  <w:noProof/>
                  <w:lang w:val="en-US"/>
                </w:rPr>
                <w:t>s.l.: s.n.</w:t>
              </w:r>
            </w:p>
            <w:p w:rsidR="006373A0" w:rsidRDefault="006373A0" w:rsidP="00EE347D">
              <w:r>
                <w:rPr>
                  <w:b/>
                  <w:bCs/>
                  <w:noProof/>
                </w:rPr>
                <w:fldChar w:fldCharType="end"/>
              </w:r>
            </w:p>
          </w:sdtContent>
        </w:sdt>
      </w:sdtContent>
    </w:sdt>
    <w:p w:rsidR="006373A0" w:rsidRPr="00A832A0" w:rsidRDefault="006373A0">
      <w:pPr>
        <w:rPr>
          <w:rFonts w:ascii="Times New Roman" w:hAnsi="Times New Roman" w:cs="Times New Roman"/>
        </w:rPr>
      </w:pPr>
    </w:p>
    <w:sectPr w:rsidR="006373A0" w:rsidRPr="00A83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Microsoft YaHei"/>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828"/>
    <w:rsid w:val="00006BAB"/>
    <w:rsid w:val="0001281E"/>
    <w:rsid w:val="00016F8D"/>
    <w:rsid w:val="0005557B"/>
    <w:rsid w:val="00064BCB"/>
    <w:rsid w:val="000812E7"/>
    <w:rsid w:val="00085932"/>
    <w:rsid w:val="00094C7B"/>
    <w:rsid w:val="000A28A7"/>
    <w:rsid w:val="000A43B4"/>
    <w:rsid w:val="000C02D3"/>
    <w:rsid w:val="000D0A74"/>
    <w:rsid w:val="000E79B2"/>
    <w:rsid w:val="001074A2"/>
    <w:rsid w:val="001143C9"/>
    <w:rsid w:val="00120028"/>
    <w:rsid w:val="00135855"/>
    <w:rsid w:val="00136B14"/>
    <w:rsid w:val="0015237D"/>
    <w:rsid w:val="00166974"/>
    <w:rsid w:val="001B62ED"/>
    <w:rsid w:val="001C2C79"/>
    <w:rsid w:val="002229EB"/>
    <w:rsid w:val="00246B43"/>
    <w:rsid w:val="0024714B"/>
    <w:rsid w:val="002603C4"/>
    <w:rsid w:val="00262838"/>
    <w:rsid w:val="00265AEB"/>
    <w:rsid w:val="0029728B"/>
    <w:rsid w:val="002E7CA4"/>
    <w:rsid w:val="002F596B"/>
    <w:rsid w:val="002F69A7"/>
    <w:rsid w:val="00312B0F"/>
    <w:rsid w:val="00322758"/>
    <w:rsid w:val="003418AF"/>
    <w:rsid w:val="00377A11"/>
    <w:rsid w:val="00390D00"/>
    <w:rsid w:val="003977CD"/>
    <w:rsid w:val="003A1E78"/>
    <w:rsid w:val="003C1A54"/>
    <w:rsid w:val="00411E9B"/>
    <w:rsid w:val="00425B73"/>
    <w:rsid w:val="0042645B"/>
    <w:rsid w:val="00445443"/>
    <w:rsid w:val="00467805"/>
    <w:rsid w:val="004C2B19"/>
    <w:rsid w:val="004D12CF"/>
    <w:rsid w:val="0052361E"/>
    <w:rsid w:val="00525ADF"/>
    <w:rsid w:val="005314C8"/>
    <w:rsid w:val="00542CAD"/>
    <w:rsid w:val="00554B8A"/>
    <w:rsid w:val="00565343"/>
    <w:rsid w:val="005746DD"/>
    <w:rsid w:val="00583277"/>
    <w:rsid w:val="005F0351"/>
    <w:rsid w:val="005F0437"/>
    <w:rsid w:val="005F71D1"/>
    <w:rsid w:val="00625F19"/>
    <w:rsid w:val="006373A0"/>
    <w:rsid w:val="00694FBA"/>
    <w:rsid w:val="00697A6C"/>
    <w:rsid w:val="006A52BD"/>
    <w:rsid w:val="006A6FA7"/>
    <w:rsid w:val="006B0EB0"/>
    <w:rsid w:val="006B114B"/>
    <w:rsid w:val="006C1551"/>
    <w:rsid w:val="006D350D"/>
    <w:rsid w:val="006E56EF"/>
    <w:rsid w:val="0070496D"/>
    <w:rsid w:val="0071578E"/>
    <w:rsid w:val="00717123"/>
    <w:rsid w:val="00723540"/>
    <w:rsid w:val="00726D6B"/>
    <w:rsid w:val="007351A2"/>
    <w:rsid w:val="00742EB0"/>
    <w:rsid w:val="007602D9"/>
    <w:rsid w:val="00767B30"/>
    <w:rsid w:val="0079423E"/>
    <w:rsid w:val="007A36C4"/>
    <w:rsid w:val="007A7371"/>
    <w:rsid w:val="007C7D8A"/>
    <w:rsid w:val="008003A6"/>
    <w:rsid w:val="0081090C"/>
    <w:rsid w:val="008133DF"/>
    <w:rsid w:val="0082531F"/>
    <w:rsid w:val="00835622"/>
    <w:rsid w:val="00846A5F"/>
    <w:rsid w:val="00856EE9"/>
    <w:rsid w:val="0086495E"/>
    <w:rsid w:val="008920DE"/>
    <w:rsid w:val="008B005F"/>
    <w:rsid w:val="008B302F"/>
    <w:rsid w:val="008C0049"/>
    <w:rsid w:val="008E2A7C"/>
    <w:rsid w:val="008F0CB7"/>
    <w:rsid w:val="00900875"/>
    <w:rsid w:val="00921488"/>
    <w:rsid w:val="00921779"/>
    <w:rsid w:val="0092367C"/>
    <w:rsid w:val="0093264F"/>
    <w:rsid w:val="009556D4"/>
    <w:rsid w:val="00955CCD"/>
    <w:rsid w:val="009635B0"/>
    <w:rsid w:val="009674E9"/>
    <w:rsid w:val="00985CFB"/>
    <w:rsid w:val="009955A6"/>
    <w:rsid w:val="009966BE"/>
    <w:rsid w:val="00A04694"/>
    <w:rsid w:val="00A16BC9"/>
    <w:rsid w:val="00A3167D"/>
    <w:rsid w:val="00A457DB"/>
    <w:rsid w:val="00A60828"/>
    <w:rsid w:val="00A70587"/>
    <w:rsid w:val="00A832A0"/>
    <w:rsid w:val="00A9355F"/>
    <w:rsid w:val="00AA41DB"/>
    <w:rsid w:val="00AA5C20"/>
    <w:rsid w:val="00AD1320"/>
    <w:rsid w:val="00AD7177"/>
    <w:rsid w:val="00AE3836"/>
    <w:rsid w:val="00AE3A2E"/>
    <w:rsid w:val="00AE3AF1"/>
    <w:rsid w:val="00AE4E40"/>
    <w:rsid w:val="00B640ED"/>
    <w:rsid w:val="00B66C34"/>
    <w:rsid w:val="00B73869"/>
    <w:rsid w:val="00B7450B"/>
    <w:rsid w:val="00B8254A"/>
    <w:rsid w:val="00B91661"/>
    <w:rsid w:val="00BB21C9"/>
    <w:rsid w:val="00BD01AD"/>
    <w:rsid w:val="00BD3B25"/>
    <w:rsid w:val="00BE24C1"/>
    <w:rsid w:val="00C0735F"/>
    <w:rsid w:val="00C10E17"/>
    <w:rsid w:val="00C225A3"/>
    <w:rsid w:val="00C24C93"/>
    <w:rsid w:val="00C44BAE"/>
    <w:rsid w:val="00C57E43"/>
    <w:rsid w:val="00C61DD0"/>
    <w:rsid w:val="00C908CF"/>
    <w:rsid w:val="00CB084F"/>
    <w:rsid w:val="00CC23C0"/>
    <w:rsid w:val="00CC50BB"/>
    <w:rsid w:val="00CD46EE"/>
    <w:rsid w:val="00CE5D2D"/>
    <w:rsid w:val="00CF0A99"/>
    <w:rsid w:val="00D0019D"/>
    <w:rsid w:val="00D313CF"/>
    <w:rsid w:val="00D66DFE"/>
    <w:rsid w:val="00D74F38"/>
    <w:rsid w:val="00D75580"/>
    <w:rsid w:val="00D90CFF"/>
    <w:rsid w:val="00D92102"/>
    <w:rsid w:val="00D921DD"/>
    <w:rsid w:val="00D9540A"/>
    <w:rsid w:val="00DB014F"/>
    <w:rsid w:val="00DD27B3"/>
    <w:rsid w:val="00E03ACD"/>
    <w:rsid w:val="00E15FE0"/>
    <w:rsid w:val="00E47589"/>
    <w:rsid w:val="00E73721"/>
    <w:rsid w:val="00E73A9D"/>
    <w:rsid w:val="00E74985"/>
    <w:rsid w:val="00E91A19"/>
    <w:rsid w:val="00EB2C4C"/>
    <w:rsid w:val="00EC1F90"/>
    <w:rsid w:val="00ED0EDC"/>
    <w:rsid w:val="00EE347D"/>
    <w:rsid w:val="00EF70C7"/>
    <w:rsid w:val="00F032C9"/>
    <w:rsid w:val="00F13D02"/>
    <w:rsid w:val="00F328AD"/>
    <w:rsid w:val="00F33B6B"/>
    <w:rsid w:val="00F52122"/>
    <w:rsid w:val="00F5480D"/>
    <w:rsid w:val="00F70143"/>
    <w:rsid w:val="00F72927"/>
    <w:rsid w:val="00F72DF7"/>
    <w:rsid w:val="00FA6EAF"/>
    <w:rsid w:val="00FE7A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7146"/>
  <w15:chartTrackingRefBased/>
  <w15:docId w15:val="{01243248-7266-49C3-9760-5F528371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3A0"/>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3A0"/>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6373A0"/>
  </w:style>
  <w:style w:type="character" w:styleId="PlaceholderText">
    <w:name w:val="Placeholder Text"/>
    <w:basedOn w:val="DefaultParagraphFont"/>
    <w:uiPriority w:val="99"/>
    <w:semiHidden/>
    <w:rsid w:val="00F72927"/>
    <w:rPr>
      <w:color w:val="808080"/>
    </w:rPr>
  </w:style>
  <w:style w:type="table" w:styleId="TableGrid">
    <w:name w:val="Table Grid"/>
    <w:basedOn w:val="TableNormal"/>
    <w:uiPriority w:val="59"/>
    <w:rsid w:val="00F72927"/>
    <w:pPr>
      <w:spacing w:after="0" w:line="240" w:lineRule="auto"/>
    </w:pPr>
    <w:rPr>
      <w:rFonts w:ascii="Times New Roman" w:eastAsia="Times New Roman" w:hAnsi="Times New Roman" w:cs="Times New Roman"/>
      <w:sz w:val="20"/>
      <w:szCs w:val="20"/>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13214">
      <w:bodyDiv w:val="1"/>
      <w:marLeft w:val="0"/>
      <w:marRight w:val="0"/>
      <w:marTop w:val="0"/>
      <w:marBottom w:val="0"/>
      <w:divBdr>
        <w:top w:val="none" w:sz="0" w:space="0" w:color="auto"/>
        <w:left w:val="none" w:sz="0" w:space="0" w:color="auto"/>
        <w:bottom w:val="none" w:sz="0" w:space="0" w:color="auto"/>
        <w:right w:val="none" w:sz="0" w:space="0" w:color="auto"/>
      </w:divBdr>
    </w:div>
    <w:div w:id="216825157">
      <w:bodyDiv w:val="1"/>
      <w:marLeft w:val="0"/>
      <w:marRight w:val="0"/>
      <w:marTop w:val="0"/>
      <w:marBottom w:val="0"/>
      <w:divBdr>
        <w:top w:val="none" w:sz="0" w:space="0" w:color="auto"/>
        <w:left w:val="none" w:sz="0" w:space="0" w:color="auto"/>
        <w:bottom w:val="none" w:sz="0" w:space="0" w:color="auto"/>
        <w:right w:val="none" w:sz="0" w:space="0" w:color="auto"/>
      </w:divBdr>
    </w:div>
    <w:div w:id="262228271">
      <w:bodyDiv w:val="1"/>
      <w:marLeft w:val="0"/>
      <w:marRight w:val="0"/>
      <w:marTop w:val="0"/>
      <w:marBottom w:val="0"/>
      <w:divBdr>
        <w:top w:val="none" w:sz="0" w:space="0" w:color="auto"/>
        <w:left w:val="none" w:sz="0" w:space="0" w:color="auto"/>
        <w:bottom w:val="none" w:sz="0" w:space="0" w:color="auto"/>
        <w:right w:val="none" w:sz="0" w:space="0" w:color="auto"/>
      </w:divBdr>
    </w:div>
    <w:div w:id="286284005">
      <w:bodyDiv w:val="1"/>
      <w:marLeft w:val="0"/>
      <w:marRight w:val="0"/>
      <w:marTop w:val="0"/>
      <w:marBottom w:val="0"/>
      <w:divBdr>
        <w:top w:val="none" w:sz="0" w:space="0" w:color="auto"/>
        <w:left w:val="none" w:sz="0" w:space="0" w:color="auto"/>
        <w:bottom w:val="none" w:sz="0" w:space="0" w:color="auto"/>
        <w:right w:val="none" w:sz="0" w:space="0" w:color="auto"/>
      </w:divBdr>
    </w:div>
    <w:div w:id="327444571">
      <w:bodyDiv w:val="1"/>
      <w:marLeft w:val="0"/>
      <w:marRight w:val="0"/>
      <w:marTop w:val="0"/>
      <w:marBottom w:val="0"/>
      <w:divBdr>
        <w:top w:val="none" w:sz="0" w:space="0" w:color="auto"/>
        <w:left w:val="none" w:sz="0" w:space="0" w:color="auto"/>
        <w:bottom w:val="none" w:sz="0" w:space="0" w:color="auto"/>
        <w:right w:val="none" w:sz="0" w:space="0" w:color="auto"/>
      </w:divBdr>
    </w:div>
    <w:div w:id="431436797">
      <w:bodyDiv w:val="1"/>
      <w:marLeft w:val="0"/>
      <w:marRight w:val="0"/>
      <w:marTop w:val="0"/>
      <w:marBottom w:val="0"/>
      <w:divBdr>
        <w:top w:val="none" w:sz="0" w:space="0" w:color="auto"/>
        <w:left w:val="none" w:sz="0" w:space="0" w:color="auto"/>
        <w:bottom w:val="none" w:sz="0" w:space="0" w:color="auto"/>
        <w:right w:val="none" w:sz="0" w:space="0" w:color="auto"/>
      </w:divBdr>
    </w:div>
    <w:div w:id="458112656">
      <w:bodyDiv w:val="1"/>
      <w:marLeft w:val="0"/>
      <w:marRight w:val="0"/>
      <w:marTop w:val="0"/>
      <w:marBottom w:val="0"/>
      <w:divBdr>
        <w:top w:val="none" w:sz="0" w:space="0" w:color="auto"/>
        <w:left w:val="none" w:sz="0" w:space="0" w:color="auto"/>
        <w:bottom w:val="none" w:sz="0" w:space="0" w:color="auto"/>
        <w:right w:val="none" w:sz="0" w:space="0" w:color="auto"/>
      </w:divBdr>
    </w:div>
    <w:div w:id="740254143">
      <w:bodyDiv w:val="1"/>
      <w:marLeft w:val="0"/>
      <w:marRight w:val="0"/>
      <w:marTop w:val="0"/>
      <w:marBottom w:val="0"/>
      <w:divBdr>
        <w:top w:val="none" w:sz="0" w:space="0" w:color="auto"/>
        <w:left w:val="none" w:sz="0" w:space="0" w:color="auto"/>
        <w:bottom w:val="none" w:sz="0" w:space="0" w:color="auto"/>
        <w:right w:val="none" w:sz="0" w:space="0" w:color="auto"/>
      </w:divBdr>
    </w:div>
    <w:div w:id="791628163">
      <w:bodyDiv w:val="1"/>
      <w:marLeft w:val="0"/>
      <w:marRight w:val="0"/>
      <w:marTop w:val="0"/>
      <w:marBottom w:val="0"/>
      <w:divBdr>
        <w:top w:val="none" w:sz="0" w:space="0" w:color="auto"/>
        <w:left w:val="none" w:sz="0" w:space="0" w:color="auto"/>
        <w:bottom w:val="none" w:sz="0" w:space="0" w:color="auto"/>
        <w:right w:val="none" w:sz="0" w:space="0" w:color="auto"/>
      </w:divBdr>
    </w:div>
    <w:div w:id="1083528061">
      <w:bodyDiv w:val="1"/>
      <w:marLeft w:val="0"/>
      <w:marRight w:val="0"/>
      <w:marTop w:val="0"/>
      <w:marBottom w:val="0"/>
      <w:divBdr>
        <w:top w:val="none" w:sz="0" w:space="0" w:color="auto"/>
        <w:left w:val="none" w:sz="0" w:space="0" w:color="auto"/>
        <w:bottom w:val="none" w:sz="0" w:space="0" w:color="auto"/>
        <w:right w:val="none" w:sz="0" w:space="0" w:color="auto"/>
      </w:divBdr>
    </w:div>
    <w:div w:id="1333681612">
      <w:bodyDiv w:val="1"/>
      <w:marLeft w:val="0"/>
      <w:marRight w:val="0"/>
      <w:marTop w:val="0"/>
      <w:marBottom w:val="0"/>
      <w:divBdr>
        <w:top w:val="none" w:sz="0" w:space="0" w:color="auto"/>
        <w:left w:val="none" w:sz="0" w:space="0" w:color="auto"/>
        <w:bottom w:val="none" w:sz="0" w:space="0" w:color="auto"/>
        <w:right w:val="none" w:sz="0" w:space="0" w:color="auto"/>
      </w:divBdr>
    </w:div>
    <w:div w:id="1344237686">
      <w:bodyDiv w:val="1"/>
      <w:marLeft w:val="0"/>
      <w:marRight w:val="0"/>
      <w:marTop w:val="0"/>
      <w:marBottom w:val="0"/>
      <w:divBdr>
        <w:top w:val="none" w:sz="0" w:space="0" w:color="auto"/>
        <w:left w:val="none" w:sz="0" w:space="0" w:color="auto"/>
        <w:bottom w:val="none" w:sz="0" w:space="0" w:color="auto"/>
        <w:right w:val="none" w:sz="0" w:space="0" w:color="auto"/>
      </w:divBdr>
    </w:div>
    <w:div w:id="1355497133">
      <w:bodyDiv w:val="1"/>
      <w:marLeft w:val="0"/>
      <w:marRight w:val="0"/>
      <w:marTop w:val="0"/>
      <w:marBottom w:val="0"/>
      <w:divBdr>
        <w:top w:val="none" w:sz="0" w:space="0" w:color="auto"/>
        <w:left w:val="none" w:sz="0" w:space="0" w:color="auto"/>
        <w:bottom w:val="none" w:sz="0" w:space="0" w:color="auto"/>
        <w:right w:val="none" w:sz="0" w:space="0" w:color="auto"/>
      </w:divBdr>
    </w:div>
    <w:div w:id="1554199238">
      <w:bodyDiv w:val="1"/>
      <w:marLeft w:val="0"/>
      <w:marRight w:val="0"/>
      <w:marTop w:val="0"/>
      <w:marBottom w:val="0"/>
      <w:divBdr>
        <w:top w:val="none" w:sz="0" w:space="0" w:color="auto"/>
        <w:left w:val="none" w:sz="0" w:space="0" w:color="auto"/>
        <w:bottom w:val="none" w:sz="0" w:space="0" w:color="auto"/>
        <w:right w:val="none" w:sz="0" w:space="0" w:color="auto"/>
      </w:divBdr>
    </w:div>
    <w:div w:id="1609115222">
      <w:bodyDiv w:val="1"/>
      <w:marLeft w:val="0"/>
      <w:marRight w:val="0"/>
      <w:marTop w:val="0"/>
      <w:marBottom w:val="0"/>
      <w:divBdr>
        <w:top w:val="none" w:sz="0" w:space="0" w:color="auto"/>
        <w:left w:val="none" w:sz="0" w:space="0" w:color="auto"/>
        <w:bottom w:val="none" w:sz="0" w:space="0" w:color="auto"/>
        <w:right w:val="none" w:sz="0" w:space="0" w:color="auto"/>
      </w:divBdr>
    </w:div>
    <w:div w:id="1776709128">
      <w:bodyDiv w:val="1"/>
      <w:marLeft w:val="0"/>
      <w:marRight w:val="0"/>
      <w:marTop w:val="0"/>
      <w:marBottom w:val="0"/>
      <w:divBdr>
        <w:top w:val="none" w:sz="0" w:space="0" w:color="auto"/>
        <w:left w:val="none" w:sz="0" w:space="0" w:color="auto"/>
        <w:bottom w:val="none" w:sz="0" w:space="0" w:color="auto"/>
        <w:right w:val="none" w:sz="0" w:space="0" w:color="auto"/>
      </w:divBdr>
    </w:div>
    <w:div w:id="1923755862">
      <w:bodyDiv w:val="1"/>
      <w:marLeft w:val="0"/>
      <w:marRight w:val="0"/>
      <w:marTop w:val="0"/>
      <w:marBottom w:val="0"/>
      <w:divBdr>
        <w:top w:val="none" w:sz="0" w:space="0" w:color="auto"/>
        <w:left w:val="none" w:sz="0" w:space="0" w:color="auto"/>
        <w:bottom w:val="none" w:sz="0" w:space="0" w:color="auto"/>
        <w:right w:val="none" w:sz="0" w:space="0" w:color="auto"/>
      </w:divBdr>
    </w:div>
    <w:div w:id="1955093735">
      <w:bodyDiv w:val="1"/>
      <w:marLeft w:val="0"/>
      <w:marRight w:val="0"/>
      <w:marTop w:val="0"/>
      <w:marBottom w:val="0"/>
      <w:divBdr>
        <w:top w:val="none" w:sz="0" w:space="0" w:color="auto"/>
        <w:left w:val="none" w:sz="0" w:space="0" w:color="auto"/>
        <w:bottom w:val="none" w:sz="0" w:space="0" w:color="auto"/>
        <w:right w:val="none" w:sz="0" w:space="0" w:color="auto"/>
      </w:divBdr>
    </w:div>
    <w:div w:id="210522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F:\2017-2018%20Sheffield%20Data%20Analytics\Industrial_team_project\plo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overall</c:v>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xVal>
            <c:numRef>
              <c:f>Sheet1!$A$1:$A$10</c:f>
              <c:numCache>
                <c:formatCode>0.00%</c:formatCode>
                <c:ptCount val="10"/>
                <c:pt idx="0">
                  <c:v>0.50749999999999995</c:v>
                </c:pt>
                <c:pt idx="1">
                  <c:v>0.2535</c:v>
                </c:pt>
                <c:pt idx="2">
                  <c:v>0.32569999999999999</c:v>
                </c:pt>
                <c:pt idx="3">
                  <c:v>0.93740000000000001</c:v>
                </c:pt>
                <c:pt idx="4">
                  <c:v>0.95189999999999997</c:v>
                </c:pt>
                <c:pt idx="5">
                  <c:v>6.6600000000000006E-2</c:v>
                </c:pt>
                <c:pt idx="6">
                  <c:v>7.9699999999999993E-2</c:v>
                </c:pt>
                <c:pt idx="7">
                  <c:v>8.4900000000000003E-2</c:v>
                </c:pt>
                <c:pt idx="8">
                  <c:v>5.79E-2</c:v>
                </c:pt>
                <c:pt idx="9">
                  <c:v>0.156</c:v>
                </c:pt>
              </c:numCache>
            </c:numRef>
          </c:xVal>
          <c:yVal>
            <c:numRef>
              <c:f>Sheet1!$B$1:$B$10</c:f>
              <c:numCache>
                <c:formatCode>General</c:formatCode>
                <c:ptCount val="10"/>
                <c:pt idx="0">
                  <c:v>-0.54</c:v>
                </c:pt>
                <c:pt idx="1">
                  <c:v>0.22</c:v>
                </c:pt>
                <c:pt idx="2">
                  <c:v>0.53</c:v>
                </c:pt>
                <c:pt idx="3">
                  <c:v>0.46</c:v>
                </c:pt>
                <c:pt idx="4">
                  <c:v>0.62</c:v>
                </c:pt>
                <c:pt idx="5">
                  <c:v>0.08</c:v>
                </c:pt>
                <c:pt idx="6">
                  <c:v>0.4</c:v>
                </c:pt>
                <c:pt idx="7">
                  <c:v>0.19</c:v>
                </c:pt>
                <c:pt idx="8">
                  <c:v>0.06</c:v>
                </c:pt>
                <c:pt idx="9">
                  <c:v>-0.15</c:v>
                </c:pt>
              </c:numCache>
            </c:numRef>
          </c:yVal>
          <c:smooth val="0"/>
          <c:extLst>
            <c:ext xmlns:c16="http://schemas.microsoft.com/office/drawing/2014/chart" uri="{C3380CC4-5D6E-409C-BE32-E72D297353CC}">
              <c16:uniqueId val="{00000000-BE7C-4278-B067-2F5580FF4090}"/>
            </c:ext>
          </c:extLst>
        </c:ser>
        <c:ser>
          <c:idx val="1"/>
          <c:order val="1"/>
          <c:tx>
            <c:v>output</c:v>
          </c:tx>
          <c:spPr>
            <a:ln w="25400" cap="flat" cmpd="dbl" algn="ctr">
              <a:noFill/>
              <a:round/>
            </a:ln>
            <a:effectLst/>
          </c:spPr>
          <c:marker>
            <c:symbol val="circle"/>
            <c:size val="6"/>
            <c:spPr>
              <a:noFill/>
              <a:ln w="34925" cap="flat" cmpd="dbl" algn="ctr">
                <a:solidFill>
                  <a:schemeClr val="accent2">
                    <a:lumMod val="75000"/>
                    <a:alpha val="70000"/>
                  </a:schemeClr>
                </a:solidFill>
                <a:round/>
              </a:ln>
              <a:effectLst/>
            </c:spPr>
          </c:marker>
          <c:xVal>
            <c:numRef>
              <c:f>Sheet1!$A$1:$A$10</c:f>
              <c:numCache>
                <c:formatCode>0.00%</c:formatCode>
                <c:ptCount val="10"/>
                <c:pt idx="0">
                  <c:v>0.50749999999999995</c:v>
                </c:pt>
                <c:pt idx="1">
                  <c:v>0.2535</c:v>
                </c:pt>
                <c:pt idx="2">
                  <c:v>0.32569999999999999</c:v>
                </c:pt>
                <c:pt idx="3">
                  <c:v>0.93740000000000001</c:v>
                </c:pt>
                <c:pt idx="4">
                  <c:v>0.95189999999999997</c:v>
                </c:pt>
                <c:pt idx="5">
                  <c:v>6.6600000000000006E-2</c:v>
                </c:pt>
                <c:pt idx="6">
                  <c:v>7.9699999999999993E-2</c:v>
                </c:pt>
                <c:pt idx="7">
                  <c:v>8.4900000000000003E-2</c:v>
                </c:pt>
                <c:pt idx="8">
                  <c:v>5.79E-2</c:v>
                </c:pt>
                <c:pt idx="9">
                  <c:v>0.156</c:v>
                </c:pt>
              </c:numCache>
            </c:numRef>
          </c:xVal>
          <c:yVal>
            <c:numRef>
              <c:f>Sheet1!$C$1:$C$10</c:f>
              <c:numCache>
                <c:formatCode>General</c:formatCode>
                <c:ptCount val="10"/>
                <c:pt idx="0">
                  <c:v>-0.39</c:v>
                </c:pt>
                <c:pt idx="1">
                  <c:v>0.21</c:v>
                </c:pt>
                <c:pt idx="2">
                  <c:v>0.51</c:v>
                </c:pt>
                <c:pt idx="3">
                  <c:v>0.41</c:v>
                </c:pt>
                <c:pt idx="4">
                  <c:v>0.55000000000000004</c:v>
                </c:pt>
                <c:pt idx="5">
                  <c:v>0.06</c:v>
                </c:pt>
                <c:pt idx="6">
                  <c:v>0.34</c:v>
                </c:pt>
                <c:pt idx="7">
                  <c:v>0.15</c:v>
                </c:pt>
                <c:pt idx="8">
                  <c:v>0.06</c:v>
                </c:pt>
                <c:pt idx="9">
                  <c:v>-0.25</c:v>
                </c:pt>
              </c:numCache>
            </c:numRef>
          </c:yVal>
          <c:smooth val="0"/>
          <c:extLst>
            <c:ext xmlns:c16="http://schemas.microsoft.com/office/drawing/2014/chart" uri="{C3380CC4-5D6E-409C-BE32-E72D297353CC}">
              <c16:uniqueId val="{00000001-BE7C-4278-B067-2F5580FF4090}"/>
            </c:ext>
          </c:extLst>
        </c:ser>
        <c:dLbls>
          <c:showLegendKey val="0"/>
          <c:showVal val="0"/>
          <c:showCatName val="0"/>
          <c:showSerName val="0"/>
          <c:showPercent val="0"/>
          <c:showBubbleSize val="0"/>
        </c:dLbls>
        <c:axId val="379118176"/>
        <c:axId val="377387472"/>
      </c:scatterChart>
      <c:valAx>
        <c:axId val="37911817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a:t>
                </a:r>
                <a:r>
                  <a:rPr lang="en-GB" baseline="0"/>
                  <a:t> submissions with additional information</a:t>
                </a:r>
                <a:endParaRPr lang="en-GB"/>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77387472"/>
        <c:crosses val="autoZero"/>
        <c:crossBetween val="midCat"/>
      </c:valAx>
      <c:valAx>
        <c:axId val="3773874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baseline="0"/>
                  <a:t>Pearson correlation</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18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Microsoft YaHei"/>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E23"/>
    <w:rsid w:val="0053082E"/>
    <w:rsid w:val="00E12E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2E23"/>
    <w:rPr>
      <w:color w:val="808080"/>
    </w:rPr>
  </w:style>
  <w:style w:type="paragraph" w:customStyle="1" w:styleId="8B7377186D874A9BBC1316098ED36A2E">
    <w:name w:val="8B7377186D874A9BBC1316098ED36A2E"/>
    <w:rsid w:val="00E12E23"/>
  </w:style>
  <w:style w:type="paragraph" w:customStyle="1" w:styleId="F0D65BA6ED754F469199C98F3D3452F2">
    <w:name w:val="F0D65BA6ED754F469199C98F3D3452F2"/>
    <w:rsid w:val="00E12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REF12</b:Tag>
    <b:SourceType>Report</b:SourceType>
    <b:Guid>{4B7D212F-4D01-4B42-9E01-2AAEAB38446B}</b:Guid>
    <b:Title>Annex A Summary of additional information about outputs</b:Title>
    <b:Year>2012</b:Year>
    <b:Author>
      <b:Author>
        <b:NameList>
          <b:Person>
            <b:Last>REF</b:Last>
          </b:Person>
        </b:NameList>
      </b:Author>
    </b:Author>
    <b:RefOrder>1</b:RefOrder>
  </b:Source>
  <b:Source>
    <b:Tag>Gil06</b:Tag>
    <b:SourceType>InternetSite</b:SourceType>
    <b:Guid>{11CB1192-4218-4E44-942F-4C59A48A6B1B}</b:Guid>
    <b:Title>Levenshtein Distance, in Three Flavors</b:Title>
    <b:Year>2006</b:Year>
    <b:Author>
      <b:Author>
        <b:NameList>
          <b:Person>
            <b:Last>Gilleland</b:Last>
            <b:First>M.</b:First>
          </b:Person>
        </b:NameList>
      </b:Author>
    </b:Author>
    <b:YearAccessed>2017</b:YearAccessed>
    <b:MonthAccessed>12</b:MonthAccessed>
    <b:DayAccessed>07</b:DayAccessed>
    <b:URL>http://people.cs.pitt.edu/~kirk/cs1501/Pruhs/Spring2006/assignments/editdistance/Levenshtein%20Distance.htm</b:URL>
    <b:RefOrder>2</b:RefOrder>
  </b:Source>
  <b:Source>
    <b:Tag>Raj11</b:Tag>
    <b:SourceType>BookSection</b:SourceType>
    <b:Guid>{50006BDF-54F7-4157-955E-191D0067924C}</b:Guid>
    <b:Title>Data Mining</b:Title>
    <b:Year>2011</b:Year>
    <b:Author>
      <b:Author>
        <b:NameList>
          <b:Person>
            <b:Last>Rajaraman</b:Last>
            <b:First>A.</b:First>
          </b:Person>
          <b:Person>
            <b:Last>Ullman</b:Last>
            <b:First>J.D.</b:First>
          </b:Person>
        </b:NameList>
      </b:Author>
    </b:Author>
    <b:BookTitle>Minding of Massive Datasets</b:BookTitle>
    <b:RefOrder>3</b:RefOrder>
  </b:Source>
</b:Sources>
</file>

<file path=customXml/itemProps1.xml><?xml version="1.0" encoding="utf-8"?>
<ds:datastoreItem xmlns:ds="http://schemas.openxmlformats.org/officeDocument/2006/customXml" ds:itemID="{849D250F-A41A-4A8F-991C-68A415939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5</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 Lin</dc:creator>
  <cp:keywords/>
  <dc:description/>
  <cp:lastModifiedBy>Glor Lin</cp:lastModifiedBy>
  <cp:revision>170</cp:revision>
  <dcterms:created xsi:type="dcterms:W3CDTF">2017-12-07T21:05:00Z</dcterms:created>
  <dcterms:modified xsi:type="dcterms:W3CDTF">2017-12-08T13:27:00Z</dcterms:modified>
</cp:coreProperties>
</file>