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DC8" w:rsidRDefault="00983DC8">
      <w:pPr>
        <w:rPr>
          <w:u w:val="single"/>
        </w:rPr>
      </w:pPr>
      <w:r>
        <w:rPr>
          <w:u w:val="single"/>
        </w:rPr>
        <w:t xml:space="preserve">Introduction </w:t>
      </w:r>
    </w:p>
    <w:p w:rsidR="00963DE8" w:rsidRDefault="00963DE8" w:rsidP="00963DE8">
      <w:pPr>
        <w:autoSpaceDE w:val="0"/>
        <w:autoSpaceDN w:val="0"/>
        <w:adjustRightInd w:val="0"/>
        <w:spacing w:after="0" w:line="240" w:lineRule="auto"/>
        <w:rPr>
          <w:rFonts w:ascii="CMR10" w:hAnsi="CMR10" w:cs="CMR10"/>
          <w:lang w:val="en-MY"/>
        </w:rPr>
      </w:pPr>
      <w:r>
        <w:rPr>
          <w:rFonts w:ascii="CMR10" w:hAnsi="CMR10" w:cs="CMR10"/>
          <w:lang w:val="en-MY"/>
        </w:rPr>
        <w:t>The United Kingdom (UK) Government invests millions of pounds each year to improve and</w:t>
      </w:r>
    </w:p>
    <w:p w:rsidR="00963DE8" w:rsidRDefault="00963DE8" w:rsidP="00963DE8">
      <w:pPr>
        <w:autoSpaceDE w:val="0"/>
        <w:autoSpaceDN w:val="0"/>
        <w:adjustRightInd w:val="0"/>
        <w:spacing w:after="0" w:line="240" w:lineRule="auto"/>
        <w:rPr>
          <w:rFonts w:ascii="CMR10" w:hAnsi="CMR10" w:cs="CMR10"/>
          <w:lang w:val="en-MY"/>
        </w:rPr>
      </w:pPr>
      <w:r>
        <w:rPr>
          <w:rFonts w:ascii="CMR10" w:hAnsi="CMR10" w:cs="CMR10"/>
          <w:lang w:val="en-MY"/>
        </w:rPr>
        <w:t>maintain the quality of higher education in the UK, in fact, based on HEFCE (Higher Education</w:t>
      </w:r>
    </w:p>
    <w:p w:rsidR="00963DE8" w:rsidRDefault="00963DE8" w:rsidP="00963DE8">
      <w:pPr>
        <w:autoSpaceDE w:val="0"/>
        <w:autoSpaceDN w:val="0"/>
        <w:adjustRightInd w:val="0"/>
        <w:spacing w:after="0" w:line="240" w:lineRule="auto"/>
        <w:rPr>
          <w:rFonts w:ascii="CMR10" w:hAnsi="CMR10" w:cs="CMR10"/>
          <w:lang w:val="en-MY"/>
        </w:rPr>
      </w:pPr>
      <w:r>
        <w:rPr>
          <w:rFonts w:ascii="CMR10" w:hAnsi="CMR10" w:cs="CMR10"/>
          <w:lang w:val="en-MY"/>
        </w:rPr>
        <w:t>Funding for England) \Guide to funding 2017-18" published report [HEFCE, 2017], a total of</w:t>
      </w:r>
    </w:p>
    <w:p w:rsidR="00963DE8" w:rsidRDefault="00963DE8" w:rsidP="00963DE8">
      <w:pPr>
        <w:autoSpaceDE w:val="0"/>
        <w:autoSpaceDN w:val="0"/>
        <w:adjustRightInd w:val="0"/>
        <w:spacing w:after="0" w:line="240" w:lineRule="auto"/>
        <w:rPr>
          <w:rFonts w:ascii="CMR10" w:hAnsi="CMR10" w:cs="CMR10"/>
          <w:lang w:val="en-MY"/>
        </w:rPr>
      </w:pPr>
      <w:r>
        <w:rPr>
          <w:rFonts w:ascii="CMR10" w:hAnsi="CMR10" w:cs="CMR10"/>
          <w:lang w:val="en-MY"/>
        </w:rPr>
        <w:t xml:space="preserve">3,536 million pounds has been allocated for academic year 2017 </w:t>
      </w:r>
      <w:proofErr w:type="gramStart"/>
      <w:r>
        <w:rPr>
          <w:rFonts w:ascii="CMR10" w:hAnsi="CMR10" w:cs="CMR10"/>
          <w:lang w:val="en-MY"/>
        </w:rPr>
        <w:t>{ 18</w:t>
      </w:r>
      <w:proofErr w:type="gramEnd"/>
      <w:r>
        <w:rPr>
          <w:rFonts w:ascii="CMR10" w:hAnsi="CMR10" w:cs="CMR10"/>
          <w:lang w:val="en-MY"/>
        </w:rPr>
        <w:t>. This allocated money</w:t>
      </w:r>
    </w:p>
    <w:p w:rsidR="00963DE8" w:rsidRDefault="00963DE8" w:rsidP="00963DE8">
      <w:pPr>
        <w:autoSpaceDE w:val="0"/>
        <w:autoSpaceDN w:val="0"/>
        <w:adjustRightInd w:val="0"/>
        <w:spacing w:after="0" w:line="240" w:lineRule="auto"/>
        <w:rPr>
          <w:rFonts w:ascii="CMR10" w:hAnsi="CMR10" w:cs="CMR10"/>
          <w:lang w:val="en-MY"/>
        </w:rPr>
      </w:pPr>
      <w:r>
        <w:rPr>
          <w:rFonts w:ascii="CMR10" w:hAnsi="CMR10" w:cs="CMR10"/>
          <w:lang w:val="en-MY"/>
        </w:rPr>
        <w:t>supports funding for teaching, research, capital grant, knowledge exchange and national facilities</w:t>
      </w:r>
    </w:p>
    <w:p w:rsidR="00963DE8" w:rsidRDefault="00963DE8" w:rsidP="00963DE8">
      <w:pPr>
        <w:autoSpaceDE w:val="0"/>
        <w:autoSpaceDN w:val="0"/>
        <w:adjustRightInd w:val="0"/>
        <w:spacing w:after="0" w:line="240" w:lineRule="auto"/>
        <w:rPr>
          <w:rFonts w:ascii="CMR10" w:hAnsi="CMR10" w:cs="CMR10"/>
          <w:lang w:val="en-MY"/>
        </w:rPr>
      </w:pPr>
      <w:r>
        <w:rPr>
          <w:rFonts w:ascii="CMR10" w:hAnsi="CMR10" w:cs="CMR10"/>
          <w:lang w:val="en-MY"/>
        </w:rPr>
        <w:t>and initiatives, with 45.1% of the funding, a major chunk amounting to 1,595 million pounds,</w:t>
      </w:r>
    </w:p>
    <w:p w:rsidR="00963DE8" w:rsidRDefault="00963DE8" w:rsidP="00963DE8">
      <w:pPr>
        <w:autoSpaceDE w:val="0"/>
        <w:autoSpaceDN w:val="0"/>
        <w:adjustRightInd w:val="0"/>
        <w:spacing w:after="0" w:line="240" w:lineRule="auto"/>
        <w:rPr>
          <w:rFonts w:ascii="CMR10" w:hAnsi="CMR10" w:cs="CMR10"/>
          <w:lang w:val="en-MY"/>
        </w:rPr>
      </w:pPr>
      <w:r>
        <w:rPr>
          <w:rFonts w:ascii="CMR10" w:hAnsi="CMR10" w:cs="CMR10"/>
          <w:lang w:val="en-MY"/>
        </w:rPr>
        <w:t>goes to research. These amounts will then be distributed into HEFCE-funded higher education</w:t>
      </w:r>
    </w:p>
    <w:p w:rsidR="00963DE8" w:rsidRDefault="00963DE8" w:rsidP="00963DE8">
      <w:pPr>
        <w:autoSpaceDE w:val="0"/>
        <w:autoSpaceDN w:val="0"/>
        <w:adjustRightInd w:val="0"/>
        <w:spacing w:after="0" w:line="240" w:lineRule="auto"/>
        <w:rPr>
          <w:rFonts w:ascii="CMR10" w:hAnsi="CMR10" w:cs="CMR10"/>
          <w:lang w:val="en-MY"/>
        </w:rPr>
      </w:pPr>
      <w:r>
        <w:rPr>
          <w:rFonts w:ascii="CMR10" w:hAnsi="CMR10" w:cs="CMR10"/>
          <w:lang w:val="en-MY"/>
        </w:rPr>
        <w:t>institutions (HEIs).</w:t>
      </w:r>
    </w:p>
    <w:p w:rsidR="00963DE8" w:rsidRDefault="00963DE8" w:rsidP="00963DE8">
      <w:pPr>
        <w:autoSpaceDE w:val="0"/>
        <w:autoSpaceDN w:val="0"/>
        <w:adjustRightInd w:val="0"/>
        <w:spacing w:after="0" w:line="240" w:lineRule="auto"/>
        <w:rPr>
          <w:rFonts w:ascii="CMR10" w:hAnsi="CMR10" w:cs="CMR10"/>
          <w:lang w:val="en-MY"/>
        </w:rPr>
      </w:pPr>
    </w:p>
    <w:p w:rsidR="00963DE8" w:rsidRDefault="00963DE8" w:rsidP="00963DE8">
      <w:pPr>
        <w:autoSpaceDE w:val="0"/>
        <w:autoSpaceDN w:val="0"/>
        <w:adjustRightInd w:val="0"/>
        <w:spacing w:after="0" w:line="240" w:lineRule="auto"/>
        <w:rPr>
          <w:rFonts w:ascii="CMR10" w:hAnsi="CMR10" w:cs="CMR10"/>
          <w:lang w:val="en-MY"/>
        </w:rPr>
      </w:pPr>
      <w:r>
        <w:rPr>
          <w:rFonts w:ascii="CMR10" w:hAnsi="CMR10" w:cs="CMR10"/>
          <w:lang w:val="en-MY"/>
        </w:rPr>
        <w:t xml:space="preserve">It is therefore imperative to monitor and measure the </w:t>
      </w:r>
      <w:proofErr w:type="spellStart"/>
      <w:r>
        <w:rPr>
          <w:rFonts w:ascii="CMR10" w:hAnsi="CMR10" w:cs="CMR10"/>
          <w:lang w:val="en-MY"/>
        </w:rPr>
        <w:t>e_ectiveness</w:t>
      </w:r>
      <w:proofErr w:type="spellEnd"/>
      <w:r>
        <w:rPr>
          <w:rFonts w:ascii="CMR10" w:hAnsi="CMR10" w:cs="CMR10"/>
          <w:lang w:val="en-MY"/>
        </w:rPr>
        <w:t xml:space="preserve"> of research grants al-</w:t>
      </w:r>
    </w:p>
    <w:p w:rsidR="00963DE8" w:rsidRDefault="00963DE8" w:rsidP="00963DE8">
      <w:pPr>
        <w:autoSpaceDE w:val="0"/>
        <w:autoSpaceDN w:val="0"/>
        <w:adjustRightInd w:val="0"/>
        <w:spacing w:after="0" w:line="240" w:lineRule="auto"/>
        <w:rPr>
          <w:rFonts w:ascii="CMR10" w:hAnsi="CMR10" w:cs="CMR10"/>
          <w:lang w:val="en-MY"/>
        </w:rPr>
      </w:pPr>
      <w:r>
        <w:rPr>
          <w:rFonts w:ascii="CMR10" w:hAnsi="CMR10" w:cs="CMR10"/>
          <w:lang w:val="en-MY"/>
        </w:rPr>
        <w:t>located to HEIs. To achieve this, an overarching framework for both assessment and funding</w:t>
      </w:r>
    </w:p>
    <w:p w:rsidR="00963DE8" w:rsidRDefault="00963DE8" w:rsidP="00963DE8">
      <w:pPr>
        <w:autoSpaceDE w:val="0"/>
        <w:autoSpaceDN w:val="0"/>
        <w:adjustRightInd w:val="0"/>
        <w:spacing w:after="0" w:line="240" w:lineRule="auto"/>
        <w:rPr>
          <w:rFonts w:ascii="CMR10" w:hAnsi="CMR10" w:cs="CMR10"/>
          <w:lang w:val="en-MY"/>
        </w:rPr>
      </w:pPr>
      <w:r>
        <w:rPr>
          <w:rFonts w:ascii="CMR10" w:hAnsi="CMR10" w:cs="CMR10"/>
          <w:lang w:val="en-MY"/>
        </w:rPr>
        <w:t>of research has been developed, called The Research Excellence Framework (REF). The REF</w:t>
      </w:r>
    </w:p>
    <w:p w:rsidR="00963DE8" w:rsidRDefault="00963DE8" w:rsidP="00963DE8">
      <w:pPr>
        <w:autoSpaceDE w:val="0"/>
        <w:autoSpaceDN w:val="0"/>
        <w:adjustRightInd w:val="0"/>
        <w:spacing w:after="0" w:line="240" w:lineRule="auto"/>
        <w:rPr>
          <w:rFonts w:ascii="CMR10" w:hAnsi="CMR10" w:cs="CMR10"/>
          <w:lang w:val="en-MY"/>
        </w:rPr>
      </w:pPr>
      <w:r>
        <w:rPr>
          <w:rFonts w:ascii="CMR10" w:hAnsi="CMR10" w:cs="CMR10"/>
          <w:lang w:val="en-MY"/>
        </w:rPr>
        <w:t>was created following the UK Government's announcement in December 2006 [Eastwood, 2007]</w:t>
      </w:r>
    </w:p>
    <w:p w:rsidR="00963DE8" w:rsidRDefault="00963DE8" w:rsidP="00963DE8">
      <w:pPr>
        <w:autoSpaceDE w:val="0"/>
        <w:autoSpaceDN w:val="0"/>
        <w:adjustRightInd w:val="0"/>
        <w:spacing w:after="0" w:line="240" w:lineRule="auto"/>
        <w:rPr>
          <w:rFonts w:ascii="CMR10" w:hAnsi="CMR10" w:cs="CMR10"/>
          <w:lang w:val="en-MY"/>
        </w:rPr>
      </w:pPr>
      <w:r>
        <w:rPr>
          <w:rFonts w:ascii="CMR10" w:hAnsi="CMR10" w:cs="CMR10"/>
          <w:lang w:val="en-MY"/>
        </w:rPr>
        <w:t>to replace previous framework, the Research Assessment Exercises (RAE) which was last used</w:t>
      </w:r>
    </w:p>
    <w:p w:rsidR="00963DE8" w:rsidRDefault="00963DE8" w:rsidP="00963DE8">
      <w:pPr>
        <w:autoSpaceDE w:val="0"/>
        <w:autoSpaceDN w:val="0"/>
        <w:adjustRightInd w:val="0"/>
        <w:spacing w:after="0" w:line="240" w:lineRule="auto"/>
        <w:rPr>
          <w:rFonts w:ascii="CMR10" w:hAnsi="CMR10" w:cs="CMR10"/>
          <w:lang w:val="en-MY"/>
        </w:rPr>
      </w:pPr>
      <w:r>
        <w:rPr>
          <w:rFonts w:ascii="CMR10" w:hAnsi="CMR10" w:cs="CMR10"/>
          <w:lang w:val="en-MY"/>
        </w:rPr>
        <w:t>in 2008. In short, REF is a system designed to analyse and evaluate the quality of research</w:t>
      </w:r>
    </w:p>
    <w:p w:rsidR="00963DE8" w:rsidRDefault="00963DE8" w:rsidP="00963DE8">
      <w:pPr>
        <w:autoSpaceDE w:val="0"/>
        <w:autoSpaceDN w:val="0"/>
        <w:adjustRightInd w:val="0"/>
        <w:spacing w:after="0" w:line="240" w:lineRule="auto"/>
        <w:rPr>
          <w:rFonts w:ascii="CMR10" w:hAnsi="CMR10" w:cs="CMR10"/>
          <w:lang w:val="en-MY"/>
        </w:rPr>
      </w:pPr>
      <w:r>
        <w:rPr>
          <w:rFonts w:ascii="CMR10" w:hAnsi="CMR10" w:cs="CMR10"/>
          <w:lang w:val="en-MY"/>
        </w:rPr>
        <w:t>at various HEIs based in the UK and allocate funding based on which HEIs display the most</w:t>
      </w:r>
    </w:p>
    <w:p w:rsidR="00963DE8" w:rsidRDefault="00963DE8" w:rsidP="00963DE8">
      <w:pPr>
        <w:autoSpaceDE w:val="0"/>
        <w:autoSpaceDN w:val="0"/>
        <w:adjustRightInd w:val="0"/>
        <w:spacing w:after="0" w:line="240" w:lineRule="auto"/>
        <w:rPr>
          <w:rFonts w:ascii="CMR10" w:hAnsi="CMR10" w:cs="CMR10"/>
          <w:lang w:val="en-MY"/>
        </w:rPr>
      </w:pPr>
      <w:r>
        <w:rPr>
          <w:rFonts w:ascii="CMR10" w:hAnsi="CMR10" w:cs="CMR10"/>
          <w:lang w:val="en-MY"/>
        </w:rPr>
        <w:t>outstanding quality of work [REF, 2014a].</w:t>
      </w:r>
    </w:p>
    <w:p w:rsidR="00963DE8" w:rsidRDefault="00963DE8" w:rsidP="00963DE8">
      <w:pPr>
        <w:autoSpaceDE w:val="0"/>
        <w:autoSpaceDN w:val="0"/>
        <w:adjustRightInd w:val="0"/>
        <w:spacing w:after="0" w:line="240" w:lineRule="auto"/>
        <w:rPr>
          <w:rFonts w:ascii="CMR10" w:hAnsi="CMR10" w:cs="CMR10"/>
          <w:lang w:val="en-MY"/>
        </w:rPr>
      </w:pPr>
    </w:p>
    <w:p w:rsidR="00963DE8" w:rsidRDefault="00963DE8" w:rsidP="00963DE8">
      <w:pPr>
        <w:autoSpaceDE w:val="0"/>
        <w:autoSpaceDN w:val="0"/>
        <w:adjustRightInd w:val="0"/>
        <w:spacing w:after="0" w:line="240" w:lineRule="auto"/>
        <w:rPr>
          <w:rFonts w:ascii="CMR10" w:hAnsi="CMR10" w:cs="CMR10"/>
          <w:lang w:val="en-MY"/>
        </w:rPr>
      </w:pPr>
      <w:r>
        <w:rPr>
          <w:rFonts w:ascii="CMR10" w:hAnsi="CMR10" w:cs="CMR10"/>
          <w:lang w:val="en-MY"/>
        </w:rPr>
        <w:t>The REF is conducted every seven to eight years, with the last REF having been conducted</w:t>
      </w:r>
    </w:p>
    <w:p w:rsidR="00963DE8" w:rsidRDefault="00963DE8" w:rsidP="00963DE8">
      <w:pPr>
        <w:autoSpaceDE w:val="0"/>
        <w:autoSpaceDN w:val="0"/>
        <w:adjustRightInd w:val="0"/>
        <w:spacing w:after="0" w:line="240" w:lineRule="auto"/>
        <w:rPr>
          <w:rFonts w:ascii="CMR10" w:hAnsi="CMR10" w:cs="CMR10"/>
          <w:lang w:val="en-MY"/>
        </w:rPr>
      </w:pPr>
      <w:r>
        <w:rPr>
          <w:rFonts w:ascii="CMR10" w:hAnsi="CMR10" w:cs="CMR10"/>
          <w:lang w:val="en-MY"/>
        </w:rPr>
        <w:t>in 2014, where a total of 191,150 datasets had been submitted by HEIs [REF, 2014a]. The</w:t>
      </w:r>
    </w:p>
    <w:p w:rsidR="00963DE8" w:rsidRDefault="00963DE8" w:rsidP="00963DE8">
      <w:pPr>
        <w:autoSpaceDE w:val="0"/>
        <w:autoSpaceDN w:val="0"/>
        <w:adjustRightInd w:val="0"/>
        <w:spacing w:after="0" w:line="240" w:lineRule="auto"/>
        <w:rPr>
          <w:rFonts w:ascii="CMR10" w:hAnsi="CMR10" w:cs="CMR10"/>
          <w:lang w:val="en-MY"/>
        </w:rPr>
      </w:pPr>
      <w:r>
        <w:rPr>
          <w:rFonts w:ascii="CMR10" w:hAnsi="CMR10" w:cs="CMR10"/>
          <w:lang w:val="en-MY"/>
        </w:rPr>
        <w:t>submission period generally opens 14 months prior to the assessment exercise, where the REF</w:t>
      </w:r>
    </w:p>
    <w:p w:rsidR="00963DE8" w:rsidRDefault="00963DE8" w:rsidP="00963DE8">
      <w:pPr>
        <w:autoSpaceDE w:val="0"/>
        <w:autoSpaceDN w:val="0"/>
        <w:adjustRightInd w:val="0"/>
        <w:spacing w:after="0" w:line="240" w:lineRule="auto"/>
        <w:rPr>
          <w:rFonts w:ascii="CMR10" w:hAnsi="CMR10" w:cs="CMR10"/>
          <w:lang w:val="en-MY"/>
        </w:rPr>
      </w:pPr>
      <w:r>
        <w:rPr>
          <w:rFonts w:ascii="CMR10" w:hAnsi="CMR10" w:cs="CMR10"/>
          <w:lang w:val="en-MY"/>
        </w:rPr>
        <w:t xml:space="preserve">committee will invite HEIs to submit their datasets into 36 </w:t>
      </w:r>
      <w:proofErr w:type="spellStart"/>
      <w:r>
        <w:rPr>
          <w:rFonts w:ascii="CMR10" w:hAnsi="CMR10" w:cs="CMR10"/>
          <w:lang w:val="en-MY"/>
        </w:rPr>
        <w:t>di_erent</w:t>
      </w:r>
      <w:proofErr w:type="spellEnd"/>
      <w:r>
        <w:rPr>
          <w:rFonts w:ascii="CMR10" w:hAnsi="CMR10" w:cs="CMR10"/>
          <w:lang w:val="en-MY"/>
        </w:rPr>
        <w:t xml:space="preserve"> disciplines segregated</w:t>
      </w:r>
    </w:p>
    <w:p w:rsidR="00963DE8" w:rsidRDefault="00963DE8" w:rsidP="00963DE8">
      <w:pPr>
        <w:autoSpaceDE w:val="0"/>
        <w:autoSpaceDN w:val="0"/>
        <w:adjustRightInd w:val="0"/>
        <w:spacing w:after="0" w:line="240" w:lineRule="auto"/>
        <w:rPr>
          <w:rFonts w:ascii="CMR10" w:hAnsi="CMR10" w:cs="CMR10"/>
          <w:lang w:val="en-MY"/>
        </w:rPr>
      </w:pPr>
      <w:r>
        <w:rPr>
          <w:rFonts w:ascii="CMR10" w:hAnsi="CMR10" w:cs="CMR10"/>
          <w:lang w:val="en-MY"/>
        </w:rPr>
        <w:t>by units of assessments (UOAs). For the 2014 REF, after the submission period had ended,</w:t>
      </w:r>
    </w:p>
    <w:p w:rsidR="00963DE8" w:rsidRDefault="00963DE8" w:rsidP="00963DE8">
      <w:pPr>
        <w:autoSpaceDE w:val="0"/>
        <w:autoSpaceDN w:val="0"/>
        <w:adjustRightInd w:val="0"/>
        <w:spacing w:after="0" w:line="240" w:lineRule="auto"/>
        <w:rPr>
          <w:rFonts w:ascii="CMR10" w:hAnsi="CMR10" w:cs="CMR10"/>
          <w:lang w:val="en-MY"/>
        </w:rPr>
      </w:pPr>
      <w:r>
        <w:rPr>
          <w:rFonts w:ascii="CMR10" w:hAnsi="CMR10" w:cs="CMR10"/>
          <w:lang w:val="en-MY"/>
        </w:rPr>
        <w:t>the expert review process was then conducted by the four main panels throughout 2014, from</w:t>
      </w:r>
    </w:p>
    <w:p w:rsidR="00963DE8" w:rsidRDefault="00963DE8" w:rsidP="00963DE8">
      <w:pPr>
        <w:autoSpaceDE w:val="0"/>
        <w:autoSpaceDN w:val="0"/>
        <w:adjustRightInd w:val="0"/>
        <w:spacing w:after="0" w:line="240" w:lineRule="auto"/>
        <w:rPr>
          <w:rFonts w:ascii="CMR10" w:hAnsi="CMR10" w:cs="CMR10"/>
          <w:lang w:val="en-MY"/>
        </w:rPr>
      </w:pPr>
      <w:r>
        <w:rPr>
          <w:rFonts w:ascii="CMR10" w:hAnsi="CMR10" w:cs="CMR10"/>
          <w:lang w:val="en-MY"/>
        </w:rPr>
        <w:t>January to November, and concluded with publishing of REF results in December 2014. This</w:t>
      </w:r>
    </w:p>
    <w:p w:rsidR="00983DC8" w:rsidRDefault="00963DE8" w:rsidP="00963DE8">
      <w:pPr>
        <w:rPr>
          <w:rFonts w:ascii="CMR10" w:hAnsi="CMR10" w:cs="CMR10"/>
          <w:lang w:val="en-MY"/>
        </w:rPr>
      </w:pPr>
      <w:r>
        <w:rPr>
          <w:rFonts w:ascii="CMR10" w:hAnsi="CMR10" w:cs="CMR10"/>
          <w:lang w:val="en-MY"/>
        </w:rPr>
        <w:t>process in whole took 26 months to complete.</w:t>
      </w:r>
    </w:p>
    <w:p w:rsidR="00E373A4" w:rsidRPr="00E373A4" w:rsidRDefault="00E373A4" w:rsidP="00963DE8">
      <w:pPr>
        <w:rPr>
          <w:rFonts w:ascii="CMR10" w:hAnsi="CMR10" w:cs="CMR10"/>
          <w:u w:val="single"/>
          <w:lang w:val="en-MY"/>
        </w:rPr>
      </w:pPr>
      <w:r w:rsidRPr="00E373A4">
        <w:rPr>
          <w:rFonts w:ascii="CMR10" w:hAnsi="CMR10" w:cs="CMR10"/>
          <w:u w:val="single"/>
          <w:lang w:val="en-MY"/>
        </w:rPr>
        <w:t>Project Aim</w:t>
      </w:r>
      <w:bookmarkStart w:id="0" w:name="_GoBack"/>
      <w:bookmarkEnd w:id="0"/>
    </w:p>
    <w:p w:rsidR="00E373A4" w:rsidRDefault="00E373A4" w:rsidP="00E373A4">
      <w:pPr>
        <w:autoSpaceDE w:val="0"/>
        <w:autoSpaceDN w:val="0"/>
        <w:adjustRightInd w:val="0"/>
        <w:spacing w:after="0" w:line="240" w:lineRule="auto"/>
        <w:rPr>
          <w:rFonts w:ascii="CMR10" w:hAnsi="CMR10" w:cs="CMR10"/>
          <w:lang w:val="en-MY"/>
        </w:rPr>
      </w:pPr>
      <w:r>
        <w:rPr>
          <w:rFonts w:ascii="CMR10" w:hAnsi="CMR10" w:cs="CMR10"/>
          <w:lang w:val="en-MY"/>
        </w:rPr>
        <w:t>In view of the lengthy processes and estimated high man-hours required to conduct REF assess-</w:t>
      </w:r>
    </w:p>
    <w:p w:rsidR="00E373A4" w:rsidRDefault="00E373A4" w:rsidP="00E373A4">
      <w:pPr>
        <w:autoSpaceDE w:val="0"/>
        <w:autoSpaceDN w:val="0"/>
        <w:adjustRightInd w:val="0"/>
        <w:spacing w:after="0" w:line="240" w:lineRule="auto"/>
        <w:rPr>
          <w:rFonts w:ascii="CMR10" w:hAnsi="CMR10" w:cs="CMR10"/>
          <w:lang w:val="en-MY"/>
        </w:rPr>
      </w:pPr>
      <w:proofErr w:type="spellStart"/>
      <w:r>
        <w:rPr>
          <w:rFonts w:ascii="CMR10" w:hAnsi="CMR10" w:cs="CMR10"/>
          <w:lang w:val="en-MY"/>
        </w:rPr>
        <w:t>ment</w:t>
      </w:r>
      <w:proofErr w:type="spellEnd"/>
      <w:r>
        <w:rPr>
          <w:rFonts w:ascii="CMR10" w:hAnsi="CMR10" w:cs="CMR10"/>
          <w:lang w:val="en-MY"/>
        </w:rPr>
        <w:t xml:space="preserve"> exercises by HEIs and REF committee, a team of _</w:t>
      </w:r>
      <w:proofErr w:type="spellStart"/>
      <w:r>
        <w:rPr>
          <w:rFonts w:ascii="CMR10" w:hAnsi="CMR10" w:cs="CMR10"/>
          <w:lang w:val="en-MY"/>
        </w:rPr>
        <w:t>ve</w:t>
      </w:r>
      <w:proofErr w:type="spellEnd"/>
      <w:r>
        <w:rPr>
          <w:rFonts w:ascii="CMR10" w:hAnsi="CMR10" w:cs="CMR10"/>
          <w:lang w:val="en-MY"/>
        </w:rPr>
        <w:t xml:space="preserve"> has been tasked to systematically</w:t>
      </w:r>
    </w:p>
    <w:p w:rsidR="00E373A4" w:rsidRDefault="00E373A4" w:rsidP="00E373A4">
      <w:pPr>
        <w:autoSpaceDE w:val="0"/>
        <w:autoSpaceDN w:val="0"/>
        <w:adjustRightInd w:val="0"/>
        <w:spacing w:after="0" w:line="240" w:lineRule="auto"/>
        <w:rPr>
          <w:rFonts w:ascii="CMR10" w:hAnsi="CMR10" w:cs="CMR10"/>
          <w:lang w:val="en-MY"/>
        </w:rPr>
      </w:pPr>
      <w:r>
        <w:rPr>
          <w:rFonts w:ascii="CMR10" w:hAnsi="CMR10" w:cs="CMR10"/>
          <w:lang w:val="en-MY"/>
        </w:rPr>
        <w:t xml:space="preserve">analyse REF 2014 data. By knowing what factors do or do not contribute to getting </w:t>
      </w:r>
      <w:proofErr w:type="spellStart"/>
      <w:r>
        <w:rPr>
          <w:rFonts w:ascii="CMR10" w:hAnsi="CMR10" w:cs="CMR10"/>
          <w:lang w:val="en-MY"/>
        </w:rPr>
        <w:t>a</w:t>
      </w:r>
      <w:proofErr w:type="spellEnd"/>
      <w:r>
        <w:rPr>
          <w:rFonts w:ascii="CMR10" w:hAnsi="CMR10" w:cs="CMR10"/>
          <w:lang w:val="en-MY"/>
        </w:rPr>
        <w:t xml:space="preserve"> out-</w:t>
      </w:r>
    </w:p>
    <w:p w:rsidR="00E373A4" w:rsidRDefault="00E373A4" w:rsidP="00E373A4">
      <w:pPr>
        <w:autoSpaceDE w:val="0"/>
        <w:autoSpaceDN w:val="0"/>
        <w:adjustRightInd w:val="0"/>
        <w:spacing w:after="0" w:line="240" w:lineRule="auto"/>
        <w:rPr>
          <w:rFonts w:ascii="CMR10" w:hAnsi="CMR10" w:cs="CMR10"/>
          <w:lang w:val="en-MY"/>
        </w:rPr>
      </w:pPr>
      <w:r>
        <w:rPr>
          <w:rFonts w:ascii="CMR10" w:hAnsi="CMR10" w:cs="CMR10"/>
          <w:lang w:val="en-MY"/>
        </w:rPr>
        <w:t>standing REF rating score for HEIs, a more focused application of man-hours on factors that</w:t>
      </w:r>
    </w:p>
    <w:p w:rsidR="00E373A4" w:rsidRDefault="00E373A4" w:rsidP="00E373A4">
      <w:pPr>
        <w:autoSpaceDE w:val="0"/>
        <w:autoSpaceDN w:val="0"/>
        <w:adjustRightInd w:val="0"/>
        <w:spacing w:after="0" w:line="240" w:lineRule="auto"/>
        <w:rPr>
          <w:rFonts w:ascii="CMR10" w:hAnsi="CMR10" w:cs="CMR10"/>
          <w:lang w:val="en-MY"/>
        </w:rPr>
      </w:pPr>
      <w:r>
        <w:rPr>
          <w:rFonts w:ascii="CMR10" w:hAnsi="CMR10" w:cs="CMR10"/>
          <w:lang w:val="en-MY"/>
        </w:rPr>
        <w:t>increase the REF score could be taken by the HEIs.</w:t>
      </w:r>
    </w:p>
    <w:p w:rsidR="00E373A4" w:rsidRDefault="00E373A4" w:rsidP="00E373A4">
      <w:pPr>
        <w:autoSpaceDE w:val="0"/>
        <w:autoSpaceDN w:val="0"/>
        <w:adjustRightInd w:val="0"/>
        <w:spacing w:after="0" w:line="240" w:lineRule="auto"/>
        <w:rPr>
          <w:rFonts w:ascii="CMR10" w:hAnsi="CMR10" w:cs="CMR10"/>
          <w:lang w:val="en-MY"/>
        </w:rPr>
      </w:pPr>
      <w:r>
        <w:rPr>
          <w:rFonts w:ascii="CMR10" w:hAnsi="CMR10" w:cs="CMR10"/>
          <w:lang w:val="en-MY"/>
        </w:rPr>
        <w:t xml:space="preserve">In summary, this project aims to discover potential features that could </w:t>
      </w:r>
      <w:proofErr w:type="spellStart"/>
      <w:r>
        <w:rPr>
          <w:rFonts w:ascii="CMR10" w:hAnsi="CMR10" w:cs="CMR10"/>
          <w:lang w:val="en-MY"/>
        </w:rPr>
        <w:t>a_ect</w:t>
      </w:r>
      <w:proofErr w:type="spellEnd"/>
      <w:r>
        <w:rPr>
          <w:rFonts w:ascii="CMR10" w:hAnsi="CMR10" w:cs="CMR10"/>
          <w:lang w:val="en-MY"/>
        </w:rPr>
        <w:t xml:space="preserve"> the scores given</w:t>
      </w:r>
    </w:p>
    <w:p w:rsidR="00E373A4" w:rsidRDefault="00E373A4" w:rsidP="00E373A4">
      <w:pPr>
        <w:autoSpaceDE w:val="0"/>
        <w:autoSpaceDN w:val="0"/>
        <w:adjustRightInd w:val="0"/>
        <w:spacing w:after="0" w:line="240" w:lineRule="auto"/>
        <w:rPr>
          <w:rFonts w:ascii="CMR10" w:hAnsi="CMR10" w:cs="CMR10"/>
          <w:lang w:val="en-MY"/>
        </w:rPr>
      </w:pPr>
      <w:r>
        <w:rPr>
          <w:rFonts w:ascii="CMR10" w:hAnsi="CMR10" w:cs="CMR10"/>
          <w:lang w:val="en-MY"/>
        </w:rPr>
        <w:t>by the REF, based on REF 2014 data, by using exploratory data analysis [NIST SEMATECH,</w:t>
      </w:r>
    </w:p>
    <w:p w:rsidR="00E373A4" w:rsidRDefault="00E373A4" w:rsidP="00E373A4">
      <w:pPr>
        <w:autoSpaceDE w:val="0"/>
        <w:autoSpaceDN w:val="0"/>
        <w:adjustRightInd w:val="0"/>
        <w:spacing w:after="0" w:line="240" w:lineRule="auto"/>
        <w:rPr>
          <w:rFonts w:ascii="CMR10" w:hAnsi="CMR10" w:cs="CMR10"/>
          <w:lang w:val="en-MY"/>
        </w:rPr>
      </w:pPr>
      <w:r>
        <w:rPr>
          <w:rFonts w:ascii="CMR10" w:hAnsi="CMR10" w:cs="CMR10"/>
          <w:lang w:val="en-MY"/>
        </w:rPr>
        <w:t>2013]. This would allow the team to not only _</w:t>
      </w:r>
      <w:proofErr w:type="spellStart"/>
      <w:r>
        <w:rPr>
          <w:rFonts w:ascii="CMR10" w:hAnsi="CMR10" w:cs="CMR10"/>
          <w:lang w:val="en-MY"/>
        </w:rPr>
        <w:t>nd</w:t>
      </w:r>
      <w:proofErr w:type="spellEnd"/>
      <w:r>
        <w:rPr>
          <w:rFonts w:ascii="CMR10" w:hAnsi="CMR10" w:cs="CMR10"/>
          <w:lang w:val="en-MY"/>
        </w:rPr>
        <w:t xml:space="preserve"> which features </w:t>
      </w:r>
      <w:proofErr w:type="spellStart"/>
      <w:r>
        <w:rPr>
          <w:rFonts w:ascii="CMR10" w:hAnsi="CMR10" w:cs="CMR10"/>
          <w:lang w:val="en-MY"/>
        </w:rPr>
        <w:t>a_ect</w:t>
      </w:r>
      <w:proofErr w:type="spellEnd"/>
      <w:r>
        <w:rPr>
          <w:rFonts w:ascii="CMR10" w:hAnsi="CMR10" w:cs="CMR10"/>
          <w:lang w:val="en-MY"/>
        </w:rPr>
        <w:t xml:space="preserve"> the REF score, but also</w:t>
      </w:r>
    </w:p>
    <w:p w:rsidR="00E373A4" w:rsidRDefault="00E373A4" w:rsidP="00E373A4">
      <w:pPr>
        <w:rPr>
          <w:u w:val="single"/>
        </w:rPr>
      </w:pPr>
      <w:r>
        <w:rPr>
          <w:rFonts w:ascii="CMR10" w:hAnsi="CMR10" w:cs="CMR10"/>
          <w:lang w:val="en-MY"/>
        </w:rPr>
        <w:t xml:space="preserve">which features might not have had any </w:t>
      </w:r>
      <w:proofErr w:type="spellStart"/>
      <w:r>
        <w:rPr>
          <w:rFonts w:ascii="CMR10" w:hAnsi="CMR10" w:cs="CMR10"/>
          <w:lang w:val="en-MY"/>
        </w:rPr>
        <w:t>signi_</w:t>
      </w:r>
      <w:proofErr w:type="gramStart"/>
      <w:r>
        <w:rPr>
          <w:rFonts w:ascii="CMR10" w:hAnsi="CMR10" w:cs="CMR10"/>
          <w:lang w:val="en-MY"/>
        </w:rPr>
        <w:t>cant</w:t>
      </w:r>
      <w:proofErr w:type="spellEnd"/>
      <w:proofErr w:type="gramEnd"/>
      <w:r>
        <w:rPr>
          <w:rFonts w:ascii="CMR10" w:hAnsi="CMR10" w:cs="CMR10"/>
          <w:lang w:val="en-MY"/>
        </w:rPr>
        <w:t xml:space="preserve"> impact on the overall rating score.</w:t>
      </w:r>
    </w:p>
    <w:p w:rsidR="00E373A4" w:rsidRDefault="00E373A4" w:rsidP="00963DE8">
      <w:pPr>
        <w:rPr>
          <w:u w:val="single"/>
        </w:rPr>
      </w:pPr>
    </w:p>
    <w:p w:rsidR="008370EA" w:rsidRPr="00407F40" w:rsidRDefault="008370EA">
      <w:pPr>
        <w:rPr>
          <w:u w:val="single"/>
        </w:rPr>
      </w:pPr>
      <w:r w:rsidRPr="00407F40">
        <w:rPr>
          <w:u w:val="single"/>
        </w:rPr>
        <w:t xml:space="preserve">Literature Review </w:t>
      </w:r>
    </w:p>
    <w:p w:rsidR="00FF025A" w:rsidRPr="00FD295C" w:rsidRDefault="00B97BC0">
      <w:r w:rsidRPr="00FD295C">
        <w:t xml:space="preserve">Existing Policy and Study Done on </w:t>
      </w:r>
      <w:r w:rsidR="00FF025A" w:rsidRPr="00FD295C">
        <w:t xml:space="preserve">Selective </w:t>
      </w:r>
      <w:r w:rsidR="00C1118C" w:rsidRPr="00FD295C">
        <w:t xml:space="preserve">Staff </w:t>
      </w:r>
      <w:r w:rsidR="00FF025A" w:rsidRPr="00FD295C">
        <w:t>Submission Process</w:t>
      </w:r>
    </w:p>
    <w:p w:rsidR="006B41B5" w:rsidRPr="00FD295C" w:rsidRDefault="006B41B5">
      <w:r w:rsidRPr="00FD295C">
        <w:t xml:space="preserve">Existing policy has been developed by REF on Equality &amp; Diversity (E&amp;D) to ensure staff selection was done on equitable manner </w:t>
      </w:r>
      <w:r w:rsidRPr="00FD295C">
        <w:t>(</w:t>
      </w:r>
      <w:hyperlink r:id="rId4" w:history="1">
        <w:r w:rsidRPr="00FD295C">
          <w:rPr>
            <w:rStyle w:val="Hyperlink"/>
          </w:rPr>
          <w:t>http://www.ref.ac.uk/2014/equality/</w:t>
        </w:r>
      </w:hyperlink>
      <w:r w:rsidRPr="00FD295C">
        <w:t xml:space="preserve">). In fact, a part of the submission guideline was dedicated </w:t>
      </w:r>
      <w:r w:rsidR="006B51CB" w:rsidRPr="00FD295C">
        <w:t xml:space="preserve">to explicitly mentioned </w:t>
      </w:r>
      <w:r w:rsidRPr="00FD295C">
        <w:t>the principles of staff selection</w:t>
      </w:r>
      <w:r w:rsidR="006B51CB" w:rsidRPr="00FD295C">
        <w:t xml:space="preserve">, and </w:t>
      </w:r>
      <w:r w:rsidRPr="00FD295C">
        <w:t>HEIs was requested to produce code of practice</w:t>
      </w:r>
      <w:r w:rsidR="006B51CB" w:rsidRPr="00FD295C">
        <w:t xml:space="preserve"> and be transparent in the process. </w:t>
      </w:r>
      <w:r w:rsidR="006B51CB" w:rsidRPr="00FD295C">
        <w:t>(</w:t>
      </w:r>
      <w:hyperlink r:id="rId5" w:history="1">
        <w:r w:rsidR="006B51CB" w:rsidRPr="00FD295C">
          <w:rPr>
            <w:rStyle w:val="Hyperlink"/>
          </w:rPr>
          <w:t>http://www.ref.ac.uk/2014/equality/codesofpractice/</w:t>
        </w:r>
      </w:hyperlink>
      <w:r w:rsidR="006B51CB" w:rsidRPr="00FD295C">
        <w:t>)</w:t>
      </w:r>
    </w:p>
    <w:p w:rsidR="006B51CB" w:rsidRPr="00FD295C" w:rsidRDefault="006B51CB" w:rsidP="006B51CB">
      <w:r w:rsidRPr="00FD295C">
        <w:lastRenderedPageBreak/>
        <w:t xml:space="preserve">On top of the existing policy and submission guideline, an investigation by Higher Education Funding Council of England (HEFCE), which is one of the funding bodies behind REF, where they analysed </w:t>
      </w:r>
      <w:r w:rsidR="00E23AF6" w:rsidRPr="00FD295C">
        <w:t xml:space="preserve">biases in terms of quantitative measures, </w:t>
      </w:r>
      <w:r w:rsidR="00E23AF6" w:rsidRPr="00FD295C">
        <w:t>such as disability, age, sex, ethnicity, and nationality</w:t>
      </w:r>
      <w:r w:rsidR="00E23AF6" w:rsidRPr="00FD295C">
        <w:t xml:space="preserve"> from processes of staff selection. However, the report does not include scope of investigating whether there were biases in terms of research quality from this process alone. (</w:t>
      </w:r>
      <w:hyperlink r:id="rId6" w:history="1">
        <w:r w:rsidR="00E23AF6" w:rsidRPr="00FD295C">
          <w:rPr>
            <w:rStyle w:val="Hyperlink"/>
          </w:rPr>
          <w:t>http://www.hefce.ac.uk/pubs/year/2015/201517/</w:t>
        </w:r>
      </w:hyperlink>
      <w:r w:rsidRPr="00FD295C">
        <w:t xml:space="preserve">). </w:t>
      </w:r>
    </w:p>
    <w:p w:rsidR="00006730" w:rsidRDefault="00D93190">
      <w:pPr>
        <w:rPr>
          <w:u w:val="single"/>
        </w:rPr>
      </w:pPr>
      <w:r w:rsidRPr="00407F40">
        <w:rPr>
          <w:u w:val="single"/>
        </w:rPr>
        <w:t>Methodology</w:t>
      </w:r>
    </w:p>
    <w:p w:rsidR="00D93190" w:rsidRPr="00FD295C" w:rsidRDefault="00D93190">
      <w:r w:rsidRPr="00FD295C">
        <w:t>Feature 6 – Selective Submission of Output</w:t>
      </w:r>
    </w:p>
    <w:p w:rsidR="002C735E" w:rsidRPr="002C735E" w:rsidRDefault="000F5A8A" w:rsidP="002E77D9">
      <w:pPr>
        <w:rPr>
          <w:u w:val="single"/>
        </w:rPr>
      </w:pPr>
      <w:r>
        <w:rPr>
          <w:u w:val="single"/>
        </w:rPr>
        <w:t xml:space="preserve">Higher Number of Outputs Per Institution - </w:t>
      </w:r>
      <w:r w:rsidR="00D243CB">
        <w:rPr>
          <w:u w:val="single"/>
        </w:rPr>
        <w:t>Initial Hypothesis</w:t>
      </w:r>
    </w:p>
    <w:p w:rsidR="000820A6" w:rsidRDefault="002C681E" w:rsidP="002E77D9">
      <w:r>
        <w:t>Feature 6</w:t>
      </w:r>
      <w:r w:rsidR="00FE6B87" w:rsidRPr="00FD295C">
        <w:t xml:space="preserve"> was selected based on </w:t>
      </w:r>
      <w:r w:rsidR="00717B6C">
        <w:t xml:space="preserve">outcome of </w:t>
      </w:r>
      <w:r w:rsidR="00FE6B87" w:rsidRPr="00FD295C">
        <w:t xml:space="preserve">the initial checking of linear relationship between </w:t>
      </w:r>
      <w:r w:rsidR="00E23AF6" w:rsidRPr="00FD295C">
        <w:t>the number of outputs submitted per institution versus percentage of outputs with four star</w:t>
      </w:r>
      <w:r w:rsidR="006A2BE3" w:rsidRPr="00FD295C">
        <w:t>s</w:t>
      </w:r>
      <w:r w:rsidR="00E23AF6" w:rsidRPr="00FD295C">
        <w:t xml:space="preserve"> ranking for UOA 11 (Computer Science and Informatics)</w:t>
      </w:r>
      <w:r w:rsidR="00B33B7A" w:rsidRPr="00FD295C">
        <w:t xml:space="preserve">. The initial </w:t>
      </w:r>
      <w:r w:rsidR="002C735E">
        <w:t xml:space="preserve">analysis </w:t>
      </w:r>
      <w:r w:rsidR="00B33B7A" w:rsidRPr="00FD295C">
        <w:t>intent was to see if there’s any impact of higher submissions by institutions to the outcome of the ranking.</w:t>
      </w:r>
      <w:r w:rsidR="002E77D9" w:rsidRPr="00FD295C">
        <w:t xml:space="preserve"> </w:t>
      </w:r>
    </w:p>
    <w:p w:rsidR="00B33B7A" w:rsidRDefault="00C70D84" w:rsidP="002E77D9">
      <w:r>
        <w:t>However, t</w:t>
      </w:r>
      <w:r w:rsidR="002E77D9" w:rsidRPr="00FD295C">
        <w:t xml:space="preserve">he </w:t>
      </w:r>
      <w:r w:rsidR="00360E5D">
        <w:t xml:space="preserve">original </w:t>
      </w:r>
      <w:r w:rsidR="00D24A96">
        <w:t>plot</w:t>
      </w:r>
      <w:r w:rsidR="00360E5D">
        <w:t xml:space="preserve"> done in R</w:t>
      </w:r>
      <w:r w:rsidR="00B26595">
        <w:t xml:space="preserve"> Studio</w:t>
      </w:r>
      <w:r w:rsidR="002E77D9" w:rsidRPr="00FD295C">
        <w:t xml:space="preserve"> revealed</w:t>
      </w:r>
      <w:r w:rsidR="00B33B7A" w:rsidRPr="00FD295C">
        <w:t xml:space="preserve"> an institution which perceived to be good ranking </w:t>
      </w:r>
      <w:r w:rsidR="00D32AA9" w:rsidRPr="00FD295C">
        <w:t>was</w:t>
      </w:r>
      <w:r w:rsidR="00B33B7A" w:rsidRPr="00FD295C">
        <w:t xml:space="preserve"> having low rating of four stars (between 0 to 10</w:t>
      </w:r>
      <w:r w:rsidR="009B18E8" w:rsidRPr="00FD295C">
        <w:t>%</w:t>
      </w:r>
      <w:r w:rsidR="00B33B7A" w:rsidRPr="00FD295C">
        <w:t>), although the number of submissions was high (</w:t>
      </w:r>
      <w:r w:rsidR="001B46AC" w:rsidRPr="00FD295C">
        <w:t>&gt;</w:t>
      </w:r>
      <w:r w:rsidR="00B33B7A" w:rsidRPr="00FD295C">
        <w:t xml:space="preserve"> 400 outputs)</w:t>
      </w:r>
      <w:r w:rsidR="00D32AA9" w:rsidRPr="00FD295C">
        <w:t xml:space="preserve">, whereas there were another two institutions with lower </w:t>
      </w:r>
      <w:r w:rsidR="001B46AC" w:rsidRPr="00FD295C">
        <w:t>submissions count (between 200 to 300 outputs), but have higher four stars rating (between 40 to 50</w:t>
      </w:r>
      <w:r w:rsidR="009B18E8" w:rsidRPr="00FD295C">
        <w:t>%</w:t>
      </w:r>
      <w:r w:rsidR="001B46AC" w:rsidRPr="00FD295C">
        <w:t>)</w:t>
      </w:r>
      <w:r w:rsidR="002E77D9" w:rsidRPr="00FD295C">
        <w:t>.</w:t>
      </w:r>
    </w:p>
    <w:p w:rsidR="00197C02" w:rsidRDefault="00197C02" w:rsidP="002E77D9">
      <w:r w:rsidRPr="00FD295C">
        <w:t xml:space="preserve">Though the </w:t>
      </w:r>
      <w:r>
        <w:t xml:space="preserve">initial </w:t>
      </w:r>
      <w:r w:rsidRPr="00FD295C">
        <w:t>analysis was off</w:t>
      </w:r>
      <w:r w:rsidR="004F0074">
        <w:t xml:space="preserve">, </w:t>
      </w:r>
      <w:r w:rsidRPr="00FD295C">
        <w:t>this triggered a hypothesis of institutions’ practice of being selective on the outputs</w:t>
      </w:r>
      <w:r>
        <w:t xml:space="preserve">, and whether this could </w:t>
      </w:r>
      <w:r w:rsidRPr="00FD295C">
        <w:t xml:space="preserve">lead to </w:t>
      </w:r>
      <w:r>
        <w:t xml:space="preserve">a </w:t>
      </w:r>
      <w:r w:rsidRPr="00FD295C">
        <w:t>higher output ranking</w:t>
      </w:r>
      <w:r>
        <w:t xml:space="preserve"> upon weird observation of the plot.</w:t>
      </w:r>
    </w:p>
    <w:p w:rsidR="00D049AD" w:rsidRPr="00D049AD" w:rsidRDefault="00D049AD" w:rsidP="002E77D9">
      <w:pPr>
        <w:rPr>
          <w:u w:val="single"/>
        </w:rPr>
      </w:pPr>
      <w:r w:rsidRPr="00D049AD">
        <w:rPr>
          <w:u w:val="single"/>
        </w:rPr>
        <w:t>Selective Submission of Output</w:t>
      </w:r>
      <w:r w:rsidR="00D243CB">
        <w:rPr>
          <w:u w:val="single"/>
        </w:rPr>
        <w:t xml:space="preserve"> – Current Hypothesis</w:t>
      </w:r>
    </w:p>
    <w:p w:rsidR="003A089B" w:rsidRDefault="00D6021B" w:rsidP="001C1553">
      <w:r>
        <w:t>Checking for this hypothesis require</w:t>
      </w:r>
      <w:r w:rsidR="00F34382">
        <w:t>d</w:t>
      </w:r>
      <w:r>
        <w:t xml:space="preserve"> additional dataset outside of </w:t>
      </w:r>
      <w:r w:rsidR="00145E1F">
        <w:t xml:space="preserve">existing </w:t>
      </w:r>
      <w:r>
        <w:t>REF 2014 data</w:t>
      </w:r>
      <w:r w:rsidR="00F34382">
        <w:t xml:space="preserve"> as the current submitted Full-Time Equivalent (FTE) data for Category A was not sufficient to prove this hypothesis. </w:t>
      </w:r>
      <w:r w:rsidR="003A089B">
        <w:t>Instead, the data used was from HESA, which was given to REF committee during REF 2014 assessment exercise.</w:t>
      </w:r>
      <w:r w:rsidR="00A8648E">
        <w:t xml:space="preserve"> </w:t>
      </w:r>
      <w:r w:rsidR="003A089B">
        <w:t xml:space="preserve">The calculated FTE data by HESA using internal records </w:t>
      </w:r>
      <w:r w:rsidR="005471E4">
        <w:t>approximated</w:t>
      </w:r>
      <w:r w:rsidR="008E75A1">
        <w:t xml:space="preserve"> the </w:t>
      </w:r>
      <w:r w:rsidR="005471E4">
        <w:t xml:space="preserve">eligible number of staff that were supposed to be returned by HEIs. </w:t>
      </w:r>
      <w:r w:rsidR="001C1553">
        <w:t xml:space="preserve">The calculation was further scaled due to the differences of definitions between HESA and REF. </w:t>
      </w:r>
      <w:r w:rsidR="001C1553">
        <w:t>(HESA, 2014)</w:t>
      </w:r>
      <w:r w:rsidR="00B85569">
        <w:t>.</w:t>
      </w:r>
    </w:p>
    <w:p w:rsidR="0087144E" w:rsidRDefault="00A8648E" w:rsidP="0087144E">
      <w:r>
        <w:t xml:space="preserve">The </w:t>
      </w:r>
      <w:r>
        <w:t xml:space="preserve">analysis was first done by checking the distributions </w:t>
      </w:r>
      <w:r w:rsidR="0087144E">
        <w:t xml:space="preserve">of the submitted FTE of Total Category A by HEIs and Scaled FTE provided by HESA, </w:t>
      </w:r>
      <w:r>
        <w:t xml:space="preserve">using Shapiro-Wilk normality test in R. Upon checking the distribution, since there was not enough evidence that both were from normal distribution, then the test proceeded with Spearman correlation method, instead of Pearson. </w:t>
      </w:r>
      <w:r w:rsidR="004F2F98">
        <w:t>Since th</w:t>
      </w:r>
      <w:r w:rsidR="00F324F0">
        <w:t>re</w:t>
      </w:r>
      <w:r w:rsidR="004F2F98">
        <w:t>e variables</w:t>
      </w:r>
      <w:r w:rsidR="00F324F0">
        <w:t xml:space="preserve"> were</w:t>
      </w:r>
      <w:r w:rsidR="004F2F98">
        <w:t xml:space="preserve"> involved, a 3D plot was attempted between “Eligible FTE”, “Four Star Output”, and “Number of Submissions Per University”</w:t>
      </w:r>
      <w:r w:rsidR="00F324F0">
        <w:t xml:space="preserve"> to see how these two variables could have affected four star</w:t>
      </w:r>
      <w:r w:rsidR="002E7713">
        <w:t>s</w:t>
      </w:r>
      <w:r w:rsidR="00F324F0">
        <w:t xml:space="preserve"> ranking</w:t>
      </w:r>
      <w:r w:rsidR="004F2F98">
        <w:t xml:space="preserve">. Then, a multiple correlation </w:t>
      </w:r>
      <w:r w:rsidR="008A1B33">
        <w:t xml:space="preserve">coefficient was calculated. </w:t>
      </w:r>
    </w:p>
    <w:p w:rsidR="00E94C3C" w:rsidRDefault="00E94C3C" w:rsidP="0087144E">
      <w:r w:rsidRPr="00E94C3C">
        <w:t xml:space="preserve">The same processes </w:t>
      </w:r>
      <w:r>
        <w:t>were</w:t>
      </w:r>
      <w:r w:rsidRPr="00E94C3C">
        <w:t xml:space="preserve"> replicated for all UOAs, with minor differences on pre-processing part for certain UOAs, where the outlier was removed to check if it will improve the correlation. However, five UOA's were not able to be pre-processed due the some of the output submitted by HEIs were marked as two submission</w:t>
      </w:r>
      <w:r>
        <w:t>s</w:t>
      </w:r>
      <w:r w:rsidRPr="00E94C3C">
        <w:t>, instead of one. Therefore, this introduce two different ranking instead of one.</w:t>
      </w:r>
    </w:p>
    <w:p w:rsidR="002E7713" w:rsidRDefault="002E7713" w:rsidP="0087144E">
      <w:r>
        <w:t xml:space="preserve">Prior to this </w:t>
      </w:r>
      <w:r w:rsidR="00E4349F">
        <w:t xml:space="preserve">current hypothesis </w:t>
      </w:r>
      <w:r>
        <w:t xml:space="preserve">analysis, the initial hypothesis was again checked and written properly in R Notebook with different scripts produced for data wrangling and data analysis. </w:t>
      </w:r>
      <w:r w:rsidR="00CF1EA8">
        <w:t xml:space="preserve">This </w:t>
      </w:r>
      <w:r w:rsidR="00CF1EA8">
        <w:lastRenderedPageBreak/>
        <w:t xml:space="preserve">was again confirmed by having similar checking on three stars ranking and average scores of three and four stars ranking. </w:t>
      </w:r>
    </w:p>
    <w:p w:rsidR="008A1B33" w:rsidRPr="00983DC8" w:rsidRDefault="008A1B33" w:rsidP="0087144E">
      <w:pPr>
        <w:rPr>
          <w:u w:val="single"/>
        </w:rPr>
      </w:pPr>
      <w:r w:rsidRPr="00983DC8">
        <w:rPr>
          <w:u w:val="single"/>
        </w:rPr>
        <w:t>Higher Number of Outputs Per Institution – Future Hypothesis</w:t>
      </w:r>
    </w:p>
    <w:p w:rsidR="00AC2B6E" w:rsidRDefault="00CF1EA8" w:rsidP="0087144E">
      <w:r>
        <w:t xml:space="preserve">However, upon re-checking </w:t>
      </w:r>
      <w:r w:rsidR="00C827F3">
        <w:t xml:space="preserve">the result </w:t>
      </w:r>
      <w:r w:rsidR="00AC2B6E">
        <w:t xml:space="preserve">of data produced by higher number of outputs versus four stars ranking </w:t>
      </w:r>
      <w:r w:rsidR="00214862">
        <w:t xml:space="preserve">produced by R, and compared against similar data produced by Python code written in </w:t>
      </w:r>
      <w:proofErr w:type="spellStart"/>
      <w:r w:rsidR="00214862">
        <w:t>Jupyter</w:t>
      </w:r>
      <w:proofErr w:type="spellEnd"/>
      <w:r w:rsidR="00214862">
        <w:t xml:space="preserve"> Notebook</w:t>
      </w:r>
      <w:r w:rsidR="00E42D85">
        <w:t>, the output was</w:t>
      </w:r>
      <w:r w:rsidR="00DA4512">
        <w:t xml:space="preserve"> stark</w:t>
      </w:r>
      <w:r w:rsidR="00E42D85">
        <w:t xml:space="preserve"> different although the methodology was similar. </w:t>
      </w:r>
      <w:r w:rsidR="00DA4512">
        <w:t>This need to be investigated further</w:t>
      </w:r>
      <w:r w:rsidR="000A74B0">
        <w:t>.</w:t>
      </w:r>
    </w:p>
    <w:p w:rsidR="00006730" w:rsidRDefault="00D93190">
      <w:pPr>
        <w:rPr>
          <w:b/>
        </w:rPr>
      </w:pPr>
      <w:r w:rsidRPr="002C791E">
        <w:rPr>
          <w:b/>
        </w:rPr>
        <w:t>Results</w:t>
      </w:r>
    </w:p>
    <w:p w:rsidR="00983DC8" w:rsidRDefault="00983DC8" w:rsidP="00983DC8">
      <w:r w:rsidRPr="00FD295C">
        <w:t>Feature 6 – Selective Submission of Output</w:t>
      </w:r>
    </w:p>
    <w:p w:rsidR="00983DC8" w:rsidRDefault="00983DC8">
      <w:r>
        <w:t>[plot from original analysis]</w:t>
      </w:r>
    </w:p>
    <w:p w:rsidR="00A55811" w:rsidRDefault="00A55811">
      <w:r>
        <w:t xml:space="preserve">Figure xx was </w:t>
      </w:r>
      <w:r w:rsidR="00F50887">
        <w:t>the original plot using R Studio that driven the hypothesis to be the current hypothesis. It showed the populations of the data between number of outputs submitted versus four stars ranking</w:t>
      </w:r>
      <w:r w:rsidR="000A74B0">
        <w:t xml:space="preserve"> for UOA 11. </w:t>
      </w:r>
    </w:p>
    <w:p w:rsidR="00983DC8" w:rsidRPr="00983DC8" w:rsidRDefault="00983DC8">
      <w:r>
        <w:t>[Plot from four star</w:t>
      </w:r>
      <w:r w:rsidR="00F50887">
        <w:t>s</w:t>
      </w:r>
      <w:r>
        <w:t xml:space="preserve"> and three star and average of three \&amp; four stars]</w:t>
      </w:r>
    </w:p>
    <w:p w:rsidR="004E5FD6" w:rsidRDefault="00F50887" w:rsidP="00E94C3C">
      <w:r>
        <w:t xml:space="preserve">Figure </w:t>
      </w:r>
      <w:proofErr w:type="spellStart"/>
      <w:r w:rsidR="00E94C3C">
        <w:t>yy</w:t>
      </w:r>
      <w:proofErr w:type="spellEnd"/>
      <w:r>
        <w:t xml:space="preserve"> was the amended plot using R Notebook</w:t>
      </w:r>
      <w:r w:rsidR="00E94C3C">
        <w:t xml:space="preserve"> for re-verification of the original analysis done in Figure xx. It showed </w:t>
      </w:r>
      <w:r>
        <w:t>the populations of the data between number of outputs submitted versus four stars ranking</w:t>
      </w:r>
      <w:r w:rsidR="00E94C3C">
        <w:t xml:space="preserve"> for UOA 11. </w:t>
      </w:r>
    </w:p>
    <w:p w:rsidR="004E5FD6" w:rsidRDefault="00E94C3C">
      <w:r>
        <w:t>[</w:t>
      </w:r>
      <w:r w:rsidR="00DA4512">
        <w:t xml:space="preserve">Table </w:t>
      </w:r>
      <w:r>
        <w:t>– correlation results from different UOAs]</w:t>
      </w:r>
    </w:p>
    <w:p w:rsidR="001B64B3" w:rsidRDefault="001B64B3">
      <w:r>
        <w:t xml:space="preserve">Table </w:t>
      </w:r>
      <w:proofErr w:type="spellStart"/>
      <w:r>
        <w:t>zz</w:t>
      </w:r>
      <w:proofErr w:type="spellEnd"/>
      <w:r>
        <w:t xml:space="preserve"> was the correlation results for five UOAs for the initial higher number of outputs analysis that driven the current hypothesis. </w:t>
      </w:r>
      <w:r w:rsidR="00132557">
        <w:t xml:space="preserve">These results confirmed that the number of outputs were not </w:t>
      </w:r>
    </w:p>
    <w:p w:rsidR="006C078C" w:rsidRDefault="00F50887">
      <w:r>
        <w:t>However, upon detail checking of the data consistency between the two spreadsheets, there were discrepancy between the plot and the actual values in the tables.</w:t>
      </w:r>
    </w:p>
    <w:p w:rsidR="00983DC8" w:rsidRDefault="006C078C">
      <w:r>
        <w:t>[include tables]</w:t>
      </w:r>
      <w:r w:rsidR="00F50887">
        <w:t xml:space="preserve"> </w:t>
      </w:r>
    </w:p>
    <w:p w:rsidR="00191897" w:rsidRDefault="00F50887">
      <w:r>
        <w:t xml:space="preserve">For example, </w:t>
      </w:r>
      <w:r w:rsidR="00191897">
        <w:t xml:space="preserve">institution that has 401 </w:t>
      </w:r>
    </w:p>
    <w:p w:rsidR="00F50887" w:rsidRPr="00F50887" w:rsidRDefault="00191897">
      <w:r>
        <w:t>UKPRN that has 40</w:t>
      </w:r>
      <w:r w:rsidR="006C078C">
        <w:t xml:space="preserve">1 submission outputs </w:t>
      </w:r>
    </w:p>
    <w:p w:rsidR="0065427E" w:rsidRPr="00FD295C" w:rsidRDefault="0065427E" w:rsidP="00006730"/>
    <w:p w:rsidR="00006730" w:rsidRPr="002C791E" w:rsidRDefault="00006730" w:rsidP="00006730">
      <w:pPr>
        <w:rPr>
          <w:b/>
        </w:rPr>
      </w:pPr>
      <w:r w:rsidRPr="002C791E">
        <w:rPr>
          <w:b/>
        </w:rPr>
        <w:t>Discussion</w:t>
      </w:r>
    </w:p>
    <w:p w:rsidR="00006730" w:rsidRPr="00FD295C" w:rsidRDefault="00006730" w:rsidP="00006730">
      <w:r w:rsidRPr="00FD295C">
        <w:t>Feature 6 – Selective Submission of Output</w:t>
      </w:r>
    </w:p>
    <w:p w:rsidR="00B2278A" w:rsidRPr="00FD295C" w:rsidRDefault="00B2278A" w:rsidP="00006730">
      <w:r w:rsidRPr="00FD295C">
        <w:t xml:space="preserve"># confirming the hypothesis </w:t>
      </w:r>
    </w:p>
    <w:p w:rsidR="00D93190" w:rsidRPr="00FD295C" w:rsidRDefault="00D93190"/>
    <w:sectPr w:rsidR="00D93190" w:rsidRPr="00FD2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190"/>
    <w:rsid w:val="00005A96"/>
    <w:rsid w:val="00006730"/>
    <w:rsid w:val="00015B5A"/>
    <w:rsid w:val="00032238"/>
    <w:rsid w:val="00032545"/>
    <w:rsid w:val="000820A6"/>
    <w:rsid w:val="000A74B0"/>
    <w:rsid w:val="000E6819"/>
    <w:rsid w:val="000F44B1"/>
    <w:rsid w:val="000F5A8A"/>
    <w:rsid w:val="00132557"/>
    <w:rsid w:val="00143906"/>
    <w:rsid w:val="00145E1F"/>
    <w:rsid w:val="00177D76"/>
    <w:rsid w:val="00191897"/>
    <w:rsid w:val="00194A27"/>
    <w:rsid w:val="00197C02"/>
    <w:rsid w:val="001A735E"/>
    <w:rsid w:val="001B3152"/>
    <w:rsid w:val="001B46AC"/>
    <w:rsid w:val="001B64B3"/>
    <w:rsid w:val="001B7204"/>
    <w:rsid w:val="001C1553"/>
    <w:rsid w:val="001D36EB"/>
    <w:rsid w:val="001D5B23"/>
    <w:rsid w:val="00214862"/>
    <w:rsid w:val="00215E26"/>
    <w:rsid w:val="00240AA3"/>
    <w:rsid w:val="0024592F"/>
    <w:rsid w:val="002C681E"/>
    <w:rsid w:val="002C735E"/>
    <w:rsid w:val="002C791E"/>
    <w:rsid w:val="002E7713"/>
    <w:rsid w:val="002E77D9"/>
    <w:rsid w:val="00310812"/>
    <w:rsid w:val="0035697C"/>
    <w:rsid w:val="00360E5D"/>
    <w:rsid w:val="0037030B"/>
    <w:rsid w:val="003845B1"/>
    <w:rsid w:val="003A089B"/>
    <w:rsid w:val="003A0A0A"/>
    <w:rsid w:val="003A7831"/>
    <w:rsid w:val="003B30F8"/>
    <w:rsid w:val="00407F40"/>
    <w:rsid w:val="00407F60"/>
    <w:rsid w:val="004431F3"/>
    <w:rsid w:val="00456554"/>
    <w:rsid w:val="00490063"/>
    <w:rsid w:val="004E5FD6"/>
    <w:rsid w:val="004E68E1"/>
    <w:rsid w:val="004E75A0"/>
    <w:rsid w:val="004F0074"/>
    <w:rsid w:val="004F2F98"/>
    <w:rsid w:val="00515961"/>
    <w:rsid w:val="005471E4"/>
    <w:rsid w:val="00555796"/>
    <w:rsid w:val="00570157"/>
    <w:rsid w:val="005A2689"/>
    <w:rsid w:val="005D6E3F"/>
    <w:rsid w:val="005F2F0F"/>
    <w:rsid w:val="005F6503"/>
    <w:rsid w:val="0065427E"/>
    <w:rsid w:val="0067346F"/>
    <w:rsid w:val="006A2BE3"/>
    <w:rsid w:val="006A5F0E"/>
    <w:rsid w:val="006B41B5"/>
    <w:rsid w:val="006B51CB"/>
    <w:rsid w:val="006C078C"/>
    <w:rsid w:val="006E2748"/>
    <w:rsid w:val="00702A2D"/>
    <w:rsid w:val="00717B6C"/>
    <w:rsid w:val="00751429"/>
    <w:rsid w:val="00765BEC"/>
    <w:rsid w:val="00772F66"/>
    <w:rsid w:val="007A5097"/>
    <w:rsid w:val="008036FF"/>
    <w:rsid w:val="00806650"/>
    <w:rsid w:val="008163B7"/>
    <w:rsid w:val="008370EA"/>
    <w:rsid w:val="00863A94"/>
    <w:rsid w:val="00864AB4"/>
    <w:rsid w:val="0087144E"/>
    <w:rsid w:val="00871ED6"/>
    <w:rsid w:val="008A1B33"/>
    <w:rsid w:val="008B38B1"/>
    <w:rsid w:val="008E75A1"/>
    <w:rsid w:val="008F648E"/>
    <w:rsid w:val="0091106D"/>
    <w:rsid w:val="00920E33"/>
    <w:rsid w:val="00963DE8"/>
    <w:rsid w:val="00983DC8"/>
    <w:rsid w:val="009B18E8"/>
    <w:rsid w:val="00A16786"/>
    <w:rsid w:val="00A55811"/>
    <w:rsid w:val="00A7297C"/>
    <w:rsid w:val="00A8648E"/>
    <w:rsid w:val="00AC0C80"/>
    <w:rsid w:val="00AC2B6E"/>
    <w:rsid w:val="00AE65CE"/>
    <w:rsid w:val="00AE7CE2"/>
    <w:rsid w:val="00B06EC6"/>
    <w:rsid w:val="00B2278A"/>
    <w:rsid w:val="00B26105"/>
    <w:rsid w:val="00B26595"/>
    <w:rsid w:val="00B3185C"/>
    <w:rsid w:val="00B33B7A"/>
    <w:rsid w:val="00B85569"/>
    <w:rsid w:val="00B97BC0"/>
    <w:rsid w:val="00BC2223"/>
    <w:rsid w:val="00BF324D"/>
    <w:rsid w:val="00C1118C"/>
    <w:rsid w:val="00C31DED"/>
    <w:rsid w:val="00C56C00"/>
    <w:rsid w:val="00C70D84"/>
    <w:rsid w:val="00C827F3"/>
    <w:rsid w:val="00CA5503"/>
    <w:rsid w:val="00CF1EA8"/>
    <w:rsid w:val="00D049AD"/>
    <w:rsid w:val="00D1592E"/>
    <w:rsid w:val="00D20B89"/>
    <w:rsid w:val="00D243CB"/>
    <w:rsid w:val="00D24A96"/>
    <w:rsid w:val="00D32AA9"/>
    <w:rsid w:val="00D6021B"/>
    <w:rsid w:val="00D77674"/>
    <w:rsid w:val="00D93190"/>
    <w:rsid w:val="00DA4512"/>
    <w:rsid w:val="00DE36FA"/>
    <w:rsid w:val="00DF0BE7"/>
    <w:rsid w:val="00E23AF6"/>
    <w:rsid w:val="00E3428C"/>
    <w:rsid w:val="00E373A4"/>
    <w:rsid w:val="00E42D85"/>
    <w:rsid w:val="00E4349F"/>
    <w:rsid w:val="00E62092"/>
    <w:rsid w:val="00E664D8"/>
    <w:rsid w:val="00E72EB0"/>
    <w:rsid w:val="00E913C7"/>
    <w:rsid w:val="00E94C3C"/>
    <w:rsid w:val="00EA3C7A"/>
    <w:rsid w:val="00EC5902"/>
    <w:rsid w:val="00F324F0"/>
    <w:rsid w:val="00F34382"/>
    <w:rsid w:val="00F41D32"/>
    <w:rsid w:val="00F50887"/>
    <w:rsid w:val="00F73FD5"/>
    <w:rsid w:val="00F77CE9"/>
    <w:rsid w:val="00FD295C"/>
    <w:rsid w:val="00FE11E7"/>
    <w:rsid w:val="00FE6B87"/>
    <w:rsid w:val="00FF025A"/>
    <w:rsid w:val="00FF7C2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7E585"/>
  <w15:chartTrackingRefBased/>
  <w15:docId w15:val="{BE5EF70A-B061-4B51-95D3-6EE3435B9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CE2"/>
    <w:rPr>
      <w:color w:val="0563C1" w:themeColor="hyperlink"/>
      <w:u w:val="single"/>
    </w:rPr>
  </w:style>
  <w:style w:type="character" w:styleId="UnresolvedMention">
    <w:name w:val="Unresolved Mention"/>
    <w:basedOn w:val="DefaultParagraphFont"/>
    <w:uiPriority w:val="99"/>
    <w:semiHidden/>
    <w:unhideWhenUsed/>
    <w:rsid w:val="00AE7C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efce.ac.uk/pubs/year/2015/201517/" TargetMode="External"/><Relationship Id="rId5" Type="http://schemas.openxmlformats.org/officeDocument/2006/relationships/hyperlink" Target="http://www.ref.ac.uk/2014/equality/codesofpractice/" TargetMode="External"/><Relationship Id="rId4" Type="http://schemas.openxmlformats.org/officeDocument/2006/relationships/hyperlink" Target="http://www.ref.ac.uk/2014/e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3</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Rawaida Kamarudin</dc:creator>
  <cp:keywords/>
  <dc:description/>
  <cp:lastModifiedBy>Rawaida Kamarudin</cp:lastModifiedBy>
  <cp:revision>133</cp:revision>
  <dcterms:created xsi:type="dcterms:W3CDTF">2017-12-12T16:32:00Z</dcterms:created>
  <dcterms:modified xsi:type="dcterms:W3CDTF">2017-12-13T05:06:00Z</dcterms:modified>
</cp:coreProperties>
</file>