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24" w:rsidRDefault="0082382E" w:rsidP="00164F43">
      <w:pPr>
        <w:pStyle w:val="Heading1"/>
        <w:numPr>
          <w:ilvl w:val="0"/>
          <w:numId w:val="0"/>
        </w:numPr>
      </w:pPr>
      <w:proofErr w:type="spellStart"/>
      <w:r>
        <w:t>S</w:t>
      </w:r>
      <w:r w:rsidR="00164F43">
        <w:t>ektionaali</w:t>
      </w:r>
      <w:r>
        <w:t>sen</w:t>
      </w:r>
      <w:proofErr w:type="spellEnd"/>
      <w:r>
        <w:t xml:space="preserve"> mallin vertailu keskimääräisen tilavuuden mallin kanssa</w:t>
      </w:r>
    </w:p>
    <w:p w:rsidR="00164F43" w:rsidRDefault="00164F43" w:rsidP="00164F43"/>
    <w:p w:rsidR="002D3414" w:rsidRDefault="002D3414" w:rsidP="002D3414">
      <w:pPr>
        <w:jc w:val="both"/>
      </w:pPr>
      <w:proofErr w:type="spellStart"/>
      <w:r>
        <w:t>Agglomeraatiosta</w:t>
      </w:r>
      <w:proofErr w:type="spellEnd"/>
      <w:r>
        <w:t xml:space="preserve"> johtuvalle hiukkasten keskimääräiselle tilavuuden kasvulle vapaamolekyylialueella on johdettu differentiaaliyhtälö</w:t>
      </w:r>
      <w:proofErr w:type="gramStart"/>
      <w:r>
        <w:t xml:space="preserve"> (Lehtinen et al.</w:t>
      </w:r>
      <w:proofErr w:type="gramEnd"/>
      <w:r>
        <w:t xml:space="preserve"> 1996)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3402"/>
        <w:gridCol w:w="3681"/>
        <w:gridCol w:w="2445"/>
      </w:tblGrid>
      <w:tr w:rsidR="002D3414" w:rsidTr="00592C57">
        <w:tc>
          <w:tcPr>
            <w:tcW w:w="250" w:type="dxa"/>
          </w:tcPr>
          <w:p w:rsidR="002D3414" w:rsidRDefault="002D3414" w:rsidP="00592C57"/>
        </w:tc>
        <w:tc>
          <w:tcPr>
            <w:tcW w:w="3402" w:type="dxa"/>
          </w:tcPr>
          <w:p w:rsidR="002D3414" w:rsidRPr="00E87B55" w:rsidRDefault="002D3414" w:rsidP="00592C5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6kT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4π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81" w:type="dxa"/>
            <w:vAlign w:val="center"/>
          </w:tcPr>
          <w:p w:rsidR="002D3414" w:rsidRDefault="002D3414" w:rsidP="00592C57">
            <w:r>
              <w:t>.</w:t>
            </w:r>
          </w:p>
        </w:tc>
        <w:tc>
          <w:tcPr>
            <w:tcW w:w="2445" w:type="dxa"/>
            <w:vAlign w:val="center"/>
          </w:tcPr>
          <w:p w:rsidR="002D3414" w:rsidRDefault="002D3414" w:rsidP="002D3414">
            <w:pPr>
              <w:jc w:val="right"/>
            </w:pPr>
            <w:r>
              <w:t>(1)</w:t>
            </w:r>
          </w:p>
        </w:tc>
      </w:tr>
    </w:tbl>
    <w:p w:rsidR="002D3414" w:rsidRDefault="002D3414" w:rsidP="00164F43">
      <w:pPr>
        <w:jc w:val="both"/>
      </w:pPr>
    </w:p>
    <w:p w:rsidR="002D3414" w:rsidRDefault="002D3414" w:rsidP="00164F43">
      <w:pPr>
        <w:jc w:val="both"/>
      </w:pPr>
      <w:proofErr w:type="spellStart"/>
      <w:r>
        <w:t>Agglomeraation</w:t>
      </w:r>
      <w:proofErr w:type="spellEnd"/>
      <w:r>
        <w:t xml:space="preserve"> mallintamiseen käytettiin sektionaalista laskentamallia, jonka tuloksia verrattiin yllä olevaan differentiaaliyhtälöön perustuvan mallin antamiin tuloksiin.</w:t>
      </w:r>
    </w:p>
    <w:p w:rsidR="00164F43" w:rsidRDefault="00164F43" w:rsidP="00164F43">
      <w:pPr>
        <w:jc w:val="both"/>
        <w:rPr>
          <w:rFonts w:eastAsiaTheme="minorEastAsia"/>
        </w:rPr>
      </w:pPr>
      <w:r>
        <w:t>Kun sektioiden määrä on 100, virhe eri mallien ennustamien keskimääräisten tilavuuksien välillä on pienempi tai yhtä suuri kuin 13,2 %.</w:t>
      </w:r>
      <w:r w:rsidR="00C64C56">
        <w:t xml:space="preserve"> Virhe on laskettu kaavalla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real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</m:sub>
            </m:sSub>
          </m:den>
        </m:f>
      </m:oMath>
      <w:r w:rsidR="00C64C56">
        <w:rPr>
          <w:rFonts w:eastAsiaTheme="minorEastAsia"/>
        </w:rPr>
        <w:t xml:space="preserve">, missä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real</m:t>
            </m:r>
          </m:sub>
        </m:sSub>
      </m:oMath>
      <w:r w:rsidR="00C64C56">
        <w:rPr>
          <w:rFonts w:eastAsiaTheme="minorEastAsia"/>
        </w:rPr>
        <w:t xml:space="preserve"> on differentiaaliyhtälön (1) ennustama keskimääräinen tilavuus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calc</m:t>
            </m:r>
          </m:sub>
        </m:sSub>
      </m:oMath>
      <w:r w:rsidR="00C64C56">
        <w:rPr>
          <w:rFonts w:eastAsiaTheme="minorEastAsia"/>
        </w:rPr>
        <w:t xml:space="preserve"> on sektionaalisen mallin laskema agglomeraatin keskimääräinen tilavuus (hiukkasten kokonaistilavuus jaettuna hiukkasten lukumääräpitoisuudella)</w:t>
      </w:r>
      <w:r w:rsidR="00BE7C66">
        <w:rPr>
          <w:rFonts w:eastAsiaTheme="minorEastAsia"/>
        </w:rPr>
        <w:t>.</w:t>
      </w:r>
    </w:p>
    <w:p w:rsidR="00164F43" w:rsidRDefault="002D3414" w:rsidP="00164F43">
      <w:pPr>
        <w:jc w:val="both"/>
      </w:pPr>
      <w:r>
        <w:t>Virhe</w:t>
      </w:r>
      <w:r w:rsidR="00164F43">
        <w:t xml:space="preserve"> johtuu todennäköisesti siitä, että</w:t>
      </w:r>
      <w:r>
        <w:t xml:space="preserve"> </w:t>
      </w:r>
      <w:proofErr w:type="spellStart"/>
      <w:r>
        <w:t>agglomeraattien</w:t>
      </w:r>
      <w:proofErr w:type="spellEnd"/>
      <w:r w:rsidR="00164F43">
        <w:t xml:space="preserve"> </w:t>
      </w:r>
      <w:proofErr w:type="spellStart"/>
      <w:r w:rsidR="00164F43">
        <w:t>itsensäsäilyttävä</w:t>
      </w:r>
      <w:proofErr w:type="spellEnd"/>
      <w:r w:rsidR="00164F43">
        <w:t xml:space="preserve"> jakauma ei ole </w:t>
      </w:r>
      <w:proofErr w:type="spellStart"/>
      <w:r w:rsidR="00164F43">
        <w:t>log-normaali</w:t>
      </w:r>
      <w:proofErr w:type="spellEnd"/>
      <w:r w:rsidR="00164F43">
        <w:t xml:space="preserve">. Kuitenkin </w:t>
      </w:r>
      <w:proofErr w:type="spellStart"/>
      <w:r w:rsidR="00164F43">
        <w:t>sektionaaliseen</w:t>
      </w:r>
      <w:proofErr w:type="spellEnd"/>
      <w:r w:rsidR="00164F43">
        <w:t xml:space="preserve"> malliin syötetty alkujakauma on </w:t>
      </w:r>
      <w:proofErr w:type="spellStart"/>
      <w:r w:rsidR="00164F43">
        <w:t>log-normaali</w:t>
      </w:r>
      <w:proofErr w:type="spellEnd"/>
      <w:r w:rsidR="00164F43">
        <w:t xml:space="preserve"> ja se muuttuu </w:t>
      </w:r>
      <w:proofErr w:type="spellStart"/>
      <w:r w:rsidR="00164F43">
        <w:t>itsensäsäilyttävään</w:t>
      </w:r>
      <w:proofErr w:type="spellEnd"/>
      <w:r w:rsidR="00164F43">
        <w:t xml:space="preserve"> muo</w:t>
      </w:r>
      <w:r w:rsidR="00BE7C66">
        <w:t xml:space="preserve">toon vasta jonkin ajan kuluttua. </w:t>
      </w:r>
      <w:r w:rsidR="00164F43">
        <w:t xml:space="preserve">Keskimääräisen tilavuuden mallissa taas jakauma on </w:t>
      </w:r>
      <w:proofErr w:type="spellStart"/>
      <w:r w:rsidR="00164F43">
        <w:t>itsensäsäilyttävä</w:t>
      </w:r>
      <w:proofErr w:type="spellEnd"/>
      <w:r w:rsidR="00164F43">
        <w:t xml:space="preserve"> alusta asti.</w:t>
      </w:r>
    </w:p>
    <w:p w:rsidR="00374810" w:rsidRDefault="00BE7C66" w:rsidP="00374810">
      <w:pPr>
        <w:jc w:val="both"/>
      </w:pPr>
      <w:r>
        <w:t xml:space="preserve">Se, että </w:t>
      </w:r>
      <w:proofErr w:type="spellStart"/>
      <w:r>
        <w:t>agglomeraattien</w:t>
      </w:r>
      <w:proofErr w:type="spellEnd"/>
      <w:r>
        <w:t xml:space="preserve"> </w:t>
      </w:r>
      <w:proofErr w:type="spellStart"/>
      <w:r>
        <w:t>itsensäsäilyttävä</w:t>
      </w:r>
      <w:proofErr w:type="spellEnd"/>
      <w:r>
        <w:t xml:space="preserve"> jakauma ei ole </w:t>
      </w:r>
      <w:proofErr w:type="spellStart"/>
      <w:r>
        <w:t>log-normaali</w:t>
      </w:r>
      <w:proofErr w:type="spellEnd"/>
      <w:r>
        <w:t xml:space="preserve">, pääteltiin siitä, että </w:t>
      </w:r>
      <w:proofErr w:type="spellStart"/>
      <w:r>
        <w:t>sektionaaliseen</w:t>
      </w:r>
      <w:proofErr w:type="spellEnd"/>
      <w:r>
        <w:t xml:space="preserve"> malliin syötetyn </w:t>
      </w:r>
      <w:proofErr w:type="spellStart"/>
      <w:r>
        <w:t>log-normaalin</w:t>
      </w:r>
      <w:proofErr w:type="spellEnd"/>
      <w:r>
        <w:t xml:space="preserve"> jakauman </w:t>
      </w:r>
      <w:r w:rsidR="0057539D">
        <w:t xml:space="preserve">geometrinen keskihajonta ei pysy vakiona, vaan muuttuu voimakkaasti heti simulaation alussa. Tämä nähdään kuvassa 1. Keskihajonnan muutoksesta pääteltiin, että </w:t>
      </w:r>
      <w:proofErr w:type="spellStart"/>
      <w:r w:rsidR="0057539D">
        <w:t>log-normaali</w:t>
      </w:r>
      <w:proofErr w:type="spellEnd"/>
      <w:r w:rsidR="0057539D">
        <w:t xml:space="preserve"> jakauma muotoutuu </w:t>
      </w:r>
      <w:proofErr w:type="spellStart"/>
      <w:r w:rsidR="0057539D">
        <w:t>agglomeraation</w:t>
      </w:r>
      <w:proofErr w:type="spellEnd"/>
      <w:r w:rsidR="0057539D">
        <w:t xml:space="preserve"> seurauksena kohti </w:t>
      </w:r>
      <w:proofErr w:type="spellStart"/>
      <w:r w:rsidR="0057539D">
        <w:t>itsensäsäilyttävää</w:t>
      </w:r>
      <w:proofErr w:type="spellEnd"/>
      <w:r w:rsidR="0057539D">
        <w:t xml:space="preserve"> muotoa, jossa keskihajonta pysyy vakiona. Kuvasta 1 nähdään, että keskihajonnan arvo on lähes vakiintunut noin 7000 sekunnin kohdalla.</w:t>
      </w:r>
    </w:p>
    <w:p w:rsidR="00374810" w:rsidRDefault="00374810" w:rsidP="00374810">
      <w:pPr>
        <w:jc w:val="both"/>
      </w:pPr>
      <w:r>
        <w:rPr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DA7EB" wp14:editId="214FEC8B">
                <wp:simplePos x="0" y="0"/>
                <wp:positionH relativeFrom="column">
                  <wp:posOffset>2988885</wp:posOffset>
                </wp:positionH>
                <wp:positionV relativeFrom="paragraph">
                  <wp:posOffset>4223840</wp:posOffset>
                </wp:positionV>
                <wp:extent cx="232914" cy="25016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4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810" w:rsidRDefault="00374810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5.35pt;margin-top:332.6pt;width:18.35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" filled="f" stroked="f" strokeweight=".5pt">
                <v:textbox>
                  <w:txbxContent>
                    <w:p w:rsidR="00374810" w:rsidRDefault="00374810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241E1" wp14:editId="2D15FCC0">
                <wp:simplePos x="0" y="0"/>
                <wp:positionH relativeFrom="column">
                  <wp:posOffset>-4098</wp:posOffset>
                </wp:positionH>
                <wp:positionV relativeFrom="paragraph">
                  <wp:posOffset>135375</wp:posOffset>
                </wp:positionV>
                <wp:extent cx="577970" cy="4830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483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810" w:rsidRDefault="00374810">
                            <w:r>
                              <w:t>GSD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-.3pt;margin-top:10.65pt;width:45.5pt;height:3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" filled="f" stroked="f" strokeweight=".5pt">
                <v:textbox>
                  <w:txbxContent>
                    <w:p w:rsidR="00374810" w:rsidRDefault="00374810">
                      <w:r>
                        <w:t>GSD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w:drawing>
          <wp:inline distT="0" distB="0" distL="0" distR="0" wp14:anchorId="3F8E2B71" wp14:editId="4C2551C9">
            <wp:extent cx="5917721" cy="4398356"/>
            <wp:effectExtent l="0" t="0" r="698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80" cy="440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10" w:rsidRDefault="00374810" w:rsidP="00374810">
      <w:pPr>
        <w:pStyle w:val="Caption"/>
        <w:jc w:val="both"/>
      </w:pPr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 w:rsidR="005F4C5D">
        <w:rPr>
          <w:noProof/>
        </w:rPr>
        <w:t>1</w:t>
      </w:r>
      <w:r>
        <w:fldChar w:fldCharType="end"/>
      </w:r>
      <w:r>
        <w:t xml:space="preserve">: Geometrinen keskihajonta ajan funktiona. </w:t>
      </w:r>
      <w:r>
        <w:t>Oikeassa yläkulmassa keskihajonta ajan funktiona ensimmäisten 500 sekunnin ajalta.</w:t>
      </w:r>
    </w:p>
    <w:p w:rsidR="005F4C5D" w:rsidRDefault="00FF379D" w:rsidP="00FF379D">
      <w:pPr>
        <w:jc w:val="both"/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29923" wp14:editId="0FB9B460">
                <wp:simplePos x="0" y="0"/>
                <wp:positionH relativeFrom="column">
                  <wp:posOffset>2781300</wp:posOffset>
                </wp:positionH>
                <wp:positionV relativeFrom="paragraph">
                  <wp:posOffset>3447415</wp:posOffset>
                </wp:positionV>
                <wp:extent cx="664210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E09" w:rsidRDefault="00D45E0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19pt;margin-top:271.45pt;width:52.3pt;height:21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" filled="f" stroked="f" strokeweight=".5pt">
                <v:textbox>
                  <w:txbxContent>
                    <w:p w:rsidR="00D45E09" w:rsidRDefault="00D45E0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97F49" wp14:editId="0CE4EA71">
                <wp:simplePos x="0" y="0"/>
                <wp:positionH relativeFrom="column">
                  <wp:posOffset>230038</wp:posOffset>
                </wp:positionH>
                <wp:positionV relativeFrom="paragraph">
                  <wp:posOffset>660293</wp:posOffset>
                </wp:positionV>
                <wp:extent cx="638175" cy="4654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E09" w:rsidRDefault="00D45E09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dlogDp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8.1pt;margin-top:52pt;width:50.25pt;height:3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" filled="f" stroked="f" strokeweight=".5pt">
                <v:textbox>
                  <w:txbxContent>
                    <w:p w:rsidR="00D45E09" w:rsidRDefault="00D45E09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dlogDp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74810">
        <w:t xml:space="preserve">Kuvaan 2 on piirretty hiukkasjakauma simulaation lopussa, eli kun t=10 000s. Lisäksi kuvaan on sovitettu </w:t>
      </w:r>
      <w:proofErr w:type="spellStart"/>
      <w:r w:rsidR="00374810">
        <w:t>log-normaali</w:t>
      </w:r>
      <w:proofErr w:type="spellEnd"/>
      <w:r w:rsidR="00374810">
        <w:t xml:space="preserve"> jakauma, jonka geometrinen keskihajonta ja hiukkasten kokonaislukumäärä ovat samoja. Kuvasta huomataan, että simulaatiossa muotoutunut jakauma ei ole </w:t>
      </w:r>
      <w:proofErr w:type="spellStart"/>
      <w:r w:rsidR="00374810">
        <w:t>log-normaali</w:t>
      </w:r>
      <w:proofErr w:type="spellEnd"/>
      <w:r w:rsidR="00374810">
        <w:t>.</w:t>
      </w:r>
      <w:r w:rsidR="00D45E09">
        <w:rPr>
          <w:noProof/>
          <w:lang w:eastAsia="fi-FI"/>
        </w:rPr>
        <w:drawing>
          <wp:inline distT="0" distB="0" distL="0" distR="0" wp14:anchorId="1C708C73" wp14:editId="24C8DC44">
            <wp:extent cx="5629275" cy="3032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82" cy="30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09" w:rsidRDefault="005F4C5D" w:rsidP="005F4C5D">
      <w:pPr>
        <w:pStyle w:val="Caption"/>
        <w:jc w:val="both"/>
      </w:pPr>
      <w:proofErr w:type="gramStart"/>
      <w:r>
        <w:t xml:space="preserve">Kuva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Simulaatiossa muotoutunut jakauma piirretty sinisellä ja vastaava </w:t>
      </w:r>
      <w:proofErr w:type="spellStart"/>
      <w:r>
        <w:t>log-normaali</w:t>
      </w:r>
      <w:proofErr w:type="spellEnd"/>
      <w:r>
        <w:t xml:space="preserve"> jakauma punaisella.</w:t>
      </w:r>
      <w:proofErr w:type="gramEnd"/>
    </w:p>
    <w:p w:rsidR="00164F43" w:rsidRDefault="00164F43" w:rsidP="00164F43">
      <w:pPr>
        <w:jc w:val="both"/>
      </w:pPr>
      <w:r>
        <w:lastRenderedPageBreak/>
        <w:t>Havaittu geometrisen keskihajonnan arvo</w:t>
      </w:r>
      <w:r w:rsidR="0057539D">
        <w:t xml:space="preserve"> </w:t>
      </w:r>
      <w:proofErr w:type="spellStart"/>
      <w:r w:rsidR="0057539D">
        <w:t>itsensäsäilyttävälle</w:t>
      </w:r>
      <w:proofErr w:type="spellEnd"/>
      <w:r>
        <w:t xml:space="preserve"> jakaumalle</w:t>
      </w:r>
      <w:r w:rsidR="007118D0">
        <w:t xml:space="preserve"> (eli arvo, johon </w:t>
      </w:r>
      <w:proofErr w:type="spellStart"/>
      <w:r w:rsidR="007118D0">
        <w:t>gsd</w:t>
      </w:r>
      <w:proofErr w:type="spellEnd"/>
      <w:r w:rsidR="007118D0">
        <w:t xml:space="preserve"> vakiintuu)</w:t>
      </w:r>
      <w:r>
        <w:t xml:space="preserve"> on noin 1,63</w:t>
      </w:r>
      <w:r w:rsidR="0057539D">
        <w:t>0</w:t>
      </w:r>
      <w:r>
        <w:t>…1,679 alkuparametreista riippuen.</w:t>
      </w:r>
      <w:r w:rsidR="00426F54">
        <w:t xml:space="preserve"> Fraktaalidimensio oli kaikissa tapauksissa 2,0. Artikkelin (</w:t>
      </w:r>
      <w:proofErr w:type="spellStart"/>
      <w:r w:rsidR="00426F54">
        <w:t>Vemury</w:t>
      </w:r>
      <w:proofErr w:type="spellEnd"/>
      <w:r w:rsidR="00426F54">
        <w:t xml:space="preserve"> &amp; </w:t>
      </w:r>
      <w:proofErr w:type="spellStart"/>
      <w:r w:rsidR="00426F54">
        <w:t>Pratsinis</w:t>
      </w:r>
      <w:proofErr w:type="spellEnd"/>
      <w:r w:rsidR="00426F54">
        <w:t xml:space="preserve">, 1994) mukaan tälle fraktaalidimensiolle </w:t>
      </w:r>
      <w:proofErr w:type="spellStart"/>
      <w:r w:rsidR="00426F54">
        <w:t>itsensäsäilyttävän</w:t>
      </w:r>
      <w:proofErr w:type="spellEnd"/>
      <w:r w:rsidR="00426F54">
        <w:t xml:space="preserve"> jakauman geometrinen keskihajonta on 1,61.</w:t>
      </w:r>
      <w:r w:rsidR="00182767">
        <w:t xml:space="preserve"> Kyseisessä artikkelissa ei kuitenkaan oteta kantaa jakauman muotoon.</w:t>
      </w:r>
    </w:p>
    <w:p w:rsidR="007118D0" w:rsidRDefault="007118D0" w:rsidP="00164F43">
      <w:pPr>
        <w:jc w:val="both"/>
      </w:pPr>
      <w:r>
        <w:t>Kolmea erilaista tapausta on tarkasteltu:</w:t>
      </w:r>
    </w:p>
    <w:p w:rsidR="007118D0" w:rsidRDefault="007118D0" w:rsidP="007118D0">
      <w:pPr>
        <w:pStyle w:val="ListParagraph"/>
        <w:numPr>
          <w:ilvl w:val="0"/>
          <w:numId w:val="11"/>
        </w:numPr>
        <w:jc w:val="both"/>
      </w:pPr>
      <w:r>
        <w:t xml:space="preserve">Alussa kaikki jakauman hiukkaset ovat suurempia kuin primäärihiukkanen. Kun sektioiden lukumäärä on sata, virhe on suurimmillaan 13,2 %. Pienemmillä sektiomäärillä virhe on suurempi. Myös alkujakauman </w:t>
      </w:r>
      <w:proofErr w:type="spellStart"/>
      <w:r>
        <w:t>gsd:n</w:t>
      </w:r>
      <w:proofErr w:type="spellEnd"/>
      <w:r>
        <w:t xml:space="preserve"> pienet muutokset vaikuttavat melko paljon lopputulokseen. Kuitenkin kaikilla </w:t>
      </w:r>
      <w:proofErr w:type="spellStart"/>
      <w:r>
        <w:t>gsd:n</w:t>
      </w:r>
      <w:proofErr w:type="spellEnd"/>
      <w:r>
        <w:t xml:space="preserve"> arvoilla tapahtuu kuvan 1 kaltainen ilmiö. Simulaatioajan kasvattaminen ei kasvata virhettä, mikä viittaa siihen, että suurin virhe tapahtuu alkuvaiheessa, kun jakauma muotoutuu uudelleen.</w:t>
      </w:r>
    </w:p>
    <w:p w:rsidR="007118D0" w:rsidRDefault="007118D0" w:rsidP="007118D0">
      <w:pPr>
        <w:pStyle w:val="ListParagraph"/>
        <w:numPr>
          <w:ilvl w:val="0"/>
          <w:numId w:val="11"/>
        </w:numPr>
        <w:jc w:val="both"/>
      </w:pPr>
      <w:r>
        <w:t>Hiukkasten alkujakauman µ on sama kuin primäärihiukkasten halkaisija</w:t>
      </w:r>
      <w:r w:rsidR="00EA4A16">
        <w:t>, eli jakauma koostuu suurelta osin primäärihiukkasista</w:t>
      </w:r>
      <w:r>
        <w:t xml:space="preserve">. Tämä on hieman kyseenalaista, koska tällöin jakaumassa on myös </w:t>
      </w:r>
      <w:proofErr w:type="spellStart"/>
      <w:r>
        <w:t>agglomeraatteja</w:t>
      </w:r>
      <w:proofErr w:type="spellEnd"/>
      <w:r>
        <w:t>, jotka sisältävät alle yksi primäärihiukkasta. Tässä tapauksessa virhe oli 8,4 – 12,4 %.</w:t>
      </w:r>
    </w:p>
    <w:p w:rsidR="009C76C1" w:rsidRDefault="009C76C1" w:rsidP="007118D0">
      <w:pPr>
        <w:pStyle w:val="ListParagraph"/>
        <w:numPr>
          <w:ilvl w:val="0"/>
          <w:numId w:val="11"/>
        </w:numPr>
        <w:jc w:val="both"/>
      </w:pPr>
      <w:r>
        <w:t xml:space="preserve">Hiukkasten alkujakauman µ on sama kuin primäärihiukkasten halkaisija. </w:t>
      </w:r>
      <w:proofErr w:type="spellStart"/>
      <w:r>
        <w:t>Sektionaalinen</w:t>
      </w:r>
      <w:proofErr w:type="spellEnd"/>
      <w:r>
        <w:t xml:space="preserve"> simulaatio ajetaan nollasta 10 000 sekuntiin. Tämän tapauksen geometrinen keskihajonta on kuvassa 1. Keskimääräisen tilavuuden mallin laskenta aloitetaan 7000 sekuntista, koska voidaan olettaa, että tällöin </w:t>
      </w:r>
      <w:proofErr w:type="spellStart"/>
      <w:r>
        <w:t>sektionaalisen</w:t>
      </w:r>
      <w:proofErr w:type="spellEnd"/>
      <w:r>
        <w:t xml:space="preserve"> mallin jakauma on jo lähes </w:t>
      </w:r>
      <w:proofErr w:type="spellStart"/>
      <w:r>
        <w:t>itsensäsäilyttävä</w:t>
      </w:r>
      <w:proofErr w:type="spellEnd"/>
      <w:r>
        <w:t>. Nyt siis ajanhetkellä 7000 sekuntia molempien mallien keskimääräinen tilavuus on sama. Lopussa (t=10 000 s) virhe on 3,2 %. Tämä tapaus simuloitiin 60 sektiolla, sektiomäärän lisäys todennäköisesti pienentäisi virhettä hieman.</w:t>
      </w:r>
    </w:p>
    <w:p w:rsidR="009C76C1" w:rsidRDefault="009C76C1" w:rsidP="00FF379D">
      <w:pPr>
        <w:jc w:val="both"/>
      </w:pPr>
      <w:r>
        <w:t xml:space="preserve">Kolmannessa tapauksessa virhe on jo melko pieni. Toisaalta kyseisessä tapauksessa myös tilavuuden kasvu on hyvin maltillista verrattuna muihin tapauksiin: kolmannessa keskimääräinen tilavuus kaksinkertaistuu, kun taas muissa se kasvaa monikymmenkertaiseksi. Virheen pienuus voi siis johtua joko hitaasta tilavuuskasvusta tai siitä, että </w:t>
      </w:r>
      <w:proofErr w:type="spellStart"/>
      <w:r>
        <w:t>sektionaalisen</w:t>
      </w:r>
      <w:proofErr w:type="spellEnd"/>
      <w:r>
        <w:t xml:space="preserve"> mallin jakauma on </w:t>
      </w:r>
      <w:proofErr w:type="spellStart"/>
      <w:r>
        <w:t>itsensäsäilyttävässä</w:t>
      </w:r>
      <w:proofErr w:type="spellEnd"/>
      <w:r>
        <w:t xml:space="preserve"> muodossa.</w:t>
      </w:r>
    </w:p>
    <w:p w:rsidR="009C76C1" w:rsidRDefault="00130C21" w:rsidP="00FF379D">
      <w:pPr>
        <w:jc w:val="both"/>
        <w:rPr>
          <w:rFonts w:eastAsiaTheme="minorEastAsia"/>
        </w:rPr>
      </w:pPr>
      <w:r>
        <w:t xml:space="preserve">Virhettä saattaa aiheutua myös differentiaaliyhtälön (1) </w:t>
      </w:r>
      <m:oMath>
        <m:r>
          <w:rPr>
            <w:rFonts w:ascii="Cambria Math" w:hAnsi="Cambria Math"/>
          </w:rPr>
          <m:t>α</m:t>
        </m:r>
      </m:oMath>
      <w:r w:rsidR="002D3414">
        <w:rPr>
          <w:rFonts w:eastAsiaTheme="minorEastAsia"/>
        </w:rPr>
        <w:t xml:space="preserve">-kertoimesta, joka on laskettu lausekkeella </w:t>
      </w:r>
      <m:oMath>
        <m:r>
          <w:rPr>
            <w:rFonts w:ascii="Cambria Math" w:eastAsiaTheme="minorEastAsia" w:hAnsi="Cambria Math"/>
          </w:rPr>
          <m:t>α≈6.548+112.1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-7.883</m:t>
            </m:r>
          </m:sup>
        </m:sSubSup>
      </m:oMath>
      <w:r w:rsidR="002D3414">
        <w:rPr>
          <w:rFonts w:eastAsiaTheme="minorEastAsia"/>
        </w:rPr>
        <w:t xml:space="preserve">, missä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2D3414">
        <w:rPr>
          <w:rFonts w:eastAsiaTheme="minorEastAsia"/>
        </w:rPr>
        <w:t xml:space="preserve"> on </w:t>
      </w:r>
      <w:proofErr w:type="spellStart"/>
      <w:r w:rsidR="002D3414">
        <w:rPr>
          <w:rFonts w:eastAsiaTheme="minorEastAsia"/>
        </w:rPr>
        <w:t>agglomeraattien</w:t>
      </w:r>
      <w:proofErr w:type="spellEnd"/>
      <w:r w:rsidR="002D3414">
        <w:rPr>
          <w:rFonts w:eastAsiaTheme="minorEastAsia"/>
        </w:rPr>
        <w:t xml:space="preserve"> fraktaalidimensio. Tämä lauseke on muodostettu numeerisen laskennan avulla, joten se ei ole täysin eksakti. (Lehtinen et al. 1996)</w:t>
      </w:r>
    </w:p>
    <w:p w:rsidR="002D3414" w:rsidRDefault="00182767" w:rsidP="00182767">
      <w:pPr>
        <w:pStyle w:val="Heading1"/>
        <w:numPr>
          <w:ilvl w:val="0"/>
          <w:numId w:val="0"/>
        </w:numPr>
      </w:pPr>
      <w:r>
        <w:t>Lähteet</w:t>
      </w:r>
    </w:p>
    <w:p w:rsidR="00182767" w:rsidRPr="002C5901" w:rsidRDefault="00182767" w:rsidP="00182767">
      <w:pPr>
        <w:pStyle w:val="lahteet"/>
        <w:rPr>
          <w:sz w:val="22"/>
        </w:rPr>
      </w:pPr>
      <w:r w:rsidRPr="002C5901">
        <w:rPr>
          <w:sz w:val="22"/>
          <w:lang w:val="fi-FI"/>
        </w:rPr>
        <w:t xml:space="preserve">Lehtinen, K.E.J., </w:t>
      </w:r>
      <w:proofErr w:type="spellStart"/>
      <w:r w:rsidRPr="002C5901">
        <w:rPr>
          <w:sz w:val="22"/>
          <w:lang w:val="fi-FI"/>
        </w:rPr>
        <w:t>Windeler</w:t>
      </w:r>
      <w:proofErr w:type="spellEnd"/>
      <w:r w:rsidRPr="002C5901">
        <w:rPr>
          <w:sz w:val="22"/>
          <w:lang w:val="fi-FI"/>
        </w:rPr>
        <w:t xml:space="preserve">, R.S., </w:t>
      </w:r>
      <w:proofErr w:type="spellStart"/>
      <w:r w:rsidRPr="002C5901">
        <w:rPr>
          <w:sz w:val="22"/>
          <w:lang w:val="fi-FI"/>
        </w:rPr>
        <w:t>Friedlander</w:t>
      </w:r>
      <w:proofErr w:type="spellEnd"/>
      <w:r w:rsidRPr="002C5901">
        <w:rPr>
          <w:sz w:val="22"/>
          <w:lang w:val="fi-FI"/>
        </w:rPr>
        <w:t xml:space="preserve">, S.K. 1996. </w:t>
      </w:r>
      <w:proofErr w:type="gramStart"/>
      <w:r w:rsidRPr="002C5901">
        <w:rPr>
          <w:sz w:val="22"/>
        </w:rPr>
        <w:t>A Note on the Growth of Primary Particles in Agglomerate Structures by Coalescence.</w:t>
      </w:r>
      <w:proofErr w:type="gramEnd"/>
      <w:r w:rsidRPr="002C5901">
        <w:rPr>
          <w:sz w:val="22"/>
        </w:rPr>
        <w:t xml:space="preserve"> Journal of Colloid and Interface Science 182, 2, pp. 606-608.</w:t>
      </w:r>
    </w:p>
    <w:p w:rsidR="00A44F04" w:rsidRPr="002C5901" w:rsidRDefault="002C5901" w:rsidP="002C5901">
      <w:pPr>
        <w:pStyle w:val="lahteet"/>
        <w:rPr>
          <w:sz w:val="22"/>
        </w:rPr>
      </w:pPr>
      <w:proofErr w:type="spellStart"/>
      <w:proofErr w:type="gramStart"/>
      <w:r w:rsidRPr="002C5901">
        <w:rPr>
          <w:sz w:val="22"/>
          <w:lang w:eastAsia="fi-FI"/>
        </w:rPr>
        <w:t>Vemury</w:t>
      </w:r>
      <w:proofErr w:type="spellEnd"/>
      <w:r w:rsidRPr="002C5901">
        <w:rPr>
          <w:sz w:val="22"/>
          <w:lang w:eastAsia="fi-FI"/>
        </w:rPr>
        <w:t>,</w:t>
      </w:r>
      <w:r w:rsidRPr="002C5901">
        <w:rPr>
          <w:sz w:val="22"/>
          <w:lang w:eastAsia="fi-FI"/>
        </w:rPr>
        <w:t xml:space="preserve"> S., </w:t>
      </w:r>
      <w:proofErr w:type="spellStart"/>
      <w:r w:rsidRPr="002C5901">
        <w:rPr>
          <w:sz w:val="22"/>
          <w:lang w:eastAsia="fi-FI"/>
        </w:rPr>
        <w:t>Pratsinis</w:t>
      </w:r>
      <w:proofErr w:type="spellEnd"/>
      <w:r w:rsidRPr="002C5901">
        <w:rPr>
          <w:sz w:val="22"/>
          <w:lang w:eastAsia="fi-FI"/>
        </w:rPr>
        <w:t>, S.E. 1995.</w:t>
      </w:r>
      <w:proofErr w:type="gramEnd"/>
      <w:r w:rsidRPr="002C5901">
        <w:rPr>
          <w:sz w:val="22"/>
          <w:lang w:eastAsia="fi-FI"/>
        </w:rPr>
        <w:t xml:space="preserve"> </w:t>
      </w:r>
      <w:proofErr w:type="gramStart"/>
      <w:r w:rsidRPr="002C5901">
        <w:rPr>
          <w:sz w:val="22"/>
          <w:lang w:eastAsia="fi-FI"/>
        </w:rPr>
        <w:t xml:space="preserve">Self-preserving size distributions of </w:t>
      </w:r>
      <w:r w:rsidRPr="002C5901">
        <w:rPr>
          <w:sz w:val="22"/>
          <w:lang w:eastAsia="fi-FI"/>
        </w:rPr>
        <w:t>agglomerates.</w:t>
      </w:r>
      <w:proofErr w:type="gramEnd"/>
      <w:r w:rsidRPr="002C5901">
        <w:rPr>
          <w:sz w:val="22"/>
          <w:lang w:eastAsia="fi-FI"/>
        </w:rPr>
        <w:t xml:space="preserve"> </w:t>
      </w:r>
      <w:r w:rsidRPr="002C5901">
        <w:rPr>
          <w:sz w:val="22"/>
          <w:lang w:eastAsia="fi-FI"/>
        </w:rPr>
        <w:t>Journal of Aerosol Science</w:t>
      </w:r>
      <w:r w:rsidRPr="002C5901">
        <w:rPr>
          <w:sz w:val="22"/>
          <w:lang w:eastAsia="fi-FI"/>
        </w:rPr>
        <w:t>, 26, 2, pp. 175-185.</w:t>
      </w:r>
    </w:p>
    <w:sectPr w:rsidR="00A44F04" w:rsidRPr="002C590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17E4"/>
    <w:multiLevelType w:val="hybridMultilevel"/>
    <w:tmpl w:val="809C541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95AE2"/>
    <w:multiLevelType w:val="multilevel"/>
    <w:tmpl w:val="422CE2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BFD0B6D"/>
    <w:multiLevelType w:val="multilevel"/>
    <w:tmpl w:val="2B56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43"/>
    <w:rsid w:val="000847EF"/>
    <w:rsid w:val="00130C21"/>
    <w:rsid w:val="0015024D"/>
    <w:rsid w:val="00164F43"/>
    <w:rsid w:val="00182767"/>
    <w:rsid w:val="002C5901"/>
    <w:rsid w:val="002D3414"/>
    <w:rsid w:val="00374810"/>
    <w:rsid w:val="00377A24"/>
    <w:rsid w:val="00426F54"/>
    <w:rsid w:val="0057539D"/>
    <w:rsid w:val="005F4C5D"/>
    <w:rsid w:val="007118D0"/>
    <w:rsid w:val="0082382E"/>
    <w:rsid w:val="009C76C1"/>
    <w:rsid w:val="00A44F04"/>
    <w:rsid w:val="00BE7C66"/>
    <w:rsid w:val="00C64C56"/>
    <w:rsid w:val="00D45E09"/>
    <w:rsid w:val="00D77BF9"/>
    <w:rsid w:val="00EA4A16"/>
    <w:rsid w:val="00FF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C64C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D45E0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F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D3414"/>
    <w:rPr>
      <w:color w:val="0000FF"/>
      <w:u w:val="single"/>
    </w:rPr>
  </w:style>
  <w:style w:type="paragraph" w:customStyle="1" w:styleId="lahteet">
    <w:name w:val="lahteet"/>
    <w:basedOn w:val="Normal"/>
    <w:qFormat/>
    <w:rsid w:val="00182767"/>
    <w:pPr>
      <w:spacing w:after="240" w:line="288" w:lineRule="auto"/>
      <w:ind w:left="340" w:hanging="34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F04"/>
    <w:rPr>
      <w:rFonts w:ascii="Courier New" w:eastAsia="Times New Roman" w:hAnsi="Courier New" w:cs="Courier New"/>
      <w:sz w:val="20"/>
      <w:szCs w:val="20"/>
      <w:lang w:eastAsia="fi-F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BF9"/>
  </w:style>
  <w:style w:type="paragraph" w:styleId="Heading1">
    <w:name w:val="heading 1"/>
    <w:basedOn w:val="Normal"/>
    <w:next w:val="Normal"/>
    <w:link w:val="Heading1Char"/>
    <w:uiPriority w:val="9"/>
    <w:qFormat/>
    <w:rsid w:val="00D77BF9"/>
    <w:pPr>
      <w:numPr>
        <w:numId w:val="10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F9"/>
    <w:pPr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BF9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BF9"/>
    <w:pPr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BF9"/>
    <w:pPr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BF9"/>
    <w:pPr>
      <w:numPr>
        <w:ilvl w:val="5"/>
        <w:numId w:val="10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BF9"/>
    <w:pPr>
      <w:numPr>
        <w:ilvl w:val="6"/>
        <w:numId w:val="10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BF9"/>
    <w:pPr>
      <w:numPr>
        <w:ilvl w:val="7"/>
        <w:numId w:val="10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BF9"/>
    <w:pPr>
      <w:numPr>
        <w:ilvl w:val="8"/>
        <w:numId w:val="10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B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BF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BF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BF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BF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BF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BF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BF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7BF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BF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BF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BF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7BF9"/>
    <w:rPr>
      <w:b/>
      <w:bCs/>
    </w:rPr>
  </w:style>
  <w:style w:type="character" w:styleId="Emphasis">
    <w:name w:val="Emphasis"/>
    <w:uiPriority w:val="20"/>
    <w:qFormat/>
    <w:rsid w:val="00D77BF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7B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7B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BF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7B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BF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BF9"/>
    <w:rPr>
      <w:b/>
      <w:bCs/>
      <w:i/>
      <w:iCs/>
    </w:rPr>
  </w:style>
  <w:style w:type="character" w:styleId="SubtleEmphasis">
    <w:name w:val="Subtle Emphasis"/>
    <w:uiPriority w:val="19"/>
    <w:qFormat/>
    <w:rsid w:val="00D77BF9"/>
    <w:rPr>
      <w:i/>
      <w:iCs/>
    </w:rPr>
  </w:style>
  <w:style w:type="character" w:styleId="IntenseEmphasis">
    <w:name w:val="Intense Emphasis"/>
    <w:uiPriority w:val="21"/>
    <w:qFormat/>
    <w:rsid w:val="00D77BF9"/>
    <w:rPr>
      <w:b/>
      <w:bCs/>
    </w:rPr>
  </w:style>
  <w:style w:type="character" w:styleId="SubtleReference">
    <w:name w:val="Subtle Reference"/>
    <w:uiPriority w:val="31"/>
    <w:qFormat/>
    <w:rsid w:val="00D77BF9"/>
    <w:rPr>
      <w:smallCaps/>
    </w:rPr>
  </w:style>
  <w:style w:type="character" w:styleId="IntenseReference">
    <w:name w:val="Intense Reference"/>
    <w:uiPriority w:val="32"/>
    <w:qFormat/>
    <w:rsid w:val="00D77BF9"/>
    <w:rPr>
      <w:smallCaps/>
      <w:spacing w:val="5"/>
      <w:u w:val="single"/>
    </w:rPr>
  </w:style>
  <w:style w:type="character" w:styleId="BookTitle">
    <w:name w:val="Book Title"/>
    <w:uiPriority w:val="33"/>
    <w:qFormat/>
    <w:rsid w:val="00D77B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BF9"/>
    <w:pPr>
      <w:numPr>
        <w:numId w:val="0"/>
      </w:num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C64C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D45E0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F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D3414"/>
    <w:rPr>
      <w:color w:val="0000FF"/>
      <w:u w:val="single"/>
    </w:rPr>
  </w:style>
  <w:style w:type="paragraph" w:customStyle="1" w:styleId="lahteet">
    <w:name w:val="lahteet"/>
    <w:basedOn w:val="Normal"/>
    <w:qFormat/>
    <w:rsid w:val="00182767"/>
    <w:pPr>
      <w:spacing w:after="240" w:line="288" w:lineRule="auto"/>
      <w:ind w:left="340" w:hanging="34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F04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573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 of Technology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Simonen Pauli</dc:creator>
  <cp:lastModifiedBy>Simonen Pauli</cp:lastModifiedBy>
  <cp:revision>16</cp:revision>
  <dcterms:created xsi:type="dcterms:W3CDTF">2013-06-27T09:03:00Z</dcterms:created>
  <dcterms:modified xsi:type="dcterms:W3CDTF">2013-07-03T12:18:00Z</dcterms:modified>
</cp:coreProperties>
</file>