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078" w:rsidRPr="00FC3B17" w:rsidRDefault="00A66078" w:rsidP="00A66078">
      <w:pPr>
        <w:pStyle w:val="Heading1"/>
        <w:rPr>
          <w:lang w:val="en-GB"/>
        </w:rPr>
      </w:pPr>
      <w:r w:rsidRPr="00FC3B17">
        <w:rPr>
          <w:lang w:val="en-GB"/>
        </w:rPr>
        <w:t>Chamber model: validation</w:t>
      </w:r>
    </w:p>
    <w:p w:rsidR="00A66078" w:rsidRPr="00FC3B17" w:rsidRDefault="00A66078" w:rsidP="00A66078">
      <w:pPr>
        <w:rPr>
          <w:lang w:val="en-GB"/>
        </w:rPr>
      </w:pPr>
    </w:p>
    <w:p w:rsidR="00A66078" w:rsidRPr="00FC3B17" w:rsidRDefault="00A66078" w:rsidP="00A66078">
      <w:pPr>
        <w:pStyle w:val="Heading2"/>
        <w:numPr>
          <w:ilvl w:val="0"/>
          <w:numId w:val="13"/>
        </w:numPr>
        <w:rPr>
          <w:lang w:val="en-GB"/>
        </w:rPr>
      </w:pPr>
      <w:r w:rsidRPr="00FC3B17">
        <w:rPr>
          <w:lang w:val="en-GB"/>
        </w:rPr>
        <w:t>Condensation</w:t>
      </w:r>
    </w:p>
    <w:p w:rsidR="00A66078" w:rsidRPr="00FC3B17" w:rsidRDefault="00A66078" w:rsidP="007B035B">
      <w:pPr>
        <w:jc w:val="both"/>
        <w:rPr>
          <w:lang w:val="en-GB"/>
        </w:rPr>
      </w:pPr>
      <w:r w:rsidRPr="00FC3B17">
        <w:rPr>
          <w:lang w:val="en-GB"/>
        </w:rPr>
        <w:t>It is known that for a narrow particle distribution, the count median diameter</w:t>
      </w:r>
      <w:r w:rsidR="0010024D" w:rsidRPr="00FC3B17">
        <w:rPr>
          <w:lang w:val="en-GB"/>
        </w:rPr>
        <w:t xml:space="preserve"> </w:t>
      </w:r>
      <w:r w:rsidR="00F1519C">
        <w:rPr>
          <w:lang w:val="en-GB"/>
        </w:rPr>
        <w:t xml:space="preserve">(CMD) </w:t>
      </w:r>
      <w:r w:rsidR="0010024D" w:rsidRPr="00FC3B17">
        <w:rPr>
          <w:lang w:val="en-GB"/>
        </w:rPr>
        <w:t>of particles</w:t>
      </w:r>
      <w:r w:rsidR="00524C1E">
        <w:rPr>
          <w:lang w:val="en-GB"/>
        </w:rPr>
        <w:t xml:space="preserve"> grows about </w:t>
      </w:r>
      <m:oMath>
        <m:r>
          <w:rPr>
            <w:rFonts w:ascii="Cambria Math" w:hAnsi="Cambria Math"/>
            <w:lang w:val="en-GB"/>
          </w:rPr>
          <m:t xml:space="preserve">1.0 </m:t>
        </m:r>
        <m:f>
          <m:fPr>
            <m:ctrlPr>
              <w:rPr>
                <w:rFonts w:ascii="Cambria Math" w:hAnsi="Cambria Math"/>
                <w:i/>
                <w:lang w:val="en-GB"/>
              </w:rPr>
            </m:ctrlPr>
          </m:fPr>
          <m:num>
            <m:r>
              <w:rPr>
                <w:rFonts w:ascii="Cambria Math" w:hAnsi="Cambria Math"/>
                <w:lang w:val="en-GB"/>
              </w:rPr>
              <m:t>nm</m:t>
            </m:r>
          </m:num>
          <m:den>
            <m:r>
              <w:rPr>
                <w:rFonts w:ascii="Cambria Math" w:hAnsi="Cambria Math"/>
                <w:lang w:val="en-GB"/>
              </w:rPr>
              <m:t>h</m:t>
            </m:r>
          </m:den>
        </m:f>
      </m:oMath>
      <w:r w:rsidRPr="00FC3B17">
        <w:rPr>
          <w:lang w:val="en-GB"/>
        </w:rPr>
        <w:t xml:space="preserve"> by condensation </w:t>
      </w:r>
      <w:r w:rsidR="007F4555" w:rsidRPr="00FC3B17">
        <w:rPr>
          <w:lang w:val="en-GB"/>
        </w:rPr>
        <w:t xml:space="preserve">of </w:t>
      </w:r>
      <w:r w:rsidR="00FC3B17" w:rsidRPr="00FC3B17">
        <w:rPr>
          <w:lang w:val="en-GB"/>
        </w:rPr>
        <w:t>sulphuric</w:t>
      </w:r>
      <w:r w:rsidR="006723E0" w:rsidRPr="00FC3B17">
        <w:rPr>
          <w:lang w:val="en-GB"/>
        </w:rPr>
        <w:t xml:space="preserve"> acid </w:t>
      </w:r>
      <w:r w:rsidRPr="00FC3B17">
        <w:rPr>
          <w:lang w:val="en-GB"/>
        </w:rPr>
        <w:t>alone when the vapo</w:t>
      </w:r>
      <w:r w:rsidR="00FC3B17">
        <w:rPr>
          <w:lang w:val="en-GB"/>
        </w:rPr>
        <w:t>u</w:t>
      </w:r>
      <w:r w:rsidRPr="00FC3B17">
        <w:rPr>
          <w:lang w:val="en-GB"/>
        </w:rPr>
        <w:t xml:space="preserve">r concentration </w:t>
      </w:r>
      <w:r w:rsidR="0082103E" w:rsidRPr="00FC3B17">
        <w:rPr>
          <w:lang w:val="en-GB"/>
        </w:rPr>
        <w:t xml:space="preserve">has a constant value of </w:t>
      </w:r>
      <m:oMath>
        <m:r>
          <w:rPr>
            <w:rFonts w:ascii="Cambria Math" w:hAnsi="Cambria Math"/>
            <w:lang w:val="en-GB"/>
          </w:rPr>
          <m:t>1.36-1.39×</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molecules</m:t>
            </m:r>
          </m:num>
          <m:den>
            <m:r>
              <w:rPr>
                <w:rFonts w:ascii="Cambria Math" w:hAnsi="Cambria Math"/>
                <w:lang w:val="en-GB"/>
              </w:rPr>
              <m:t>cm3</m:t>
            </m:r>
          </m:den>
        </m:f>
      </m:oMath>
      <w:r w:rsidRPr="00FC3B17">
        <w:rPr>
          <w:lang w:val="en-GB"/>
        </w:rPr>
        <w:t xml:space="preserve"> </w:t>
      </w:r>
      <w:r w:rsidR="0082103E" w:rsidRPr="00FC3B17">
        <w:rPr>
          <w:lang w:val="en-GB"/>
        </w:rPr>
        <w:t xml:space="preserve"> and the saturation vapo</w:t>
      </w:r>
      <w:r w:rsidR="00FC3B17">
        <w:rPr>
          <w:lang w:val="en-GB"/>
        </w:rPr>
        <w:t>u</w:t>
      </w:r>
      <w:r w:rsidR="0082103E" w:rsidRPr="00FC3B17">
        <w:rPr>
          <w:lang w:val="en-GB"/>
        </w:rPr>
        <w:t>r pressure is assumed negligible. (lähde</w:t>
      </w:r>
      <w:r w:rsidR="007B035B" w:rsidRPr="00FC3B17">
        <w:rPr>
          <w:lang w:val="en-GB"/>
        </w:rPr>
        <w:t>?).</w:t>
      </w:r>
      <w:r w:rsidR="006723E0" w:rsidRPr="00FC3B17">
        <w:rPr>
          <w:lang w:val="en-GB"/>
        </w:rPr>
        <w:t xml:space="preserve"> This growth velocity serves as a reference for the chamber model validation tests.</w:t>
      </w:r>
    </w:p>
    <w:p w:rsidR="006723E0" w:rsidRPr="00FC3B17" w:rsidRDefault="007F4555" w:rsidP="007B035B">
      <w:pPr>
        <w:jc w:val="both"/>
        <w:rPr>
          <w:lang w:val="en-GB"/>
        </w:rPr>
      </w:pPr>
      <w:r w:rsidRPr="00FC3B17">
        <w:rPr>
          <w:lang w:val="en-GB"/>
        </w:rPr>
        <w:t>To simulate the condensation growth, the chamber model was initialized so that neither coagulation nor dilution happens. The initial vapo</w:t>
      </w:r>
      <w:r w:rsidR="00FC3B17">
        <w:rPr>
          <w:lang w:val="en-GB"/>
        </w:rPr>
        <w:t>u</w:t>
      </w:r>
      <w:r w:rsidRPr="00FC3B17">
        <w:rPr>
          <w:lang w:val="en-GB"/>
        </w:rPr>
        <w:t xml:space="preserve">r concentration was set to constant </w:t>
      </w:r>
      <m:oMath>
        <m:r>
          <w:rPr>
            <w:rFonts w:ascii="Cambria Math" w:hAnsi="Cambria Math"/>
            <w:lang w:val="en-GB"/>
          </w:rPr>
          <m:t>1.38×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f>
          <m:fPr>
            <m:ctrlPr>
              <w:rPr>
                <w:rFonts w:ascii="Cambria Math" w:hAnsi="Cambria Math"/>
                <w:i/>
                <w:lang w:val="en-GB"/>
              </w:rPr>
            </m:ctrlPr>
          </m:fPr>
          <m:num>
            <m:r>
              <w:rPr>
                <w:rFonts w:ascii="Cambria Math" w:hAnsi="Cambria Math"/>
                <w:lang w:val="en-GB"/>
              </w:rPr>
              <m:t>molecules</m:t>
            </m:r>
          </m:num>
          <m:den>
            <m:r>
              <w:rPr>
                <w:rFonts w:ascii="Cambria Math" w:hAnsi="Cambria Math"/>
                <w:lang w:val="en-GB"/>
              </w:rPr>
              <m:t>c</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den>
        </m:f>
      </m:oMath>
      <w:r w:rsidRPr="00FC3B17">
        <w:rPr>
          <w:lang w:val="en-GB"/>
        </w:rPr>
        <w:t xml:space="preserve"> so that the value does not change despite the condensation. </w:t>
      </w:r>
      <w:r w:rsidR="0017171A" w:rsidRPr="00FC3B17">
        <w:rPr>
          <w:lang w:val="en-GB"/>
        </w:rPr>
        <w:t xml:space="preserve">The size distribution consists of 100 sections between diameters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r>
          <w:rPr>
            <w:rFonts w:ascii="Cambria Math" w:hAnsi="Cambria Math"/>
            <w:lang w:val="en-GB"/>
          </w:rPr>
          <m:t xml:space="preserve"> m</m:t>
        </m:r>
      </m:oMath>
      <w:r w:rsidR="0017171A" w:rsidRPr="00FC3B17">
        <w:rPr>
          <w:lang w:val="en-GB"/>
        </w:rPr>
        <w:t xml:space="preserve"> and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r>
          <w:rPr>
            <w:rFonts w:ascii="Cambria Math" w:hAnsi="Cambria Math"/>
            <w:lang w:val="en-GB"/>
          </w:rPr>
          <m:t xml:space="preserve"> m</m:t>
        </m:r>
      </m:oMath>
      <w:r w:rsidR="0017171A" w:rsidRPr="00FC3B17">
        <w:rPr>
          <w:lang w:val="en-GB"/>
        </w:rPr>
        <w:t>. The geometric standard deviation (sigma) was 1.01, making the distribution nearly monodispersive, and the mean diameter was varied between 2 nm and 20 nm.</w:t>
      </w:r>
      <w:r w:rsidR="00F4174C" w:rsidRPr="00FC3B17">
        <w:rPr>
          <w:lang w:val="en-GB"/>
        </w:rPr>
        <w:t xml:space="preserve"> The time vector begins from zero seconds and goes to 7200 seconds with steps of 10 seconds. Hence, the model predicts how much the count median diameter grows in two hours.</w:t>
      </w:r>
    </w:p>
    <w:p w:rsidR="00F4174C" w:rsidRDefault="00F4174C" w:rsidP="007B035B">
      <w:pPr>
        <w:jc w:val="both"/>
        <w:rPr>
          <w:lang w:val="en-GB"/>
        </w:rPr>
      </w:pPr>
      <w:r w:rsidRPr="00FC3B17">
        <w:rPr>
          <w:lang w:val="en-GB"/>
        </w:rPr>
        <w:t>At first, the predictions w</w:t>
      </w:r>
      <w:r w:rsidR="00FC3B17" w:rsidRPr="00FC3B17">
        <w:rPr>
          <w:lang w:val="en-GB"/>
        </w:rPr>
        <w:t>ere too low: the growth velocities for different diameters</w:t>
      </w:r>
      <w:r w:rsidRPr="00FC3B17">
        <w:rPr>
          <w:lang w:val="en-GB"/>
        </w:rPr>
        <w:t xml:space="preserve"> </w:t>
      </w:r>
      <w:r w:rsidR="00FC3B17" w:rsidRPr="00FC3B17">
        <w:rPr>
          <w:lang w:val="en-GB"/>
        </w:rPr>
        <w:t xml:space="preserve">were about </w:t>
      </w:r>
      <m:oMath>
        <m:r>
          <w:rPr>
            <w:rFonts w:ascii="Cambria Math" w:hAnsi="Cambria Math"/>
            <w:lang w:val="en-GB"/>
          </w:rPr>
          <m:t>0.6</m:t>
        </m:r>
        <m:f>
          <m:fPr>
            <m:ctrlPr>
              <w:rPr>
                <w:rFonts w:ascii="Cambria Math" w:hAnsi="Cambria Math"/>
                <w:i/>
                <w:lang w:val="en-GB"/>
              </w:rPr>
            </m:ctrlPr>
          </m:fPr>
          <m:num>
            <m:r>
              <w:rPr>
                <w:rFonts w:ascii="Cambria Math" w:hAnsi="Cambria Math"/>
                <w:lang w:val="en-GB"/>
              </w:rPr>
              <m:t>nm</m:t>
            </m:r>
          </m:num>
          <m:den>
            <m:r>
              <w:rPr>
                <w:rFonts w:ascii="Cambria Math" w:hAnsi="Cambria Math"/>
                <w:lang w:val="en-GB"/>
              </w:rPr>
              <m:t>h</m:t>
            </m:r>
          </m:den>
        </m:f>
      </m:oMath>
      <w:r w:rsidR="002352AA" w:rsidRPr="00FC3B17">
        <w:rPr>
          <w:lang w:val="en-GB"/>
        </w:rPr>
        <w:t xml:space="preserve">. The reason </w:t>
      </w:r>
      <w:r w:rsidR="00CA40A1" w:rsidRPr="00FC3B17">
        <w:rPr>
          <w:lang w:val="en-GB"/>
        </w:rPr>
        <w:t xml:space="preserve">was the density of particulate matter which was set to </w:t>
      </w:r>
      <m:oMath>
        <m:r>
          <w:rPr>
            <w:rFonts w:ascii="Cambria Math" w:hAnsi="Cambria Math"/>
            <w:lang w:val="en-GB"/>
          </w:rPr>
          <m:t>1.83</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c</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den>
        </m:f>
      </m:oMath>
      <w:r w:rsidR="00CA40A1" w:rsidRPr="00FC3B17">
        <w:rPr>
          <w:lang w:val="en-GB"/>
        </w:rPr>
        <w:t>. This is t</w:t>
      </w:r>
      <w:r w:rsidR="00FC3B17" w:rsidRPr="00FC3B17">
        <w:rPr>
          <w:lang w:val="en-GB"/>
        </w:rPr>
        <w:t>he density of sulphuric acid and should give the right predictions. However, the sulphuric acid molecules do not condensate alone on the surface of particles but there is</w:t>
      </w:r>
      <w:r w:rsidR="00FC3B17">
        <w:rPr>
          <w:lang w:val="en-GB"/>
        </w:rPr>
        <w:t xml:space="preserve"> also</w:t>
      </w:r>
      <w:r w:rsidR="00FC3B17" w:rsidRPr="00FC3B17">
        <w:rPr>
          <w:lang w:val="en-GB"/>
        </w:rPr>
        <w:t xml:space="preserve"> water molecules bound to sulphuric</w:t>
      </w:r>
      <w:r w:rsidR="00FC3B17">
        <w:rPr>
          <w:lang w:val="en-GB"/>
        </w:rPr>
        <w:t xml:space="preserve"> acid molecules. Thus the density of condensing molecules is nearer to </w:t>
      </w:r>
      <w:r w:rsidR="00BC273B">
        <w:rPr>
          <w:lang w:val="en-GB"/>
        </w:rPr>
        <w:t xml:space="preserve">the </w:t>
      </w:r>
      <w:r w:rsidR="00FC3B17">
        <w:rPr>
          <w:lang w:val="en-GB"/>
        </w:rPr>
        <w:t>density</w:t>
      </w:r>
      <w:r w:rsidR="00BC273B">
        <w:rPr>
          <w:lang w:val="en-GB"/>
        </w:rPr>
        <w:t xml:space="preserve"> of water</w:t>
      </w:r>
      <w:r w:rsidR="00FC3B17">
        <w:rPr>
          <w:lang w:val="en-GB"/>
        </w:rPr>
        <w:t xml:space="preserve"> than that of sulphuric acid.</w:t>
      </w:r>
    </w:p>
    <w:p w:rsidR="00BC273B" w:rsidRDefault="00BC273B" w:rsidP="007B035B">
      <w:pPr>
        <w:jc w:val="both"/>
        <w:rPr>
          <w:lang w:val="en-GB"/>
        </w:rPr>
      </w:pPr>
      <w:r>
        <w:rPr>
          <w:lang w:val="en-GB"/>
        </w:rPr>
        <w:t xml:space="preserve">After changing the particle matter density from </w:t>
      </w:r>
      <m:oMath>
        <m:r>
          <w:rPr>
            <w:rFonts w:ascii="Cambria Math" w:hAnsi="Cambria Math"/>
            <w:lang w:val="en-GB"/>
          </w:rPr>
          <m:t>1.83</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c</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den>
        </m:f>
      </m:oMath>
      <w:r>
        <w:rPr>
          <w:lang w:val="en-GB"/>
        </w:rPr>
        <w:t xml:space="preserve"> to </w:t>
      </w:r>
      <m:oMath>
        <m:r>
          <w:rPr>
            <w:rFonts w:ascii="Cambria Math" w:hAnsi="Cambria Math"/>
            <w:lang w:val="en-GB"/>
          </w:rPr>
          <m:t>1.0</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c</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den>
        </m:f>
      </m:oMath>
      <w:r w:rsidR="00D15F2F">
        <w:rPr>
          <w:lang w:val="en-GB"/>
        </w:rPr>
        <w:t xml:space="preserve"> </w:t>
      </w:r>
      <w:r>
        <w:rPr>
          <w:lang w:val="en-GB"/>
        </w:rPr>
        <w:t>(density of water)</w:t>
      </w:r>
      <w:r w:rsidR="00C43411">
        <w:rPr>
          <w:lang w:val="en-GB"/>
        </w:rPr>
        <w:t xml:space="preserve"> the model gave predictions that matched the reference growth velocity: the average change of the count median diameter for different monodis</w:t>
      </w:r>
      <w:r w:rsidR="00B840B5">
        <w:rPr>
          <w:lang w:val="en-GB"/>
        </w:rPr>
        <w:t xml:space="preserve">persive distributions was about </w:t>
      </w:r>
      <m:oMath>
        <m:r>
          <w:rPr>
            <w:rFonts w:ascii="Cambria Math" w:hAnsi="Cambria Math"/>
            <w:lang w:val="en-GB"/>
          </w:rPr>
          <m:t>1.04</m:t>
        </m:r>
        <m:f>
          <m:fPr>
            <m:ctrlPr>
              <w:rPr>
                <w:rFonts w:ascii="Cambria Math" w:hAnsi="Cambria Math"/>
                <w:i/>
                <w:lang w:val="en-GB"/>
              </w:rPr>
            </m:ctrlPr>
          </m:fPr>
          <m:num>
            <m:r>
              <w:rPr>
                <w:rFonts w:ascii="Cambria Math" w:hAnsi="Cambria Math"/>
                <w:lang w:val="en-GB"/>
              </w:rPr>
              <m:t>nm</m:t>
            </m:r>
          </m:num>
          <m:den>
            <m:r>
              <w:rPr>
                <w:rFonts w:ascii="Cambria Math" w:hAnsi="Cambria Math"/>
                <w:lang w:val="en-GB"/>
              </w:rPr>
              <m:t>h</m:t>
            </m:r>
          </m:den>
        </m:f>
      </m:oMath>
      <w:r w:rsidR="00C43411">
        <w:rPr>
          <w:lang w:val="en-GB"/>
        </w:rPr>
        <w:t>.</w:t>
      </w:r>
      <w:r w:rsidR="00786845">
        <w:rPr>
          <w:lang w:val="en-GB"/>
        </w:rPr>
        <w:t xml:space="preserve"> The parameters</w:t>
      </w:r>
      <w:r w:rsidR="00B67157">
        <w:rPr>
          <w:lang w:val="en-GB"/>
        </w:rPr>
        <w:t xml:space="preserve"> that differ from default parameters</w:t>
      </w:r>
      <w:r w:rsidR="00786845">
        <w:rPr>
          <w:lang w:val="en-GB"/>
        </w:rPr>
        <w:t xml:space="preserve"> are listed in table 1 and results in table 2.</w:t>
      </w:r>
    </w:p>
    <w:p w:rsidR="00786845" w:rsidRDefault="00786845" w:rsidP="00786845">
      <w:pPr>
        <w:pStyle w:val="Caption"/>
        <w:keepNext/>
      </w:pPr>
      <w:r>
        <w:t xml:space="preserve">Table </w:t>
      </w:r>
      <w:fldSimple w:instr=" SEQ Table \* ARABIC ">
        <w:r w:rsidR="00285687">
          <w:rPr>
            <w:noProof/>
          </w:rPr>
          <w:t>1</w:t>
        </w:r>
      </w:fldSimple>
      <w:r>
        <w:t>: Simulation parameters</w:t>
      </w:r>
    </w:p>
    <w:tbl>
      <w:tblPr>
        <w:tblStyle w:val="TableGrid"/>
        <w:tblW w:w="0" w:type="auto"/>
        <w:tblLook w:val="04A0" w:firstRow="1" w:lastRow="0" w:firstColumn="1" w:lastColumn="0" w:noHBand="0" w:noVBand="1"/>
      </w:tblPr>
      <w:tblGrid>
        <w:gridCol w:w="1951"/>
        <w:gridCol w:w="3119"/>
      </w:tblGrid>
      <w:tr w:rsidR="008866E4" w:rsidTr="008866E4">
        <w:tc>
          <w:tcPr>
            <w:tcW w:w="1951" w:type="dxa"/>
            <w:shd w:val="clear" w:color="auto" w:fill="D9D9D9" w:themeFill="background1" w:themeFillShade="D9"/>
          </w:tcPr>
          <w:p w:rsidR="008866E4" w:rsidRDefault="008866E4" w:rsidP="008866E4">
            <w:pPr>
              <w:jc w:val="center"/>
              <w:rPr>
                <w:lang w:val="en-GB"/>
              </w:rPr>
            </w:pPr>
            <w:r>
              <w:rPr>
                <w:lang w:val="en-GB"/>
              </w:rPr>
              <w:t>Parameter</w:t>
            </w:r>
          </w:p>
        </w:tc>
        <w:tc>
          <w:tcPr>
            <w:tcW w:w="3119" w:type="dxa"/>
            <w:shd w:val="clear" w:color="auto" w:fill="D9D9D9" w:themeFill="background1" w:themeFillShade="D9"/>
          </w:tcPr>
          <w:p w:rsidR="008866E4" w:rsidRDefault="008866E4" w:rsidP="008866E4">
            <w:pPr>
              <w:jc w:val="center"/>
              <w:rPr>
                <w:lang w:val="en-GB"/>
              </w:rPr>
            </w:pPr>
            <w:r>
              <w:rPr>
                <w:lang w:val="en-GB"/>
              </w:rPr>
              <w:t>Value</w:t>
            </w:r>
          </w:p>
        </w:tc>
      </w:tr>
      <w:tr w:rsidR="00956C19" w:rsidTr="008866E4">
        <w:tc>
          <w:tcPr>
            <w:tcW w:w="1951" w:type="dxa"/>
            <w:vAlign w:val="center"/>
          </w:tcPr>
          <w:p w:rsidR="00956C19" w:rsidRDefault="00956C19" w:rsidP="008866E4">
            <w:pPr>
              <w:jc w:val="center"/>
              <w:rPr>
                <w:lang w:val="en-GB"/>
              </w:rPr>
            </w:pPr>
            <w:r>
              <w:rPr>
                <w:lang w:val="en-GB"/>
              </w:rPr>
              <w:t>Cvap0</w:t>
            </w:r>
          </w:p>
        </w:tc>
        <w:tc>
          <w:tcPr>
            <w:tcW w:w="3119" w:type="dxa"/>
            <w:vAlign w:val="center"/>
          </w:tcPr>
          <w:p w:rsidR="00956C19" w:rsidRDefault="00956C19" w:rsidP="008866E4">
            <w:pPr>
              <w:jc w:val="center"/>
              <w:rPr>
                <w:lang w:val="en-GB"/>
              </w:rPr>
            </w:pPr>
            <w:r>
              <w:rPr>
                <w:lang w:val="en-GB"/>
              </w:rPr>
              <w:t>1.38E10 1/cm^3</w:t>
            </w:r>
          </w:p>
        </w:tc>
      </w:tr>
      <w:tr w:rsidR="00956C19" w:rsidTr="008866E4">
        <w:tc>
          <w:tcPr>
            <w:tcW w:w="1951" w:type="dxa"/>
            <w:vAlign w:val="center"/>
          </w:tcPr>
          <w:p w:rsidR="00956C19" w:rsidRDefault="00956C19" w:rsidP="008866E4">
            <w:pPr>
              <w:jc w:val="center"/>
              <w:rPr>
                <w:lang w:val="en-GB"/>
              </w:rPr>
            </w:pPr>
            <w:r>
              <w:rPr>
                <w:lang w:val="en-GB"/>
              </w:rPr>
              <w:t>Cvap_const</w:t>
            </w:r>
          </w:p>
        </w:tc>
        <w:tc>
          <w:tcPr>
            <w:tcW w:w="3119" w:type="dxa"/>
            <w:vAlign w:val="center"/>
          </w:tcPr>
          <w:p w:rsidR="00956C19" w:rsidRDefault="00956C19" w:rsidP="008866E4">
            <w:pPr>
              <w:jc w:val="center"/>
              <w:rPr>
                <w:lang w:val="en-GB"/>
              </w:rPr>
            </w:pPr>
            <w:r>
              <w:rPr>
                <w:lang w:val="en-GB"/>
              </w:rPr>
              <w:t>1</w:t>
            </w:r>
          </w:p>
        </w:tc>
      </w:tr>
      <w:tr w:rsidR="00956C19" w:rsidTr="008866E4">
        <w:tc>
          <w:tcPr>
            <w:tcW w:w="1951" w:type="dxa"/>
            <w:vAlign w:val="center"/>
          </w:tcPr>
          <w:p w:rsidR="00956C19" w:rsidRDefault="00956C19" w:rsidP="008866E4">
            <w:pPr>
              <w:jc w:val="center"/>
              <w:rPr>
                <w:lang w:val="en-GB"/>
              </w:rPr>
            </w:pPr>
            <w:r>
              <w:rPr>
                <w:lang w:val="en-GB"/>
              </w:rPr>
              <w:t>coag_on</w:t>
            </w:r>
          </w:p>
        </w:tc>
        <w:tc>
          <w:tcPr>
            <w:tcW w:w="3119" w:type="dxa"/>
            <w:vAlign w:val="center"/>
          </w:tcPr>
          <w:p w:rsidR="00956C19" w:rsidRDefault="00956C19" w:rsidP="008866E4">
            <w:pPr>
              <w:jc w:val="center"/>
              <w:rPr>
                <w:lang w:val="en-GB"/>
              </w:rPr>
            </w:pPr>
            <w:r>
              <w:rPr>
                <w:lang w:val="en-GB"/>
              </w:rPr>
              <w:t>0</w:t>
            </w:r>
          </w:p>
        </w:tc>
      </w:tr>
      <w:tr w:rsidR="00956C19" w:rsidTr="008866E4">
        <w:tc>
          <w:tcPr>
            <w:tcW w:w="1951" w:type="dxa"/>
            <w:vAlign w:val="center"/>
          </w:tcPr>
          <w:p w:rsidR="00956C19" w:rsidRDefault="00956C19" w:rsidP="008866E4">
            <w:pPr>
              <w:jc w:val="center"/>
              <w:rPr>
                <w:lang w:val="en-GB"/>
              </w:rPr>
            </w:pPr>
            <w:r>
              <w:rPr>
                <w:lang w:val="en-GB"/>
              </w:rPr>
              <w:t>dilu_on</w:t>
            </w:r>
          </w:p>
        </w:tc>
        <w:tc>
          <w:tcPr>
            <w:tcW w:w="3119" w:type="dxa"/>
            <w:vAlign w:val="center"/>
          </w:tcPr>
          <w:p w:rsidR="00956C19" w:rsidRDefault="00956C19" w:rsidP="008866E4">
            <w:pPr>
              <w:jc w:val="center"/>
              <w:rPr>
                <w:lang w:val="en-GB"/>
              </w:rPr>
            </w:pPr>
            <w:r>
              <w:rPr>
                <w:lang w:val="en-GB"/>
              </w:rPr>
              <w:t>0</w:t>
            </w:r>
          </w:p>
        </w:tc>
      </w:tr>
      <w:tr w:rsidR="00956C19" w:rsidTr="008866E4">
        <w:tc>
          <w:tcPr>
            <w:tcW w:w="1951" w:type="dxa"/>
            <w:vAlign w:val="center"/>
          </w:tcPr>
          <w:p w:rsidR="00956C19" w:rsidRDefault="00956C19" w:rsidP="008866E4">
            <w:pPr>
              <w:jc w:val="center"/>
              <w:rPr>
                <w:lang w:val="en-GB"/>
              </w:rPr>
            </w:pPr>
            <w:r>
              <w:rPr>
                <w:lang w:val="en-GB"/>
              </w:rPr>
              <w:t>tvect</w:t>
            </w:r>
          </w:p>
        </w:tc>
        <w:tc>
          <w:tcPr>
            <w:tcW w:w="3119" w:type="dxa"/>
            <w:vAlign w:val="center"/>
          </w:tcPr>
          <w:p w:rsidR="00956C19" w:rsidRDefault="00956C19" w:rsidP="008866E4">
            <w:pPr>
              <w:jc w:val="center"/>
              <w:rPr>
                <w:lang w:val="en-GB"/>
              </w:rPr>
            </w:pPr>
            <w:r>
              <w:rPr>
                <w:lang w:val="en-GB"/>
              </w:rPr>
              <w:t>0:10:7200</w:t>
            </w:r>
          </w:p>
        </w:tc>
      </w:tr>
      <w:tr w:rsidR="00956C19" w:rsidTr="008866E4">
        <w:tc>
          <w:tcPr>
            <w:tcW w:w="1951" w:type="dxa"/>
            <w:vAlign w:val="center"/>
          </w:tcPr>
          <w:p w:rsidR="00956C19" w:rsidRDefault="00956C19" w:rsidP="008866E4">
            <w:pPr>
              <w:jc w:val="center"/>
              <w:rPr>
                <w:lang w:val="en-GB"/>
              </w:rPr>
            </w:pPr>
            <w:r>
              <w:rPr>
                <w:lang w:val="en-GB"/>
              </w:rPr>
              <w:t>Dp_min</w:t>
            </w:r>
          </w:p>
        </w:tc>
        <w:tc>
          <w:tcPr>
            <w:tcW w:w="3119" w:type="dxa"/>
            <w:vAlign w:val="center"/>
          </w:tcPr>
          <w:p w:rsidR="00956C19" w:rsidRDefault="00956C19" w:rsidP="008866E4">
            <w:pPr>
              <w:jc w:val="center"/>
              <w:rPr>
                <w:lang w:val="en-GB"/>
              </w:rPr>
            </w:pPr>
            <w:r>
              <w:rPr>
                <w:lang w:val="en-GB"/>
              </w:rPr>
              <w:t>-10</w:t>
            </w:r>
          </w:p>
        </w:tc>
      </w:tr>
      <w:tr w:rsidR="00956C19" w:rsidTr="008866E4">
        <w:tc>
          <w:tcPr>
            <w:tcW w:w="1951" w:type="dxa"/>
            <w:vAlign w:val="center"/>
          </w:tcPr>
          <w:p w:rsidR="00956C19" w:rsidRDefault="00956C19" w:rsidP="008866E4">
            <w:pPr>
              <w:jc w:val="center"/>
              <w:rPr>
                <w:lang w:val="en-GB"/>
              </w:rPr>
            </w:pPr>
            <w:r>
              <w:rPr>
                <w:lang w:val="en-GB"/>
              </w:rPr>
              <w:t>Dp_max</w:t>
            </w:r>
          </w:p>
        </w:tc>
        <w:tc>
          <w:tcPr>
            <w:tcW w:w="3119" w:type="dxa"/>
            <w:vAlign w:val="center"/>
          </w:tcPr>
          <w:p w:rsidR="00956C19" w:rsidRDefault="00956C19" w:rsidP="008866E4">
            <w:pPr>
              <w:jc w:val="center"/>
              <w:rPr>
                <w:lang w:val="en-GB"/>
              </w:rPr>
            </w:pPr>
            <w:r>
              <w:rPr>
                <w:lang w:val="en-GB"/>
              </w:rPr>
              <w:t>-6</w:t>
            </w:r>
          </w:p>
        </w:tc>
      </w:tr>
      <w:tr w:rsidR="00956C19" w:rsidTr="008866E4">
        <w:tc>
          <w:tcPr>
            <w:tcW w:w="1951" w:type="dxa"/>
            <w:vAlign w:val="center"/>
          </w:tcPr>
          <w:p w:rsidR="00956C19" w:rsidRDefault="00956C19" w:rsidP="008866E4">
            <w:pPr>
              <w:jc w:val="center"/>
              <w:rPr>
                <w:lang w:val="en-GB"/>
              </w:rPr>
            </w:pPr>
            <w:r>
              <w:rPr>
                <w:lang w:val="en-GB"/>
              </w:rPr>
              <w:t>sigma</w:t>
            </w:r>
          </w:p>
        </w:tc>
        <w:tc>
          <w:tcPr>
            <w:tcW w:w="3119" w:type="dxa"/>
            <w:vAlign w:val="center"/>
          </w:tcPr>
          <w:p w:rsidR="00956C19" w:rsidRDefault="00956C19" w:rsidP="008866E4">
            <w:pPr>
              <w:jc w:val="center"/>
              <w:rPr>
                <w:lang w:val="en-GB"/>
              </w:rPr>
            </w:pPr>
            <w:r>
              <w:rPr>
                <w:lang w:val="en-GB"/>
              </w:rPr>
              <w:t>1.01</w:t>
            </w:r>
          </w:p>
        </w:tc>
      </w:tr>
      <w:tr w:rsidR="00956C19" w:rsidTr="008866E4">
        <w:tc>
          <w:tcPr>
            <w:tcW w:w="1951" w:type="dxa"/>
            <w:vAlign w:val="center"/>
          </w:tcPr>
          <w:p w:rsidR="00956C19" w:rsidRDefault="00956C19" w:rsidP="008866E4">
            <w:pPr>
              <w:jc w:val="center"/>
              <w:rPr>
                <w:lang w:val="en-GB"/>
              </w:rPr>
            </w:pPr>
            <w:r>
              <w:rPr>
                <w:lang w:val="en-GB"/>
              </w:rPr>
              <w:t>sections</w:t>
            </w:r>
          </w:p>
        </w:tc>
        <w:tc>
          <w:tcPr>
            <w:tcW w:w="3119" w:type="dxa"/>
            <w:vAlign w:val="center"/>
          </w:tcPr>
          <w:p w:rsidR="00956C19" w:rsidRDefault="00956C19" w:rsidP="008866E4">
            <w:pPr>
              <w:jc w:val="center"/>
              <w:rPr>
                <w:lang w:val="en-GB"/>
              </w:rPr>
            </w:pPr>
            <w:r>
              <w:rPr>
                <w:lang w:val="en-GB"/>
              </w:rPr>
              <w:t>200</w:t>
            </w:r>
          </w:p>
        </w:tc>
      </w:tr>
      <w:tr w:rsidR="00956C19" w:rsidTr="008866E4">
        <w:tc>
          <w:tcPr>
            <w:tcW w:w="1951" w:type="dxa"/>
            <w:vAlign w:val="center"/>
          </w:tcPr>
          <w:p w:rsidR="00956C19" w:rsidRDefault="00956C19" w:rsidP="008866E4">
            <w:pPr>
              <w:jc w:val="center"/>
              <w:rPr>
                <w:lang w:val="en-GB"/>
              </w:rPr>
            </w:pPr>
            <w:r>
              <w:rPr>
                <w:lang w:val="en-GB"/>
              </w:rPr>
              <w:t>output_sections</w:t>
            </w:r>
          </w:p>
        </w:tc>
        <w:tc>
          <w:tcPr>
            <w:tcW w:w="3119" w:type="dxa"/>
            <w:vAlign w:val="center"/>
          </w:tcPr>
          <w:p w:rsidR="00956C19" w:rsidRDefault="00956C19" w:rsidP="008866E4">
            <w:pPr>
              <w:jc w:val="center"/>
              <w:rPr>
                <w:lang w:val="en-GB"/>
              </w:rPr>
            </w:pPr>
            <w:r>
              <w:rPr>
                <w:lang w:val="en-GB"/>
              </w:rPr>
              <w:t>2000</w:t>
            </w:r>
          </w:p>
        </w:tc>
      </w:tr>
      <w:tr w:rsidR="00956C19" w:rsidTr="008866E4">
        <w:tc>
          <w:tcPr>
            <w:tcW w:w="1951" w:type="dxa"/>
            <w:vAlign w:val="center"/>
          </w:tcPr>
          <w:p w:rsidR="00956C19" w:rsidRDefault="00956C19" w:rsidP="008866E4">
            <w:pPr>
              <w:jc w:val="center"/>
              <w:rPr>
                <w:lang w:val="en-GB"/>
              </w:rPr>
            </w:pPr>
            <w:r>
              <w:rPr>
                <w:lang w:val="en-GB"/>
              </w:rPr>
              <w:t>Cvap_tol</w:t>
            </w:r>
          </w:p>
        </w:tc>
        <w:tc>
          <w:tcPr>
            <w:tcW w:w="3119" w:type="dxa"/>
            <w:vAlign w:val="center"/>
          </w:tcPr>
          <w:p w:rsidR="00956C19" w:rsidRDefault="00956C19" w:rsidP="008866E4">
            <w:pPr>
              <w:jc w:val="center"/>
              <w:rPr>
                <w:lang w:val="en-GB"/>
              </w:rPr>
            </w:pPr>
            <w:r>
              <w:rPr>
                <w:lang w:val="en-GB"/>
              </w:rPr>
              <w:t>10 1/cm^3</w:t>
            </w:r>
          </w:p>
        </w:tc>
      </w:tr>
      <w:tr w:rsidR="00956C19" w:rsidTr="008866E4">
        <w:tc>
          <w:tcPr>
            <w:tcW w:w="1951" w:type="dxa"/>
            <w:vAlign w:val="center"/>
          </w:tcPr>
          <w:p w:rsidR="00956C19" w:rsidRDefault="00956C19" w:rsidP="008866E4">
            <w:pPr>
              <w:jc w:val="center"/>
              <w:rPr>
                <w:lang w:val="en-GB"/>
              </w:rPr>
            </w:pPr>
            <w:r>
              <w:rPr>
                <w:lang w:val="en-GB"/>
              </w:rPr>
              <w:t>Dp_tol</w:t>
            </w:r>
          </w:p>
        </w:tc>
        <w:tc>
          <w:tcPr>
            <w:tcW w:w="3119" w:type="dxa"/>
            <w:vAlign w:val="center"/>
          </w:tcPr>
          <w:p w:rsidR="00956C19" w:rsidRDefault="00956C19" w:rsidP="008866E4">
            <w:pPr>
              <w:jc w:val="center"/>
              <w:rPr>
                <w:lang w:val="en-GB"/>
              </w:rPr>
            </w:pPr>
            <w:r>
              <w:rPr>
                <w:lang w:val="en-GB"/>
              </w:rPr>
              <w:t>0.01E-9 m</w:t>
            </w:r>
          </w:p>
        </w:tc>
      </w:tr>
      <w:tr w:rsidR="00956C19" w:rsidTr="008866E4">
        <w:tc>
          <w:tcPr>
            <w:tcW w:w="1951" w:type="dxa"/>
            <w:vAlign w:val="center"/>
          </w:tcPr>
          <w:p w:rsidR="00956C19" w:rsidRDefault="00956C19" w:rsidP="008866E4">
            <w:pPr>
              <w:jc w:val="center"/>
              <w:rPr>
                <w:lang w:val="en-GB"/>
              </w:rPr>
            </w:pPr>
            <w:r>
              <w:rPr>
                <w:lang w:val="en-GB"/>
              </w:rPr>
              <w:t>particle_dens</w:t>
            </w:r>
          </w:p>
        </w:tc>
        <w:tc>
          <w:tcPr>
            <w:tcW w:w="3119" w:type="dxa"/>
            <w:vAlign w:val="center"/>
          </w:tcPr>
          <w:p w:rsidR="00956C19" w:rsidRDefault="00956C19" w:rsidP="008866E4">
            <w:pPr>
              <w:jc w:val="center"/>
              <w:rPr>
                <w:lang w:val="en-GB"/>
              </w:rPr>
            </w:pPr>
            <w:r>
              <w:rPr>
                <w:lang w:val="en-GB"/>
              </w:rPr>
              <w:t>1.0 g/cm^3</w:t>
            </w:r>
          </w:p>
        </w:tc>
      </w:tr>
    </w:tbl>
    <w:p w:rsidR="00956C19" w:rsidRDefault="00956C19" w:rsidP="007B035B">
      <w:pPr>
        <w:jc w:val="both"/>
        <w:rPr>
          <w:lang w:val="en-GB"/>
        </w:rPr>
      </w:pPr>
    </w:p>
    <w:p w:rsidR="00786845" w:rsidRDefault="00786845" w:rsidP="00786845">
      <w:pPr>
        <w:pStyle w:val="Caption"/>
        <w:keepNext/>
      </w:pPr>
      <w:r>
        <w:lastRenderedPageBreak/>
        <w:t xml:space="preserve">Table </w:t>
      </w:r>
      <w:fldSimple w:instr=" SEQ Table \* ARABIC ">
        <w:r w:rsidR="00285687">
          <w:rPr>
            <w:noProof/>
          </w:rPr>
          <w:t>2</w:t>
        </w:r>
      </w:fldSimple>
      <w:r>
        <w:t>: Simulation results</w:t>
      </w:r>
    </w:p>
    <w:tbl>
      <w:tblPr>
        <w:tblStyle w:val="TableGrid"/>
        <w:tblW w:w="0" w:type="auto"/>
        <w:tblLook w:val="04A0" w:firstRow="1" w:lastRow="0" w:firstColumn="1" w:lastColumn="0" w:noHBand="0" w:noVBand="1"/>
      </w:tblPr>
      <w:tblGrid>
        <w:gridCol w:w="3259"/>
        <w:gridCol w:w="3259"/>
        <w:gridCol w:w="3260"/>
      </w:tblGrid>
      <w:tr w:rsidR="004F13A0" w:rsidTr="00786845">
        <w:tc>
          <w:tcPr>
            <w:tcW w:w="3259" w:type="dxa"/>
            <w:shd w:val="clear" w:color="auto" w:fill="D9D9D9" w:themeFill="background1" w:themeFillShade="D9"/>
            <w:vAlign w:val="center"/>
          </w:tcPr>
          <w:p w:rsidR="004F13A0" w:rsidRDefault="004F13A0" w:rsidP="00786845">
            <w:pPr>
              <w:jc w:val="center"/>
              <w:rPr>
                <w:lang w:val="en-GB"/>
              </w:rPr>
            </w:pPr>
            <w:r>
              <w:rPr>
                <w:lang w:val="en-GB"/>
              </w:rPr>
              <w:t>µ of distribution (nm)</w:t>
            </w:r>
          </w:p>
        </w:tc>
        <w:tc>
          <w:tcPr>
            <w:tcW w:w="3259" w:type="dxa"/>
            <w:shd w:val="clear" w:color="auto" w:fill="D9D9D9" w:themeFill="background1" w:themeFillShade="D9"/>
            <w:vAlign w:val="center"/>
          </w:tcPr>
          <w:p w:rsidR="004F13A0" w:rsidRDefault="004F13A0" w:rsidP="00786845">
            <w:pPr>
              <w:jc w:val="center"/>
              <w:rPr>
                <w:lang w:val="en-GB"/>
              </w:rPr>
            </w:pPr>
            <w:r>
              <w:rPr>
                <w:lang w:val="en-GB"/>
              </w:rPr>
              <w:t>Growth velocity</w:t>
            </w:r>
            <w:r w:rsidR="00F1519C">
              <w:rPr>
                <w:lang w:val="en-GB"/>
              </w:rPr>
              <w:t xml:space="preserve"> of CMD</w:t>
            </w:r>
            <w:r>
              <w:rPr>
                <w:lang w:val="en-GB"/>
              </w:rPr>
              <w:t xml:space="preserve"> (nm/h)</w:t>
            </w:r>
          </w:p>
        </w:tc>
        <w:tc>
          <w:tcPr>
            <w:tcW w:w="3260" w:type="dxa"/>
            <w:shd w:val="clear" w:color="auto" w:fill="D9D9D9" w:themeFill="background1" w:themeFillShade="D9"/>
            <w:vAlign w:val="center"/>
          </w:tcPr>
          <w:p w:rsidR="004F13A0" w:rsidRDefault="008866E4" w:rsidP="00786845">
            <w:pPr>
              <w:jc w:val="center"/>
              <w:rPr>
                <w:lang w:val="en-GB"/>
              </w:rPr>
            </w:pPr>
            <w:r>
              <w:rPr>
                <w:lang w:val="en-GB"/>
              </w:rPr>
              <w:t>Error</w:t>
            </w:r>
          </w:p>
        </w:tc>
      </w:tr>
      <w:tr w:rsidR="004F13A0" w:rsidTr="00786845">
        <w:tc>
          <w:tcPr>
            <w:tcW w:w="3259" w:type="dxa"/>
            <w:vAlign w:val="center"/>
          </w:tcPr>
          <w:p w:rsidR="004F13A0" w:rsidRDefault="004F13A0" w:rsidP="00786845">
            <w:pPr>
              <w:jc w:val="center"/>
              <w:rPr>
                <w:lang w:val="en-GB"/>
              </w:rPr>
            </w:pPr>
            <w:r>
              <w:rPr>
                <w:lang w:val="en-GB"/>
              </w:rPr>
              <w:t>2</w:t>
            </w:r>
          </w:p>
        </w:tc>
        <w:tc>
          <w:tcPr>
            <w:tcW w:w="3259" w:type="dxa"/>
            <w:vAlign w:val="center"/>
          </w:tcPr>
          <w:p w:rsidR="004F13A0" w:rsidRDefault="004F13A0" w:rsidP="00786845">
            <w:pPr>
              <w:jc w:val="center"/>
              <w:rPr>
                <w:lang w:val="en-GB"/>
              </w:rPr>
            </w:pPr>
            <w:r>
              <w:rPr>
                <w:lang w:val="en-GB"/>
              </w:rPr>
              <w:t>1.05</w:t>
            </w:r>
          </w:p>
        </w:tc>
        <w:tc>
          <w:tcPr>
            <w:tcW w:w="3260" w:type="dxa"/>
            <w:vAlign w:val="center"/>
          </w:tcPr>
          <w:p w:rsidR="004F13A0" w:rsidRDefault="008866E4" w:rsidP="00786845">
            <w:pPr>
              <w:jc w:val="center"/>
              <w:rPr>
                <w:lang w:val="en-GB"/>
              </w:rPr>
            </w:pPr>
            <w:r>
              <w:rPr>
                <w:lang w:val="en-GB"/>
              </w:rPr>
              <w:t>5 %</w:t>
            </w:r>
          </w:p>
        </w:tc>
      </w:tr>
      <w:tr w:rsidR="004F13A0" w:rsidTr="00786845">
        <w:tc>
          <w:tcPr>
            <w:tcW w:w="3259" w:type="dxa"/>
            <w:vAlign w:val="center"/>
          </w:tcPr>
          <w:p w:rsidR="004F13A0" w:rsidRDefault="004F13A0" w:rsidP="00786845">
            <w:pPr>
              <w:jc w:val="center"/>
              <w:rPr>
                <w:lang w:val="en-GB"/>
              </w:rPr>
            </w:pPr>
            <w:r>
              <w:rPr>
                <w:lang w:val="en-GB"/>
              </w:rPr>
              <w:t>11</w:t>
            </w:r>
          </w:p>
        </w:tc>
        <w:tc>
          <w:tcPr>
            <w:tcW w:w="3259" w:type="dxa"/>
            <w:vAlign w:val="center"/>
          </w:tcPr>
          <w:p w:rsidR="004F13A0" w:rsidRDefault="004F13A0" w:rsidP="00786845">
            <w:pPr>
              <w:jc w:val="center"/>
              <w:rPr>
                <w:lang w:val="en-GB"/>
              </w:rPr>
            </w:pPr>
            <w:r>
              <w:rPr>
                <w:lang w:val="en-GB"/>
              </w:rPr>
              <w:t>1.07</w:t>
            </w:r>
          </w:p>
        </w:tc>
        <w:tc>
          <w:tcPr>
            <w:tcW w:w="3260" w:type="dxa"/>
            <w:vAlign w:val="center"/>
          </w:tcPr>
          <w:p w:rsidR="004F13A0" w:rsidRDefault="008866E4" w:rsidP="00786845">
            <w:pPr>
              <w:jc w:val="center"/>
              <w:rPr>
                <w:lang w:val="en-GB"/>
              </w:rPr>
            </w:pPr>
            <w:r>
              <w:rPr>
                <w:lang w:val="en-GB"/>
              </w:rPr>
              <w:t>7 %</w:t>
            </w:r>
          </w:p>
        </w:tc>
      </w:tr>
      <w:tr w:rsidR="004F13A0" w:rsidTr="00786845">
        <w:tc>
          <w:tcPr>
            <w:tcW w:w="3259" w:type="dxa"/>
            <w:vAlign w:val="center"/>
          </w:tcPr>
          <w:p w:rsidR="004F13A0" w:rsidRDefault="004F13A0" w:rsidP="00786845">
            <w:pPr>
              <w:jc w:val="center"/>
              <w:rPr>
                <w:lang w:val="en-GB"/>
              </w:rPr>
            </w:pPr>
            <w:r>
              <w:rPr>
                <w:lang w:val="en-GB"/>
              </w:rPr>
              <w:t>20</w:t>
            </w:r>
          </w:p>
        </w:tc>
        <w:tc>
          <w:tcPr>
            <w:tcW w:w="3259" w:type="dxa"/>
            <w:vAlign w:val="center"/>
          </w:tcPr>
          <w:p w:rsidR="004F13A0" w:rsidRDefault="004F13A0" w:rsidP="00786845">
            <w:pPr>
              <w:jc w:val="center"/>
              <w:rPr>
                <w:lang w:val="en-GB"/>
              </w:rPr>
            </w:pPr>
            <w:r>
              <w:rPr>
                <w:lang w:val="en-GB"/>
              </w:rPr>
              <w:t>1.01</w:t>
            </w:r>
          </w:p>
        </w:tc>
        <w:tc>
          <w:tcPr>
            <w:tcW w:w="3260" w:type="dxa"/>
            <w:vAlign w:val="center"/>
          </w:tcPr>
          <w:p w:rsidR="004F13A0" w:rsidRDefault="008866E4" w:rsidP="00786845">
            <w:pPr>
              <w:jc w:val="center"/>
              <w:rPr>
                <w:lang w:val="en-GB"/>
              </w:rPr>
            </w:pPr>
            <w:r>
              <w:rPr>
                <w:lang w:val="en-GB"/>
              </w:rPr>
              <w:t>1 %</w:t>
            </w:r>
          </w:p>
        </w:tc>
      </w:tr>
      <w:tr w:rsidR="008866E4" w:rsidTr="00786845">
        <w:tc>
          <w:tcPr>
            <w:tcW w:w="3259" w:type="dxa"/>
            <w:shd w:val="clear" w:color="auto" w:fill="D9D9D9" w:themeFill="background1" w:themeFillShade="D9"/>
            <w:vAlign w:val="center"/>
          </w:tcPr>
          <w:p w:rsidR="008866E4" w:rsidRDefault="008866E4" w:rsidP="00786845">
            <w:pPr>
              <w:jc w:val="center"/>
              <w:rPr>
                <w:lang w:val="en-GB"/>
              </w:rPr>
            </w:pPr>
            <w:r>
              <w:rPr>
                <w:lang w:val="en-GB"/>
              </w:rPr>
              <w:t>Average</w:t>
            </w:r>
          </w:p>
        </w:tc>
        <w:tc>
          <w:tcPr>
            <w:tcW w:w="3259" w:type="dxa"/>
            <w:vAlign w:val="center"/>
          </w:tcPr>
          <w:p w:rsidR="008866E4" w:rsidRDefault="008866E4" w:rsidP="00786845">
            <w:pPr>
              <w:jc w:val="center"/>
              <w:rPr>
                <w:lang w:val="en-GB"/>
              </w:rPr>
            </w:pPr>
            <w:r>
              <w:rPr>
                <w:lang w:val="en-GB"/>
              </w:rPr>
              <w:t>1.04</w:t>
            </w:r>
          </w:p>
        </w:tc>
        <w:tc>
          <w:tcPr>
            <w:tcW w:w="3260" w:type="dxa"/>
            <w:vAlign w:val="center"/>
          </w:tcPr>
          <w:p w:rsidR="008866E4" w:rsidRDefault="008866E4" w:rsidP="00786845">
            <w:pPr>
              <w:jc w:val="center"/>
              <w:rPr>
                <w:lang w:val="en-GB"/>
              </w:rPr>
            </w:pPr>
            <w:r>
              <w:rPr>
                <w:lang w:val="en-GB"/>
              </w:rPr>
              <w:t>4 %</w:t>
            </w:r>
          </w:p>
        </w:tc>
      </w:tr>
    </w:tbl>
    <w:p w:rsidR="004F13A0" w:rsidRDefault="004F13A0" w:rsidP="007B035B">
      <w:pPr>
        <w:jc w:val="both"/>
        <w:rPr>
          <w:lang w:val="en-GB"/>
        </w:rPr>
      </w:pPr>
    </w:p>
    <w:p w:rsidR="00050B7E" w:rsidRPr="00FC3B17" w:rsidRDefault="00050B7E" w:rsidP="007B035B">
      <w:pPr>
        <w:jc w:val="both"/>
        <w:rPr>
          <w:lang w:val="en-GB"/>
        </w:rPr>
      </w:pPr>
      <w:r>
        <w:rPr>
          <w:lang w:val="en-GB"/>
        </w:rPr>
        <w:t xml:space="preserve">The average error of growth velocity given by the model compared to the reference value of </w:t>
      </w:r>
      <m:oMath>
        <m:r>
          <w:rPr>
            <w:rFonts w:ascii="Cambria Math" w:hAnsi="Cambria Math"/>
            <w:lang w:val="en-GB"/>
          </w:rPr>
          <m:t>1.0</m:t>
        </m:r>
        <m:f>
          <m:fPr>
            <m:ctrlPr>
              <w:rPr>
                <w:rFonts w:ascii="Cambria Math" w:hAnsi="Cambria Math"/>
                <w:i/>
                <w:lang w:val="en-GB"/>
              </w:rPr>
            </m:ctrlPr>
          </m:fPr>
          <m:num>
            <m:r>
              <w:rPr>
                <w:rFonts w:ascii="Cambria Math" w:hAnsi="Cambria Math"/>
                <w:lang w:val="en-GB"/>
              </w:rPr>
              <m:t>nm</m:t>
            </m:r>
          </m:num>
          <m:den>
            <m:r>
              <w:rPr>
                <w:rFonts w:ascii="Cambria Math" w:hAnsi="Cambria Math"/>
                <w:lang w:val="en-GB"/>
              </w:rPr>
              <m:t>h</m:t>
            </m:r>
          </m:den>
        </m:f>
      </m:oMath>
      <w:r>
        <w:rPr>
          <w:lang w:val="en-GB"/>
        </w:rPr>
        <w:t xml:space="preserve"> was 4 % when the initial particle dia</w:t>
      </w:r>
      <w:r w:rsidR="00C01929">
        <w:rPr>
          <w:lang w:val="en-GB"/>
        </w:rPr>
        <w:t>meter ranged from 2 nm to 20 nm. T</w:t>
      </w:r>
      <w:r>
        <w:rPr>
          <w:lang w:val="en-GB"/>
        </w:rPr>
        <w:t>he model growth velocity was always higher than the reference velocity.</w:t>
      </w:r>
    </w:p>
    <w:p w:rsidR="00A66078" w:rsidRPr="00FC3B17" w:rsidRDefault="00A66078" w:rsidP="00A66078">
      <w:pPr>
        <w:pStyle w:val="Heading2"/>
        <w:numPr>
          <w:ilvl w:val="0"/>
          <w:numId w:val="13"/>
        </w:numPr>
        <w:rPr>
          <w:lang w:val="en-GB"/>
        </w:rPr>
      </w:pPr>
      <w:r w:rsidRPr="00FC3B17">
        <w:rPr>
          <w:lang w:val="en-GB"/>
        </w:rPr>
        <w:t>Coagulation</w:t>
      </w:r>
    </w:p>
    <w:p w:rsidR="00A66078" w:rsidRDefault="003F5FDE" w:rsidP="00A66078">
      <w:pPr>
        <w:rPr>
          <w:lang w:val="en-GB"/>
        </w:rPr>
      </w:pPr>
      <w:r>
        <w:rPr>
          <w:lang w:val="en-GB"/>
        </w:rPr>
        <w:t xml:space="preserve">For a monodisperse particle distribution, the change of particle concentration </w:t>
      </w:r>
      <m:oMath>
        <m:r>
          <w:rPr>
            <w:rFonts w:ascii="Cambria Math" w:hAnsi="Cambria Math"/>
            <w:lang w:val="en-GB"/>
          </w:rPr>
          <m:t>N</m:t>
        </m:r>
      </m:oMath>
      <w:r w:rsidR="00C66CAE">
        <w:rPr>
          <w:lang w:val="en-GB"/>
        </w:rPr>
        <w:t xml:space="preserve"> caused by coagulation</w:t>
      </w:r>
      <w:r>
        <w:rPr>
          <w:lang w:val="en-GB"/>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985"/>
        <w:gridCol w:w="5098"/>
        <w:gridCol w:w="2445"/>
      </w:tblGrid>
      <w:tr w:rsidR="00A43046" w:rsidTr="00A43046">
        <w:tc>
          <w:tcPr>
            <w:tcW w:w="250" w:type="dxa"/>
            <w:vAlign w:val="center"/>
          </w:tcPr>
          <w:p w:rsidR="00A43046" w:rsidRDefault="00A43046" w:rsidP="00A43046">
            <w:pPr>
              <w:rPr>
                <w:lang w:val="en-GB"/>
              </w:rPr>
            </w:pPr>
          </w:p>
        </w:tc>
        <w:tc>
          <w:tcPr>
            <w:tcW w:w="1985" w:type="dxa"/>
            <w:vAlign w:val="center"/>
          </w:tcPr>
          <w:p w:rsidR="00A43046" w:rsidRPr="00A43046" w:rsidRDefault="00BD5C48" w:rsidP="00A43046">
            <w:pPr>
              <w:rPr>
                <w:lang w:val="en-GB"/>
              </w:rPr>
            </w:pPr>
            <m:oMathPara>
              <m:oMathParaPr>
                <m:jc m:val="left"/>
              </m:oMathParaPr>
              <m:oMath>
                <m:f>
                  <m:fPr>
                    <m:ctrlPr>
                      <w:rPr>
                        <w:rFonts w:ascii="Cambria Math" w:hAnsi="Cambria Math"/>
                        <w:i/>
                        <w:lang w:val="en-GB"/>
                      </w:rPr>
                    </m:ctrlPr>
                  </m:fPr>
                  <m:num>
                    <m:r>
                      <w:rPr>
                        <w:rFonts w:ascii="Cambria Math" w:hAnsi="Cambria Math"/>
                        <w:lang w:val="en-GB"/>
                      </w:rPr>
                      <m:t>dN</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KN</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oMath>
            </m:oMathPara>
          </w:p>
        </w:tc>
        <w:tc>
          <w:tcPr>
            <w:tcW w:w="5098" w:type="dxa"/>
            <w:vAlign w:val="center"/>
          </w:tcPr>
          <w:p w:rsidR="00A43046" w:rsidRDefault="00A43046" w:rsidP="00A43046">
            <w:pPr>
              <w:rPr>
                <w:lang w:val="en-GB"/>
              </w:rPr>
            </w:pPr>
            <w:r>
              <w:rPr>
                <w:lang w:val="en-GB"/>
              </w:rPr>
              <w:t>,</w:t>
            </w:r>
          </w:p>
        </w:tc>
        <w:tc>
          <w:tcPr>
            <w:tcW w:w="2445" w:type="dxa"/>
            <w:vAlign w:val="center"/>
          </w:tcPr>
          <w:p w:rsidR="00A43046" w:rsidRDefault="00A43046" w:rsidP="00A43046">
            <w:pPr>
              <w:jc w:val="right"/>
              <w:rPr>
                <w:lang w:val="en-GB"/>
              </w:rPr>
            </w:pPr>
            <w:r>
              <w:rPr>
                <w:lang w:val="en-GB"/>
              </w:rPr>
              <w:t>(1)</w:t>
            </w:r>
          </w:p>
        </w:tc>
      </w:tr>
      <w:tr w:rsidR="00A43046" w:rsidTr="00A43046">
        <w:tc>
          <w:tcPr>
            <w:tcW w:w="250" w:type="dxa"/>
            <w:vAlign w:val="center"/>
          </w:tcPr>
          <w:p w:rsidR="00A43046" w:rsidRDefault="00A43046" w:rsidP="00A43046">
            <w:pPr>
              <w:rPr>
                <w:lang w:val="en-GB"/>
              </w:rPr>
            </w:pPr>
          </w:p>
        </w:tc>
        <w:tc>
          <w:tcPr>
            <w:tcW w:w="1985" w:type="dxa"/>
            <w:vAlign w:val="center"/>
          </w:tcPr>
          <w:p w:rsidR="00A43046" w:rsidRDefault="00A43046" w:rsidP="00A43046">
            <w:pPr>
              <w:rPr>
                <w:rFonts w:ascii="Calibri" w:eastAsia="Times New Roman" w:hAnsi="Calibri" w:cs="Times New Roman"/>
                <w:lang w:val="en-GB"/>
              </w:rPr>
            </w:pPr>
          </w:p>
        </w:tc>
        <w:tc>
          <w:tcPr>
            <w:tcW w:w="5098" w:type="dxa"/>
            <w:vAlign w:val="center"/>
          </w:tcPr>
          <w:p w:rsidR="00A43046" w:rsidRDefault="00A43046" w:rsidP="00A43046">
            <w:pPr>
              <w:rPr>
                <w:lang w:val="en-GB"/>
              </w:rPr>
            </w:pPr>
          </w:p>
        </w:tc>
        <w:tc>
          <w:tcPr>
            <w:tcW w:w="2445" w:type="dxa"/>
            <w:vAlign w:val="center"/>
          </w:tcPr>
          <w:p w:rsidR="00A43046" w:rsidRDefault="00A43046" w:rsidP="00A43046">
            <w:pPr>
              <w:jc w:val="right"/>
              <w:rPr>
                <w:lang w:val="en-GB"/>
              </w:rPr>
            </w:pPr>
          </w:p>
        </w:tc>
      </w:tr>
    </w:tbl>
    <w:p w:rsidR="003F5FDE" w:rsidRDefault="003F5FDE" w:rsidP="00A66078">
      <w:pPr>
        <w:rPr>
          <w:lang w:val="en-GB"/>
        </w:rPr>
      </w:pPr>
      <w:r>
        <w:rPr>
          <w:lang w:val="en-GB"/>
        </w:rPr>
        <w:t>when the coagulation coefficient,</w:t>
      </w:r>
      <m:oMath>
        <m:r>
          <w:rPr>
            <w:rFonts w:ascii="Cambria Math" w:hAnsi="Cambria Math"/>
            <w:lang w:val="en-GB"/>
          </w:rPr>
          <m:t xml:space="preserve"> K</m:t>
        </m:r>
      </m:oMath>
      <w:r>
        <w:rPr>
          <w:lang w:val="en-GB"/>
        </w:rPr>
        <w:t>, is constant (Seinfeld</w:t>
      </w:r>
      <w:r w:rsidR="00A43046">
        <w:rPr>
          <w:lang w:val="en-GB"/>
        </w:rPr>
        <w:t xml:space="preserve"> &amp; Pandis 2006</w:t>
      </w:r>
      <w:r>
        <w:rPr>
          <w:lang w:val="en-GB"/>
        </w:rPr>
        <w:t xml:space="preserve">). Thus, if </w:t>
      </w:r>
      <m:oMath>
        <m:r>
          <w:rPr>
            <w:rFonts w:ascii="Cambria Math" w:hAnsi="Cambria Math"/>
            <w:lang w:val="en-GB"/>
          </w:rPr>
          <m:t>N</m:t>
        </m:r>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sidR="00BC49F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843"/>
        <w:gridCol w:w="5240"/>
        <w:gridCol w:w="2445"/>
      </w:tblGrid>
      <w:tr w:rsidR="00D1580B" w:rsidTr="00D1580B">
        <w:tc>
          <w:tcPr>
            <w:tcW w:w="250" w:type="dxa"/>
            <w:vAlign w:val="center"/>
          </w:tcPr>
          <w:p w:rsidR="00D1580B" w:rsidRDefault="00D1580B" w:rsidP="00D1580B">
            <w:pPr>
              <w:rPr>
                <w:lang w:val="en-GB"/>
              </w:rPr>
            </w:pPr>
          </w:p>
        </w:tc>
        <w:tc>
          <w:tcPr>
            <w:tcW w:w="1843" w:type="dxa"/>
            <w:vAlign w:val="center"/>
          </w:tcPr>
          <w:p w:rsidR="00D1580B" w:rsidRPr="00D1580B" w:rsidRDefault="00D1580B" w:rsidP="00D1580B">
            <w:pPr>
              <w:rPr>
                <w:lang w:val="en-GB"/>
              </w:rPr>
            </w:pPr>
            <m:oMathPara>
              <m:oMathParaPr>
                <m:jc m:val="left"/>
              </m:oMathParaPr>
              <m:oMath>
                <m:r>
                  <w:rPr>
                    <w:rFonts w:ascii="Cambria Math" w:hAnsi="Cambria Math"/>
                    <w:lang w:val="en-GB"/>
                  </w:rPr>
                  <m:t>N</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num>
                  <m:den>
                    <m:r>
                      <w:rPr>
                        <w:rFonts w:ascii="Cambria Math" w:hAnsi="Cambria Math"/>
                        <w:lang w:val="en-GB"/>
                      </w:rPr>
                      <m:t>1+</m:t>
                    </m:r>
                    <m:f>
                      <m:fPr>
                        <m:ctrlPr>
                          <w:rPr>
                            <w:rFonts w:ascii="Cambria Math" w:hAnsi="Cambria Math"/>
                            <w:i/>
                            <w:lang w:val="en-GB"/>
                          </w:rPr>
                        </m:ctrlPr>
                      </m:fPr>
                      <m:num>
                        <m:r>
                          <w:rPr>
                            <w:rFonts w:ascii="Cambria Math" w:hAnsi="Cambria Math"/>
                            <w:lang w:val="en-GB"/>
                          </w:rPr>
                          <m:t>tK</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num>
                      <m:den>
                        <m:r>
                          <w:rPr>
                            <w:rFonts w:ascii="Cambria Math" w:hAnsi="Cambria Math"/>
                            <w:lang w:val="en-GB"/>
                          </w:rPr>
                          <m:t>2</m:t>
                        </m:r>
                      </m:den>
                    </m:f>
                  </m:den>
                </m:f>
              </m:oMath>
            </m:oMathPara>
          </w:p>
        </w:tc>
        <w:tc>
          <w:tcPr>
            <w:tcW w:w="5240" w:type="dxa"/>
            <w:vAlign w:val="center"/>
          </w:tcPr>
          <w:p w:rsidR="00D1580B" w:rsidRDefault="00D1580B" w:rsidP="00D1580B">
            <w:pPr>
              <w:rPr>
                <w:lang w:val="en-GB"/>
              </w:rPr>
            </w:pPr>
            <w:r>
              <w:rPr>
                <w:lang w:val="en-GB"/>
              </w:rPr>
              <w:t>,</w:t>
            </w:r>
          </w:p>
        </w:tc>
        <w:tc>
          <w:tcPr>
            <w:tcW w:w="2445" w:type="dxa"/>
            <w:vAlign w:val="center"/>
          </w:tcPr>
          <w:p w:rsidR="00D1580B" w:rsidRDefault="00D1580B" w:rsidP="00D1580B">
            <w:pPr>
              <w:jc w:val="right"/>
              <w:rPr>
                <w:lang w:val="en-GB"/>
              </w:rPr>
            </w:pPr>
            <w:r>
              <w:rPr>
                <w:lang w:val="en-GB"/>
              </w:rPr>
              <w:t>(2)</w:t>
            </w:r>
          </w:p>
        </w:tc>
      </w:tr>
      <w:tr w:rsidR="00D1580B" w:rsidTr="00D1580B">
        <w:tc>
          <w:tcPr>
            <w:tcW w:w="250" w:type="dxa"/>
            <w:vAlign w:val="center"/>
          </w:tcPr>
          <w:p w:rsidR="00D1580B" w:rsidRDefault="00D1580B" w:rsidP="00D1580B">
            <w:pPr>
              <w:rPr>
                <w:lang w:val="en-GB"/>
              </w:rPr>
            </w:pPr>
          </w:p>
        </w:tc>
        <w:tc>
          <w:tcPr>
            <w:tcW w:w="1843" w:type="dxa"/>
            <w:vAlign w:val="center"/>
          </w:tcPr>
          <w:p w:rsidR="00D1580B" w:rsidRDefault="00D1580B" w:rsidP="00D1580B">
            <w:pPr>
              <w:rPr>
                <w:rFonts w:ascii="Calibri" w:eastAsia="Times New Roman" w:hAnsi="Calibri" w:cs="Times New Roman"/>
                <w:lang w:val="en-GB"/>
              </w:rPr>
            </w:pPr>
          </w:p>
        </w:tc>
        <w:tc>
          <w:tcPr>
            <w:tcW w:w="5240" w:type="dxa"/>
            <w:vAlign w:val="center"/>
          </w:tcPr>
          <w:p w:rsidR="00D1580B" w:rsidRDefault="00D1580B" w:rsidP="00D1580B">
            <w:pPr>
              <w:rPr>
                <w:lang w:val="en-GB"/>
              </w:rPr>
            </w:pPr>
          </w:p>
        </w:tc>
        <w:tc>
          <w:tcPr>
            <w:tcW w:w="2445" w:type="dxa"/>
            <w:vAlign w:val="center"/>
          </w:tcPr>
          <w:p w:rsidR="00D1580B" w:rsidRDefault="00D1580B" w:rsidP="00D1580B">
            <w:pPr>
              <w:jc w:val="right"/>
              <w:rPr>
                <w:lang w:val="en-GB"/>
              </w:rPr>
            </w:pPr>
          </w:p>
        </w:tc>
      </w:tr>
    </w:tbl>
    <w:p w:rsidR="00D1580B" w:rsidRDefault="007B2B1A" w:rsidP="00A66078">
      <w:pPr>
        <w:rPr>
          <w:lang w:val="en-GB"/>
        </w:rPr>
      </w:pPr>
      <w:r>
        <w:rPr>
          <w:lang w:val="en-GB"/>
        </w:rPr>
        <w:t xml:space="preserve">and </w:t>
      </w:r>
      <m:oMath>
        <m:r>
          <w:rPr>
            <w:rFonts w:ascii="Cambria Math" w:hAnsi="Cambria Math"/>
            <w:lang w:val="en-GB"/>
          </w:rPr>
          <m:t>N</m:t>
        </m:r>
      </m:oMath>
      <w:r>
        <w:rPr>
          <w:lang w:val="en-GB"/>
        </w:rPr>
        <w:t xml:space="preserve"> has decreased to half of the initial value in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134"/>
        <w:gridCol w:w="5949"/>
        <w:gridCol w:w="2445"/>
      </w:tblGrid>
      <w:tr w:rsidR="00D1580B" w:rsidTr="00C66CAE">
        <w:tc>
          <w:tcPr>
            <w:tcW w:w="250" w:type="dxa"/>
          </w:tcPr>
          <w:p w:rsidR="00D1580B" w:rsidRDefault="00D1580B" w:rsidP="00A66078">
            <w:pPr>
              <w:rPr>
                <w:lang w:val="en-GB"/>
              </w:rPr>
            </w:pPr>
          </w:p>
        </w:tc>
        <w:tc>
          <w:tcPr>
            <w:tcW w:w="1134" w:type="dxa"/>
          </w:tcPr>
          <w:p w:rsidR="00D1580B" w:rsidRPr="00C66CAE" w:rsidRDefault="00D1580B" w:rsidP="00D1580B">
            <w:pPr>
              <w:rPr>
                <w:lang w:val="en-GB"/>
              </w:rPr>
            </w:pPr>
            <m:oMathPara>
              <m:oMathParaPr>
                <m:jc m:val="left"/>
              </m:oMathParaPr>
              <m:oMath>
                <m:r>
                  <w:rPr>
                    <w:rFonts w:ascii="Cambria Math" w:hAnsi="Cambria Math"/>
                    <w:lang w:val="en-GB"/>
                  </w:rPr>
                  <m:t>τ=</m:t>
                </m:r>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den>
                </m:f>
              </m:oMath>
            </m:oMathPara>
          </w:p>
        </w:tc>
        <w:tc>
          <w:tcPr>
            <w:tcW w:w="5949" w:type="dxa"/>
            <w:vAlign w:val="center"/>
          </w:tcPr>
          <w:p w:rsidR="00D1580B" w:rsidRDefault="00D1580B" w:rsidP="00C66CAE">
            <w:pPr>
              <w:rPr>
                <w:lang w:val="en-GB"/>
              </w:rPr>
            </w:pPr>
            <w:r>
              <w:rPr>
                <w:lang w:val="en-GB"/>
              </w:rPr>
              <w:t>.</w:t>
            </w:r>
          </w:p>
        </w:tc>
        <w:tc>
          <w:tcPr>
            <w:tcW w:w="2445" w:type="dxa"/>
            <w:vAlign w:val="center"/>
          </w:tcPr>
          <w:p w:rsidR="00D1580B" w:rsidRDefault="00D1580B" w:rsidP="00C66CAE">
            <w:pPr>
              <w:jc w:val="right"/>
              <w:rPr>
                <w:lang w:val="en-GB"/>
              </w:rPr>
            </w:pPr>
            <w:r>
              <w:rPr>
                <w:lang w:val="en-GB"/>
              </w:rPr>
              <w:t>(3)</w:t>
            </w:r>
          </w:p>
        </w:tc>
      </w:tr>
      <w:tr w:rsidR="00C66CAE" w:rsidTr="00C66CAE">
        <w:tc>
          <w:tcPr>
            <w:tcW w:w="250" w:type="dxa"/>
          </w:tcPr>
          <w:p w:rsidR="00C66CAE" w:rsidRDefault="00C66CAE" w:rsidP="00A66078">
            <w:pPr>
              <w:rPr>
                <w:lang w:val="en-GB"/>
              </w:rPr>
            </w:pPr>
          </w:p>
        </w:tc>
        <w:tc>
          <w:tcPr>
            <w:tcW w:w="1134" w:type="dxa"/>
          </w:tcPr>
          <w:p w:rsidR="00C66CAE" w:rsidRDefault="00C66CAE" w:rsidP="00D1580B">
            <w:pPr>
              <w:rPr>
                <w:rFonts w:ascii="Calibri" w:eastAsia="Times New Roman" w:hAnsi="Calibri" w:cs="Times New Roman"/>
                <w:lang w:val="en-GB"/>
              </w:rPr>
            </w:pPr>
          </w:p>
        </w:tc>
        <w:tc>
          <w:tcPr>
            <w:tcW w:w="5949" w:type="dxa"/>
            <w:vAlign w:val="center"/>
          </w:tcPr>
          <w:p w:rsidR="00C66CAE" w:rsidRDefault="00C66CAE" w:rsidP="00C66CAE">
            <w:pPr>
              <w:rPr>
                <w:lang w:val="en-GB"/>
              </w:rPr>
            </w:pPr>
          </w:p>
        </w:tc>
        <w:tc>
          <w:tcPr>
            <w:tcW w:w="2445" w:type="dxa"/>
            <w:vAlign w:val="center"/>
          </w:tcPr>
          <w:p w:rsidR="00C66CAE" w:rsidRDefault="00C66CAE" w:rsidP="00C66CAE">
            <w:pPr>
              <w:jc w:val="right"/>
              <w:rPr>
                <w:lang w:val="en-GB"/>
              </w:rPr>
            </w:pPr>
          </w:p>
        </w:tc>
      </w:tr>
    </w:tbl>
    <w:p w:rsidR="000629DC" w:rsidRDefault="007B2B1A" w:rsidP="007B2B1A">
      <w:pPr>
        <w:jc w:val="both"/>
        <w:rPr>
          <w:lang w:val="en-GB"/>
        </w:rPr>
      </w:pPr>
      <w:r>
        <w:rPr>
          <w:lang w:val="en-GB"/>
        </w:rPr>
        <w:t xml:space="preserve">We can simulate the case of monodisperse aerosol coagulation by creating a very narrow particle distribution. In the beginning the distribution is so narrow that the particles coagulate only with same-sized particles and the coagulation coefficient is constant. </w:t>
      </w:r>
      <w:r w:rsidR="000629DC">
        <w:rPr>
          <w:lang w:val="en-GB"/>
        </w:rPr>
        <w:t xml:space="preserve">However, the distribution starts to widen and the average size of particles starts to increase as coagulation goes on. As a following, the coagulation coefficient </w:t>
      </w:r>
      <w:r w:rsidR="00C66CAE">
        <w:rPr>
          <w:lang w:val="en-GB"/>
        </w:rPr>
        <w:t>does not stay</w:t>
      </w:r>
      <w:r w:rsidR="000629DC">
        <w:rPr>
          <w:lang w:val="en-GB"/>
        </w:rPr>
        <w:t xml:space="preserve"> constant under simulation and equation (</w:t>
      </w:r>
      <w:r w:rsidR="00C66CAE">
        <w:rPr>
          <w:lang w:val="en-GB"/>
        </w:rPr>
        <w:t>1</w:t>
      </w:r>
      <w:r w:rsidR="000629DC">
        <w:rPr>
          <w:lang w:val="en-GB"/>
        </w:rPr>
        <w:t>) does not perfectly predict the change of particle concentration.</w:t>
      </w:r>
    </w:p>
    <w:p w:rsidR="000629DC" w:rsidRDefault="000629DC" w:rsidP="007B2B1A">
      <w:pPr>
        <w:jc w:val="both"/>
        <w:rPr>
          <w:lang w:val="en-GB"/>
        </w:rPr>
      </w:pPr>
      <w:r>
        <w:rPr>
          <w:lang w:val="en-GB"/>
        </w:rPr>
        <w:t xml:space="preserve">In this simulation a narrow distribution was created to model a monodispersive aerosol. The simulation time was 5000 seconds and initial particle </w:t>
      </w:r>
      <w:r w:rsidR="00C66CAE">
        <w:rPr>
          <w:lang w:val="en-GB"/>
        </w:rPr>
        <w:t xml:space="preserve">concentration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den>
        </m:f>
      </m:oMath>
      <w:r>
        <w:rPr>
          <w:lang w:val="en-GB"/>
        </w:rPr>
        <w:t xml:space="preserve">. Under these conditions the coagulation did not </w:t>
      </w:r>
      <w:r w:rsidR="00837B6F">
        <w:rPr>
          <w:lang w:val="en-GB"/>
        </w:rPr>
        <w:t>significantly</w:t>
      </w:r>
      <w:r>
        <w:rPr>
          <w:lang w:val="en-GB"/>
        </w:rPr>
        <w:t xml:space="preserve"> widen the distribution or change the count median diameter, so it can be assumed that the coagulation coefficient between particles was approximately constant and</w:t>
      </w:r>
      <w:r w:rsidR="0042768A">
        <w:rPr>
          <w:lang w:val="en-GB"/>
        </w:rPr>
        <w:t xml:space="preserve"> so </w:t>
      </w:r>
      <w:r>
        <w:rPr>
          <w:lang w:val="en-GB"/>
        </w:rPr>
        <w:t>it is justified to use equation (</w:t>
      </w:r>
      <w:r w:rsidR="00C66CAE">
        <w:rPr>
          <w:lang w:val="en-GB"/>
        </w:rPr>
        <w:t>3</w:t>
      </w:r>
      <w:r>
        <w:rPr>
          <w:lang w:val="en-GB"/>
        </w:rPr>
        <w:t xml:space="preserve">) to </w:t>
      </w:r>
      <w:r w:rsidR="00BB1658">
        <w:rPr>
          <w:lang w:val="en-GB"/>
        </w:rPr>
        <w:t>calculate the reference half time</w:t>
      </w:r>
      <w:r w:rsidR="00040BF5">
        <w:rPr>
          <w:lang w:val="en-GB"/>
        </w:rPr>
        <w:t>.</w:t>
      </w:r>
    </w:p>
    <w:p w:rsidR="008064C8" w:rsidRDefault="008064C8" w:rsidP="007B2B1A">
      <w:pPr>
        <w:jc w:val="both"/>
        <w:rPr>
          <w:lang w:val="en-GB"/>
        </w:rPr>
      </w:pPr>
      <w:r>
        <w:rPr>
          <w:lang w:val="en-GB"/>
        </w:rPr>
        <w:t>The simulation was run for six different initial mean diameters of particles ranging from 2 nm to 20 µm. The reference half time of number concentration was calculated using equation (</w:t>
      </w:r>
      <w:r w:rsidR="00C66CAE">
        <w:rPr>
          <w:lang w:val="en-GB"/>
        </w:rPr>
        <w:t>3</w:t>
      </w:r>
      <w:r>
        <w:rPr>
          <w:lang w:val="en-GB"/>
        </w:rPr>
        <w:t xml:space="preserve">). The coagulation coefficient in the equation was calculated in the same way as the chamber model calculates it and the diameter used in calculation was </w:t>
      </w:r>
      <w:r w:rsidR="00C66CAE">
        <w:rPr>
          <w:lang w:val="en-GB"/>
        </w:rPr>
        <w:t xml:space="preserve">the </w:t>
      </w:r>
      <w:r>
        <w:rPr>
          <w:lang w:val="en-GB"/>
        </w:rPr>
        <w:t xml:space="preserve">mean diameter of the same distribution that was used in simulation. Also the </w:t>
      </w:r>
      <w:r w:rsidR="00C66CAE">
        <w:rPr>
          <w:lang w:val="en-GB"/>
        </w:rPr>
        <w:t xml:space="preserve">initial </w:t>
      </w:r>
      <w:r>
        <w:rPr>
          <w:lang w:val="en-GB"/>
        </w:rPr>
        <w:t xml:space="preserve">number concentration </w:t>
      </w:r>
      <w:r w:rsidR="00C66CAE">
        <w:rPr>
          <w:lang w:val="en-GB"/>
        </w:rPr>
        <w:t xml:space="preserve">used </w:t>
      </w:r>
      <w:r>
        <w:rPr>
          <w:lang w:val="en-GB"/>
        </w:rPr>
        <w:t>in eq</w:t>
      </w:r>
      <w:r w:rsidR="00C66CAE">
        <w:rPr>
          <w:lang w:val="en-GB"/>
        </w:rPr>
        <w:t>uation</w:t>
      </w:r>
      <w:r>
        <w:rPr>
          <w:lang w:val="en-GB"/>
        </w:rPr>
        <w:t xml:space="preserve"> (</w:t>
      </w:r>
      <w:r w:rsidR="00C66CAE">
        <w:rPr>
          <w:lang w:val="en-GB"/>
        </w:rPr>
        <w:t>3</w:t>
      </w:r>
      <w:r>
        <w:rPr>
          <w:lang w:val="en-GB"/>
        </w:rPr>
        <w:t xml:space="preserve">) was the same as the </w:t>
      </w:r>
      <w:r w:rsidR="00C66CAE">
        <w:rPr>
          <w:lang w:val="en-GB"/>
        </w:rPr>
        <w:t xml:space="preserve">initial </w:t>
      </w:r>
      <w:r>
        <w:rPr>
          <w:lang w:val="en-GB"/>
        </w:rPr>
        <w:t xml:space="preserve">number concentration of </w:t>
      </w:r>
      <w:r w:rsidR="00C66CAE">
        <w:rPr>
          <w:lang w:val="en-GB"/>
        </w:rPr>
        <w:t xml:space="preserve">the </w:t>
      </w:r>
      <w:r>
        <w:rPr>
          <w:lang w:val="en-GB"/>
        </w:rPr>
        <w:t>distribution.</w:t>
      </w:r>
    </w:p>
    <w:p w:rsidR="00BB1658" w:rsidRDefault="00BB1658" w:rsidP="007B2B1A">
      <w:pPr>
        <w:jc w:val="both"/>
        <w:rPr>
          <w:lang w:val="en-GB"/>
        </w:rPr>
      </w:pPr>
      <w:r>
        <w:rPr>
          <w:lang w:val="en-GB"/>
        </w:rPr>
        <w:lastRenderedPageBreak/>
        <w:t>The used parameters that differ from default parameters are listed in table 3.</w:t>
      </w:r>
      <w:r w:rsidR="003C6DEE">
        <w:rPr>
          <w:lang w:val="en-GB"/>
        </w:rPr>
        <w:t xml:space="preserve"> Parameter “mu” had values from 2 nm to 200 µm.</w:t>
      </w:r>
    </w:p>
    <w:p w:rsidR="00285687" w:rsidRDefault="00285687" w:rsidP="00285687">
      <w:pPr>
        <w:pStyle w:val="Caption"/>
        <w:keepNext/>
      </w:pPr>
      <w:r>
        <w:t xml:space="preserve">Table </w:t>
      </w:r>
      <w:fldSimple w:instr=" SEQ Table \* ARABIC ">
        <w:r>
          <w:rPr>
            <w:noProof/>
          </w:rPr>
          <w:t>3</w:t>
        </w:r>
      </w:fldSimple>
    </w:p>
    <w:tbl>
      <w:tblPr>
        <w:tblStyle w:val="TableGrid"/>
        <w:tblW w:w="0" w:type="auto"/>
        <w:tblLook w:val="04A0" w:firstRow="1" w:lastRow="0" w:firstColumn="1" w:lastColumn="0" w:noHBand="0" w:noVBand="1"/>
      </w:tblPr>
      <w:tblGrid>
        <w:gridCol w:w="1809"/>
        <w:gridCol w:w="993"/>
      </w:tblGrid>
      <w:tr w:rsidR="00B86022" w:rsidTr="003C6DEE">
        <w:tc>
          <w:tcPr>
            <w:tcW w:w="1809" w:type="dxa"/>
            <w:shd w:val="clear" w:color="auto" w:fill="D9D9D9" w:themeFill="background1" w:themeFillShade="D9"/>
          </w:tcPr>
          <w:p w:rsidR="00B86022" w:rsidRDefault="003C6DEE" w:rsidP="007B2B1A">
            <w:pPr>
              <w:jc w:val="both"/>
              <w:rPr>
                <w:lang w:val="en-GB"/>
              </w:rPr>
            </w:pPr>
            <w:r>
              <w:rPr>
                <w:lang w:val="en-GB"/>
              </w:rPr>
              <w:t>Parameter</w:t>
            </w:r>
          </w:p>
        </w:tc>
        <w:tc>
          <w:tcPr>
            <w:tcW w:w="993" w:type="dxa"/>
            <w:shd w:val="clear" w:color="auto" w:fill="D9D9D9" w:themeFill="background1" w:themeFillShade="D9"/>
          </w:tcPr>
          <w:p w:rsidR="00B86022" w:rsidRDefault="003C6DEE" w:rsidP="007B2B1A">
            <w:pPr>
              <w:jc w:val="both"/>
              <w:rPr>
                <w:lang w:val="en-GB"/>
              </w:rPr>
            </w:pPr>
            <w:r>
              <w:rPr>
                <w:lang w:val="en-GB"/>
              </w:rPr>
              <w:t>Value</w:t>
            </w:r>
          </w:p>
        </w:tc>
      </w:tr>
      <w:tr w:rsidR="00B86022" w:rsidTr="003C6DEE">
        <w:tc>
          <w:tcPr>
            <w:tcW w:w="1809" w:type="dxa"/>
          </w:tcPr>
          <w:p w:rsidR="00B86022" w:rsidRDefault="00321685" w:rsidP="007B2B1A">
            <w:pPr>
              <w:jc w:val="both"/>
              <w:rPr>
                <w:lang w:val="en-GB"/>
              </w:rPr>
            </w:pPr>
            <w:r>
              <w:rPr>
                <w:lang w:val="en-GB"/>
              </w:rPr>
              <w:t>dilu_on</w:t>
            </w:r>
          </w:p>
        </w:tc>
        <w:tc>
          <w:tcPr>
            <w:tcW w:w="993" w:type="dxa"/>
          </w:tcPr>
          <w:p w:rsidR="00B86022" w:rsidRDefault="00321685" w:rsidP="007B2B1A">
            <w:pPr>
              <w:jc w:val="both"/>
              <w:rPr>
                <w:lang w:val="en-GB"/>
              </w:rPr>
            </w:pPr>
            <w:r>
              <w:rPr>
                <w:lang w:val="en-GB"/>
              </w:rPr>
              <w:t>0</w:t>
            </w:r>
          </w:p>
        </w:tc>
      </w:tr>
      <w:tr w:rsidR="00B86022" w:rsidTr="003C6DEE">
        <w:tc>
          <w:tcPr>
            <w:tcW w:w="1809" w:type="dxa"/>
          </w:tcPr>
          <w:p w:rsidR="00B86022" w:rsidRDefault="00321685" w:rsidP="007B2B1A">
            <w:pPr>
              <w:jc w:val="both"/>
              <w:rPr>
                <w:lang w:val="en-GB"/>
              </w:rPr>
            </w:pPr>
            <w:r>
              <w:rPr>
                <w:lang w:val="en-GB"/>
              </w:rPr>
              <w:t>Cvap0</w:t>
            </w:r>
          </w:p>
        </w:tc>
        <w:tc>
          <w:tcPr>
            <w:tcW w:w="993" w:type="dxa"/>
          </w:tcPr>
          <w:p w:rsidR="00B86022" w:rsidRDefault="00321685" w:rsidP="007B2B1A">
            <w:pPr>
              <w:jc w:val="both"/>
              <w:rPr>
                <w:lang w:val="en-GB"/>
              </w:rPr>
            </w:pPr>
            <w:r>
              <w:rPr>
                <w:lang w:val="en-GB"/>
              </w:rPr>
              <w:t>0</w:t>
            </w:r>
          </w:p>
        </w:tc>
      </w:tr>
      <w:tr w:rsidR="00B86022" w:rsidTr="003C6DEE">
        <w:tc>
          <w:tcPr>
            <w:tcW w:w="1809" w:type="dxa"/>
          </w:tcPr>
          <w:p w:rsidR="00B86022" w:rsidRDefault="00321685" w:rsidP="007B2B1A">
            <w:pPr>
              <w:jc w:val="both"/>
              <w:rPr>
                <w:lang w:val="en-GB"/>
              </w:rPr>
            </w:pPr>
            <w:r>
              <w:rPr>
                <w:lang w:val="en-GB"/>
              </w:rPr>
              <w:t>gas_source</w:t>
            </w:r>
          </w:p>
        </w:tc>
        <w:tc>
          <w:tcPr>
            <w:tcW w:w="993" w:type="dxa"/>
          </w:tcPr>
          <w:p w:rsidR="00B86022" w:rsidRDefault="00321685" w:rsidP="007B2B1A">
            <w:pPr>
              <w:jc w:val="both"/>
              <w:rPr>
                <w:lang w:val="en-GB"/>
              </w:rPr>
            </w:pPr>
            <w:r>
              <w:rPr>
                <w:lang w:val="en-GB"/>
              </w:rPr>
              <w:t>0</w:t>
            </w:r>
          </w:p>
        </w:tc>
      </w:tr>
      <w:tr w:rsidR="00B86022" w:rsidTr="003C6DEE">
        <w:tc>
          <w:tcPr>
            <w:tcW w:w="1809" w:type="dxa"/>
          </w:tcPr>
          <w:p w:rsidR="00B86022" w:rsidRDefault="00321685" w:rsidP="007B2B1A">
            <w:pPr>
              <w:jc w:val="both"/>
              <w:rPr>
                <w:lang w:val="en-GB"/>
              </w:rPr>
            </w:pPr>
            <w:r>
              <w:rPr>
                <w:lang w:val="en-GB"/>
              </w:rPr>
              <w:t>N</w:t>
            </w:r>
          </w:p>
        </w:tc>
        <w:tc>
          <w:tcPr>
            <w:tcW w:w="993" w:type="dxa"/>
          </w:tcPr>
          <w:p w:rsidR="00B86022" w:rsidRDefault="00321685" w:rsidP="007B2B1A">
            <w:pPr>
              <w:jc w:val="both"/>
              <w:rPr>
                <w:lang w:val="en-GB"/>
              </w:rPr>
            </w:pPr>
            <w:r>
              <w:rPr>
                <w:lang w:val="en-GB"/>
              </w:rPr>
              <w:t>1E6</w:t>
            </w:r>
          </w:p>
        </w:tc>
      </w:tr>
      <w:tr w:rsidR="00B86022" w:rsidTr="003C6DEE">
        <w:tc>
          <w:tcPr>
            <w:tcW w:w="1809" w:type="dxa"/>
          </w:tcPr>
          <w:p w:rsidR="00B86022" w:rsidRDefault="00321685" w:rsidP="007B2B1A">
            <w:pPr>
              <w:jc w:val="both"/>
              <w:rPr>
                <w:lang w:val="en-GB"/>
              </w:rPr>
            </w:pPr>
            <w:r>
              <w:rPr>
                <w:lang w:val="en-GB"/>
              </w:rPr>
              <w:t>sigma</w:t>
            </w:r>
          </w:p>
        </w:tc>
        <w:tc>
          <w:tcPr>
            <w:tcW w:w="993" w:type="dxa"/>
          </w:tcPr>
          <w:p w:rsidR="00B86022" w:rsidRDefault="00321685" w:rsidP="007B2B1A">
            <w:pPr>
              <w:jc w:val="both"/>
              <w:rPr>
                <w:lang w:val="en-GB"/>
              </w:rPr>
            </w:pPr>
            <w:r>
              <w:rPr>
                <w:lang w:val="en-GB"/>
              </w:rPr>
              <w:t>1.01</w:t>
            </w:r>
          </w:p>
        </w:tc>
      </w:tr>
      <w:tr w:rsidR="00B86022" w:rsidTr="003C6DEE">
        <w:tc>
          <w:tcPr>
            <w:tcW w:w="1809" w:type="dxa"/>
          </w:tcPr>
          <w:p w:rsidR="00B86022" w:rsidRDefault="00321685" w:rsidP="007B2B1A">
            <w:pPr>
              <w:jc w:val="both"/>
              <w:rPr>
                <w:lang w:val="en-GB"/>
              </w:rPr>
            </w:pPr>
            <w:r>
              <w:rPr>
                <w:lang w:val="en-GB"/>
              </w:rPr>
              <w:t>sections</w:t>
            </w:r>
          </w:p>
        </w:tc>
        <w:tc>
          <w:tcPr>
            <w:tcW w:w="993" w:type="dxa"/>
          </w:tcPr>
          <w:p w:rsidR="00B86022" w:rsidRDefault="00321685" w:rsidP="007B2B1A">
            <w:pPr>
              <w:jc w:val="both"/>
              <w:rPr>
                <w:lang w:val="en-GB"/>
              </w:rPr>
            </w:pPr>
            <w:r>
              <w:rPr>
                <w:lang w:val="en-GB"/>
              </w:rPr>
              <w:t>1000</w:t>
            </w:r>
          </w:p>
        </w:tc>
      </w:tr>
      <w:tr w:rsidR="00B86022" w:rsidTr="003C6DEE">
        <w:tc>
          <w:tcPr>
            <w:tcW w:w="1809" w:type="dxa"/>
          </w:tcPr>
          <w:p w:rsidR="00B86022" w:rsidRDefault="00321685" w:rsidP="007B2B1A">
            <w:pPr>
              <w:jc w:val="both"/>
              <w:rPr>
                <w:lang w:val="en-GB"/>
              </w:rPr>
            </w:pPr>
            <w:r>
              <w:rPr>
                <w:lang w:val="en-GB"/>
              </w:rPr>
              <w:t>output_sections</w:t>
            </w:r>
          </w:p>
        </w:tc>
        <w:tc>
          <w:tcPr>
            <w:tcW w:w="993" w:type="dxa"/>
          </w:tcPr>
          <w:p w:rsidR="00321685" w:rsidRDefault="00321685" w:rsidP="007B2B1A">
            <w:pPr>
              <w:jc w:val="both"/>
              <w:rPr>
                <w:lang w:val="en-GB"/>
              </w:rPr>
            </w:pPr>
            <w:r>
              <w:rPr>
                <w:lang w:val="en-GB"/>
              </w:rPr>
              <w:t>10000</w:t>
            </w:r>
          </w:p>
        </w:tc>
      </w:tr>
      <w:tr w:rsidR="00321685" w:rsidTr="003C6DEE">
        <w:tc>
          <w:tcPr>
            <w:tcW w:w="1809" w:type="dxa"/>
          </w:tcPr>
          <w:p w:rsidR="00321685" w:rsidRDefault="00321685" w:rsidP="007B2B1A">
            <w:pPr>
              <w:jc w:val="both"/>
              <w:rPr>
                <w:lang w:val="en-GB"/>
              </w:rPr>
            </w:pPr>
            <w:r>
              <w:rPr>
                <w:lang w:val="en-GB"/>
              </w:rPr>
              <w:t>N_tol</w:t>
            </w:r>
          </w:p>
        </w:tc>
        <w:tc>
          <w:tcPr>
            <w:tcW w:w="993" w:type="dxa"/>
          </w:tcPr>
          <w:p w:rsidR="00321685" w:rsidRDefault="00321685" w:rsidP="007B2B1A">
            <w:pPr>
              <w:jc w:val="both"/>
              <w:rPr>
                <w:lang w:val="en-GB"/>
              </w:rPr>
            </w:pPr>
            <w:r>
              <w:rPr>
                <w:lang w:val="en-GB"/>
              </w:rPr>
              <w:t>0.01</w:t>
            </w:r>
          </w:p>
        </w:tc>
      </w:tr>
    </w:tbl>
    <w:p w:rsidR="00B86022" w:rsidRDefault="00B86022" w:rsidP="007B2B1A">
      <w:pPr>
        <w:jc w:val="both"/>
        <w:rPr>
          <w:lang w:val="en-GB"/>
        </w:rPr>
      </w:pPr>
    </w:p>
    <w:p w:rsidR="00BB1658" w:rsidRDefault="009D2258" w:rsidP="007B2B1A">
      <w:pPr>
        <w:jc w:val="both"/>
        <w:rPr>
          <w:lang w:val="en-GB"/>
        </w:rPr>
      </w:pPr>
      <w:r>
        <w:rPr>
          <w:lang w:val="en-GB"/>
        </w:rPr>
        <w:t xml:space="preserve">The number concentration half times of simulated </w:t>
      </w:r>
      <w:r w:rsidR="00057270">
        <w:rPr>
          <w:lang w:val="en-GB"/>
        </w:rPr>
        <w:t>coagulation</w:t>
      </w:r>
      <w:r>
        <w:rPr>
          <w:lang w:val="en-GB"/>
        </w:rPr>
        <w:t xml:space="preserve"> </w:t>
      </w:r>
      <w:r w:rsidR="00057270">
        <w:rPr>
          <w:lang w:val="en-GB"/>
        </w:rPr>
        <w:t>(</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simulated</m:t>
            </m:r>
          </m:sub>
        </m:sSub>
      </m:oMath>
      <w:r w:rsidR="00057270">
        <w:rPr>
          <w:lang w:val="en-GB"/>
        </w:rPr>
        <w:t xml:space="preserve">) </w:t>
      </w:r>
      <w:r>
        <w:rPr>
          <w:lang w:val="en-GB"/>
        </w:rPr>
        <w:t xml:space="preserve">and reference half times </w:t>
      </w:r>
      <w:r w:rsidR="00057270">
        <w:rPr>
          <w:lang w:val="en-GB"/>
        </w:rPr>
        <w:t>(</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reference</m:t>
            </m:r>
          </m:sub>
        </m:sSub>
      </m:oMath>
      <w:r w:rsidR="00057270">
        <w:rPr>
          <w:lang w:val="en-GB"/>
        </w:rPr>
        <w:t xml:space="preserve">) </w:t>
      </w:r>
      <w:r>
        <w:rPr>
          <w:lang w:val="en-GB"/>
        </w:rPr>
        <w:t>are in table 4.</w:t>
      </w:r>
    </w:p>
    <w:p w:rsidR="00983F07" w:rsidRDefault="00983F07" w:rsidP="00983F07">
      <w:pPr>
        <w:pStyle w:val="Caption"/>
        <w:keepNext/>
      </w:pPr>
      <w:r>
        <w:t xml:space="preserve">Table </w:t>
      </w:r>
      <w:fldSimple w:instr=" SEQ Table \* ARABIC ">
        <w:r w:rsidR="00285687">
          <w:rPr>
            <w:noProof/>
          </w:rPr>
          <w:t>4</w:t>
        </w:r>
      </w:fldSimple>
    </w:p>
    <w:tbl>
      <w:tblPr>
        <w:tblStyle w:val="TableGrid"/>
        <w:tblW w:w="0" w:type="auto"/>
        <w:tblLayout w:type="fixed"/>
        <w:tblLook w:val="04A0" w:firstRow="1" w:lastRow="0" w:firstColumn="1" w:lastColumn="0" w:noHBand="0" w:noVBand="1"/>
      </w:tblPr>
      <w:tblGrid>
        <w:gridCol w:w="1384"/>
        <w:gridCol w:w="1418"/>
        <w:gridCol w:w="1417"/>
        <w:gridCol w:w="947"/>
        <w:gridCol w:w="1843"/>
      </w:tblGrid>
      <w:tr w:rsidR="00983F07" w:rsidTr="00B43702">
        <w:tc>
          <w:tcPr>
            <w:tcW w:w="1384" w:type="dxa"/>
            <w:shd w:val="clear" w:color="auto" w:fill="D9D9D9" w:themeFill="background1" w:themeFillShade="D9"/>
            <w:vAlign w:val="center"/>
          </w:tcPr>
          <w:p w:rsidR="00983F07" w:rsidRDefault="00B43702" w:rsidP="008670CE">
            <w:pPr>
              <w:jc w:val="center"/>
              <w:rPr>
                <w:lang w:val="en-GB"/>
              </w:rPr>
            </w:pPr>
            <w:r>
              <w:rPr>
                <w:lang w:val="en-GB"/>
              </w:rPr>
              <w:t>Initial mean diameter</w:t>
            </w:r>
          </w:p>
        </w:tc>
        <w:tc>
          <w:tcPr>
            <w:tcW w:w="1418" w:type="dxa"/>
            <w:shd w:val="clear" w:color="auto" w:fill="D9D9D9" w:themeFill="background1" w:themeFillShade="D9"/>
            <w:vAlign w:val="center"/>
          </w:tcPr>
          <w:p w:rsidR="00983F07" w:rsidRDefault="00BD5C48" w:rsidP="008670CE">
            <w:pPr>
              <w:jc w:val="center"/>
              <w:rPr>
                <w:lang w:val="en-GB"/>
              </w:rPr>
            </w:pPr>
            <m:oMathPara>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reference</m:t>
                    </m:r>
                  </m:sub>
                </m:sSub>
                <m:r>
                  <w:rPr>
                    <w:rFonts w:ascii="Cambria Math" w:hAnsi="Cambria Math"/>
                    <w:lang w:val="en-GB"/>
                  </w:rPr>
                  <m:t xml:space="preserve"> (s)</m:t>
                </m:r>
              </m:oMath>
            </m:oMathPara>
          </w:p>
        </w:tc>
        <w:tc>
          <w:tcPr>
            <w:tcW w:w="1417" w:type="dxa"/>
            <w:shd w:val="clear" w:color="auto" w:fill="D9D9D9" w:themeFill="background1" w:themeFillShade="D9"/>
            <w:vAlign w:val="center"/>
          </w:tcPr>
          <w:p w:rsidR="00983F07" w:rsidRDefault="00BD5C48" w:rsidP="008670CE">
            <w:pPr>
              <w:jc w:val="center"/>
              <w:rPr>
                <w:lang w:val="en-GB"/>
              </w:rPr>
            </w:pPr>
            <m:oMathPara>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simulated</m:t>
                    </m:r>
                  </m:sub>
                </m:sSub>
                <m:r>
                  <w:rPr>
                    <w:rFonts w:ascii="Cambria Math" w:hAnsi="Cambria Math"/>
                    <w:lang w:val="en-GB"/>
                  </w:rPr>
                  <m:t xml:space="preserve"> (s)</m:t>
                </m:r>
              </m:oMath>
            </m:oMathPara>
          </w:p>
        </w:tc>
        <w:tc>
          <w:tcPr>
            <w:tcW w:w="947" w:type="dxa"/>
            <w:shd w:val="clear" w:color="auto" w:fill="D9D9D9" w:themeFill="background1" w:themeFillShade="D9"/>
            <w:vAlign w:val="center"/>
          </w:tcPr>
          <w:p w:rsidR="00983F07" w:rsidRDefault="008670CE" w:rsidP="008670CE">
            <w:pPr>
              <w:jc w:val="center"/>
              <w:rPr>
                <w:lang w:val="en-GB"/>
              </w:rPr>
            </w:pPr>
            <m:oMathPara>
              <m:oMath>
                <m:r>
                  <w:rPr>
                    <w:rFonts w:ascii="Cambria Math" w:hAnsi="Cambria Math"/>
                    <w:lang w:val="en-GB"/>
                  </w:rPr>
                  <m:t>∆τ (s)</m:t>
                </m:r>
              </m:oMath>
            </m:oMathPara>
          </w:p>
        </w:tc>
        <w:tc>
          <w:tcPr>
            <w:tcW w:w="1843" w:type="dxa"/>
            <w:shd w:val="clear" w:color="auto" w:fill="D9D9D9" w:themeFill="background1" w:themeFillShade="D9"/>
            <w:vAlign w:val="center"/>
          </w:tcPr>
          <w:p w:rsidR="00983F07" w:rsidRDefault="00983F07" w:rsidP="00122055">
            <w:pPr>
              <w:jc w:val="center"/>
              <w:rPr>
                <w:lang w:val="en-GB"/>
              </w:rPr>
            </w:pPr>
            <w:r>
              <w:rPr>
                <w:lang w:val="en-GB"/>
              </w:rPr>
              <w:t>error</w:t>
            </w:r>
            <w:r w:rsidR="008670CE">
              <w:rPr>
                <w:lang w:val="en-GB"/>
              </w:rPr>
              <w:t xml:space="preserve"> </w:t>
            </w:r>
            <m:oMath>
              <m:d>
                <m:dPr>
                  <m:ctrlPr>
                    <w:rPr>
                      <w:rFonts w:ascii="Cambria Math" w:hAnsi="Cambria Math"/>
                      <w:i/>
                      <w:lang w:val="en-GB"/>
                    </w:rPr>
                  </m:ctrlPr>
                </m:dPr>
                <m:e>
                  <m:f>
                    <m:fPr>
                      <m:ctrlPr>
                        <w:rPr>
                          <w:rFonts w:ascii="Cambria Math" w:hAnsi="Cambria Math"/>
                          <w:i/>
                          <w:lang w:val="en-GB"/>
                        </w:rPr>
                      </m:ctrlPr>
                    </m:fPr>
                    <m:num>
                      <m:d>
                        <m:dPr>
                          <m:begChr m:val="|"/>
                          <m:endChr m:val="|"/>
                          <m:ctrlPr>
                            <w:rPr>
                              <w:rFonts w:ascii="Cambria Math" w:hAnsi="Cambria Math"/>
                              <w:i/>
                              <w:lang w:val="en-GB"/>
                            </w:rPr>
                          </m:ctrlPr>
                        </m:dPr>
                        <m:e>
                          <m:r>
                            <w:rPr>
                              <w:rFonts w:ascii="Cambria Math" w:hAnsi="Cambria Math"/>
                              <w:lang w:val="en-GB"/>
                            </w:rPr>
                            <m:t>∆τ</m:t>
                          </m:r>
                        </m:e>
                      </m:d>
                    </m:num>
                    <m:den>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reference</m:t>
                          </m:r>
                        </m:sub>
                      </m:sSub>
                    </m:den>
                  </m:f>
                </m:e>
              </m:d>
            </m:oMath>
          </w:p>
        </w:tc>
      </w:tr>
      <w:tr w:rsidR="00983F07" w:rsidTr="00B43702">
        <w:tc>
          <w:tcPr>
            <w:tcW w:w="1384" w:type="dxa"/>
            <w:vAlign w:val="center"/>
          </w:tcPr>
          <w:p w:rsidR="00983F07" w:rsidRDefault="00983F07" w:rsidP="008670CE">
            <w:pPr>
              <w:jc w:val="center"/>
              <w:rPr>
                <w:lang w:val="en-GB"/>
              </w:rPr>
            </w:pPr>
            <w:r>
              <w:rPr>
                <w:lang w:val="en-GB"/>
              </w:rPr>
              <w:t>2 nm</w:t>
            </w:r>
          </w:p>
        </w:tc>
        <w:tc>
          <w:tcPr>
            <w:tcW w:w="1418" w:type="dxa"/>
            <w:vAlign w:val="center"/>
          </w:tcPr>
          <w:p w:rsidR="00983F07" w:rsidRDefault="00F23622" w:rsidP="008670CE">
            <w:pPr>
              <w:jc w:val="center"/>
              <w:rPr>
                <w:lang w:val="en-GB"/>
              </w:rPr>
            </w:pPr>
            <w:r>
              <w:rPr>
                <w:lang w:val="en-GB"/>
              </w:rPr>
              <w:t>3053</w:t>
            </w:r>
          </w:p>
        </w:tc>
        <w:tc>
          <w:tcPr>
            <w:tcW w:w="1417" w:type="dxa"/>
            <w:vAlign w:val="center"/>
          </w:tcPr>
          <w:p w:rsidR="00983F07" w:rsidRDefault="00F23622" w:rsidP="008670CE">
            <w:pPr>
              <w:jc w:val="center"/>
              <w:rPr>
                <w:lang w:val="en-GB"/>
              </w:rPr>
            </w:pPr>
            <w:r>
              <w:rPr>
                <w:lang w:val="en-GB"/>
              </w:rPr>
              <w:t>2812</w:t>
            </w:r>
          </w:p>
        </w:tc>
        <w:tc>
          <w:tcPr>
            <w:tcW w:w="947" w:type="dxa"/>
            <w:vAlign w:val="center"/>
          </w:tcPr>
          <w:p w:rsidR="00983F07" w:rsidRDefault="00524C1E" w:rsidP="008670CE">
            <w:pPr>
              <w:jc w:val="center"/>
              <w:rPr>
                <w:lang w:val="en-GB"/>
              </w:rPr>
            </w:pPr>
            <w:r>
              <w:rPr>
                <w:lang w:val="en-GB"/>
              </w:rPr>
              <w:t>241</w:t>
            </w:r>
          </w:p>
        </w:tc>
        <w:tc>
          <w:tcPr>
            <w:tcW w:w="1843" w:type="dxa"/>
            <w:vAlign w:val="center"/>
          </w:tcPr>
          <w:p w:rsidR="00983F07" w:rsidRDefault="00524C1E" w:rsidP="008670CE">
            <w:pPr>
              <w:jc w:val="center"/>
              <w:rPr>
                <w:lang w:val="en-GB"/>
              </w:rPr>
            </w:pPr>
            <w:r>
              <w:rPr>
                <w:lang w:val="en-GB"/>
              </w:rPr>
              <w:t>7.9 %</w:t>
            </w:r>
          </w:p>
        </w:tc>
      </w:tr>
      <w:tr w:rsidR="00983F07" w:rsidTr="00B43702">
        <w:tc>
          <w:tcPr>
            <w:tcW w:w="1384" w:type="dxa"/>
            <w:vAlign w:val="center"/>
          </w:tcPr>
          <w:p w:rsidR="00983F07" w:rsidRDefault="00983F07" w:rsidP="008670CE">
            <w:pPr>
              <w:jc w:val="center"/>
              <w:rPr>
                <w:lang w:val="en-GB"/>
              </w:rPr>
            </w:pPr>
            <w:r>
              <w:rPr>
                <w:lang w:val="en-GB"/>
              </w:rPr>
              <w:t>20 nm</w:t>
            </w:r>
          </w:p>
        </w:tc>
        <w:tc>
          <w:tcPr>
            <w:tcW w:w="1418" w:type="dxa"/>
            <w:vAlign w:val="center"/>
          </w:tcPr>
          <w:p w:rsidR="00983F07" w:rsidRDefault="00850F23" w:rsidP="008670CE">
            <w:pPr>
              <w:jc w:val="center"/>
              <w:rPr>
                <w:lang w:val="en-GB"/>
              </w:rPr>
            </w:pPr>
            <w:r>
              <w:rPr>
                <w:lang w:val="en-GB"/>
              </w:rPr>
              <w:t>1068</w:t>
            </w:r>
          </w:p>
        </w:tc>
        <w:tc>
          <w:tcPr>
            <w:tcW w:w="1417" w:type="dxa"/>
            <w:vAlign w:val="center"/>
          </w:tcPr>
          <w:p w:rsidR="00983F07" w:rsidRDefault="00850F23" w:rsidP="008670CE">
            <w:pPr>
              <w:jc w:val="center"/>
              <w:rPr>
                <w:lang w:val="en-GB"/>
              </w:rPr>
            </w:pPr>
            <w:r>
              <w:rPr>
                <w:lang w:val="en-GB"/>
              </w:rPr>
              <w:t>1016</w:t>
            </w:r>
          </w:p>
        </w:tc>
        <w:tc>
          <w:tcPr>
            <w:tcW w:w="947" w:type="dxa"/>
            <w:vAlign w:val="center"/>
          </w:tcPr>
          <w:p w:rsidR="00983F07" w:rsidRDefault="00850F23" w:rsidP="008670CE">
            <w:pPr>
              <w:jc w:val="center"/>
              <w:rPr>
                <w:lang w:val="en-GB"/>
              </w:rPr>
            </w:pPr>
            <w:r>
              <w:rPr>
                <w:lang w:val="en-GB"/>
              </w:rPr>
              <w:t>52</w:t>
            </w:r>
          </w:p>
        </w:tc>
        <w:tc>
          <w:tcPr>
            <w:tcW w:w="1843" w:type="dxa"/>
            <w:vAlign w:val="center"/>
          </w:tcPr>
          <w:p w:rsidR="00983F07" w:rsidRDefault="00850F23" w:rsidP="008670CE">
            <w:pPr>
              <w:jc w:val="center"/>
              <w:rPr>
                <w:lang w:val="en-GB"/>
              </w:rPr>
            </w:pPr>
            <w:r>
              <w:rPr>
                <w:lang w:val="en-GB"/>
              </w:rPr>
              <w:t>4.9 %</w:t>
            </w:r>
          </w:p>
        </w:tc>
      </w:tr>
      <w:tr w:rsidR="00983F07" w:rsidTr="00B43702">
        <w:tc>
          <w:tcPr>
            <w:tcW w:w="1384" w:type="dxa"/>
            <w:vAlign w:val="center"/>
          </w:tcPr>
          <w:p w:rsidR="00983F07" w:rsidRDefault="00983F07" w:rsidP="008670CE">
            <w:pPr>
              <w:jc w:val="center"/>
              <w:rPr>
                <w:lang w:val="en-GB"/>
              </w:rPr>
            </w:pPr>
            <w:r>
              <w:rPr>
                <w:lang w:val="en-GB"/>
              </w:rPr>
              <w:t>200 nm</w:t>
            </w:r>
          </w:p>
        </w:tc>
        <w:tc>
          <w:tcPr>
            <w:tcW w:w="1418" w:type="dxa"/>
            <w:vAlign w:val="center"/>
          </w:tcPr>
          <w:p w:rsidR="00983F07" w:rsidRDefault="00A0636A" w:rsidP="008670CE">
            <w:pPr>
              <w:jc w:val="center"/>
              <w:rPr>
                <w:lang w:val="en-GB"/>
              </w:rPr>
            </w:pPr>
            <w:r>
              <w:rPr>
                <w:lang w:val="en-GB"/>
              </w:rPr>
              <w:t>2015</w:t>
            </w:r>
          </w:p>
        </w:tc>
        <w:tc>
          <w:tcPr>
            <w:tcW w:w="1417" w:type="dxa"/>
            <w:vAlign w:val="center"/>
          </w:tcPr>
          <w:p w:rsidR="00983F07" w:rsidRDefault="00A0636A" w:rsidP="008670CE">
            <w:pPr>
              <w:jc w:val="center"/>
              <w:rPr>
                <w:lang w:val="en-GB"/>
              </w:rPr>
            </w:pPr>
            <w:r>
              <w:rPr>
                <w:lang w:val="en-GB"/>
              </w:rPr>
              <w:t>2050</w:t>
            </w:r>
          </w:p>
        </w:tc>
        <w:tc>
          <w:tcPr>
            <w:tcW w:w="947" w:type="dxa"/>
            <w:vAlign w:val="center"/>
          </w:tcPr>
          <w:p w:rsidR="00983F07" w:rsidRDefault="00A0636A" w:rsidP="008670CE">
            <w:pPr>
              <w:jc w:val="center"/>
              <w:rPr>
                <w:lang w:val="en-GB"/>
              </w:rPr>
            </w:pPr>
            <w:r>
              <w:rPr>
                <w:lang w:val="en-GB"/>
              </w:rPr>
              <w:t>-35</w:t>
            </w:r>
          </w:p>
        </w:tc>
        <w:tc>
          <w:tcPr>
            <w:tcW w:w="1843" w:type="dxa"/>
            <w:vAlign w:val="center"/>
          </w:tcPr>
          <w:p w:rsidR="00983F07" w:rsidRDefault="00A0636A" w:rsidP="008670CE">
            <w:pPr>
              <w:jc w:val="center"/>
              <w:rPr>
                <w:lang w:val="en-GB"/>
              </w:rPr>
            </w:pPr>
            <w:r>
              <w:rPr>
                <w:lang w:val="en-GB"/>
              </w:rPr>
              <w:t>1.7 %</w:t>
            </w:r>
          </w:p>
        </w:tc>
      </w:tr>
      <w:tr w:rsidR="00983F07" w:rsidTr="00B43702">
        <w:tc>
          <w:tcPr>
            <w:tcW w:w="1384" w:type="dxa"/>
            <w:vAlign w:val="center"/>
          </w:tcPr>
          <w:p w:rsidR="00983F07" w:rsidRDefault="00983F07" w:rsidP="008670CE">
            <w:pPr>
              <w:jc w:val="center"/>
              <w:rPr>
                <w:lang w:val="en-GB"/>
              </w:rPr>
            </w:pPr>
            <w:r>
              <w:rPr>
                <w:lang w:val="en-GB"/>
              </w:rPr>
              <w:t>2 µm</w:t>
            </w:r>
          </w:p>
        </w:tc>
        <w:tc>
          <w:tcPr>
            <w:tcW w:w="1418" w:type="dxa"/>
            <w:vAlign w:val="center"/>
          </w:tcPr>
          <w:p w:rsidR="00983F07" w:rsidRDefault="001B78F4" w:rsidP="008670CE">
            <w:pPr>
              <w:jc w:val="center"/>
              <w:rPr>
                <w:lang w:val="en-GB"/>
              </w:rPr>
            </w:pPr>
            <w:r>
              <w:rPr>
                <w:lang w:val="en-GB"/>
              </w:rPr>
              <w:t>3182</w:t>
            </w:r>
          </w:p>
        </w:tc>
        <w:tc>
          <w:tcPr>
            <w:tcW w:w="1417" w:type="dxa"/>
            <w:vAlign w:val="center"/>
          </w:tcPr>
          <w:p w:rsidR="00983F07" w:rsidRDefault="006B5495" w:rsidP="008670CE">
            <w:pPr>
              <w:jc w:val="center"/>
              <w:rPr>
                <w:lang w:val="en-GB"/>
              </w:rPr>
            </w:pPr>
            <w:r>
              <w:rPr>
                <w:lang w:val="en-GB"/>
              </w:rPr>
              <w:t>3160</w:t>
            </w:r>
          </w:p>
        </w:tc>
        <w:tc>
          <w:tcPr>
            <w:tcW w:w="947" w:type="dxa"/>
            <w:vAlign w:val="center"/>
          </w:tcPr>
          <w:p w:rsidR="00983F07" w:rsidRDefault="006B5495" w:rsidP="008670CE">
            <w:pPr>
              <w:jc w:val="center"/>
              <w:rPr>
                <w:lang w:val="en-GB"/>
              </w:rPr>
            </w:pPr>
            <w:r>
              <w:rPr>
                <w:lang w:val="en-GB"/>
              </w:rPr>
              <w:t>22</w:t>
            </w:r>
          </w:p>
        </w:tc>
        <w:tc>
          <w:tcPr>
            <w:tcW w:w="1843" w:type="dxa"/>
            <w:vAlign w:val="center"/>
          </w:tcPr>
          <w:p w:rsidR="00983F07" w:rsidRDefault="006B5495" w:rsidP="008670CE">
            <w:pPr>
              <w:jc w:val="center"/>
              <w:rPr>
                <w:lang w:val="en-GB"/>
              </w:rPr>
            </w:pPr>
            <w:r>
              <w:rPr>
                <w:lang w:val="en-GB"/>
              </w:rPr>
              <w:t>0.7 %</w:t>
            </w:r>
          </w:p>
        </w:tc>
      </w:tr>
      <w:tr w:rsidR="00983F07" w:rsidRPr="006B5495" w:rsidTr="00B43702">
        <w:tc>
          <w:tcPr>
            <w:tcW w:w="1384" w:type="dxa"/>
            <w:vAlign w:val="center"/>
          </w:tcPr>
          <w:p w:rsidR="00983F07" w:rsidRDefault="00983F07" w:rsidP="008670CE">
            <w:pPr>
              <w:jc w:val="center"/>
              <w:rPr>
                <w:lang w:val="en-GB"/>
              </w:rPr>
            </w:pPr>
            <w:r>
              <w:rPr>
                <w:lang w:val="en-GB"/>
              </w:rPr>
              <w:t>20 µm</w:t>
            </w:r>
          </w:p>
        </w:tc>
        <w:tc>
          <w:tcPr>
            <w:tcW w:w="1418" w:type="dxa"/>
            <w:vAlign w:val="center"/>
          </w:tcPr>
          <w:p w:rsidR="00983F07" w:rsidRDefault="006B5495" w:rsidP="008670CE">
            <w:pPr>
              <w:jc w:val="center"/>
              <w:rPr>
                <w:lang w:val="en-GB"/>
              </w:rPr>
            </w:pPr>
            <w:r>
              <w:rPr>
                <w:lang w:val="en-GB"/>
              </w:rPr>
              <w:t>3352</w:t>
            </w:r>
          </w:p>
        </w:tc>
        <w:tc>
          <w:tcPr>
            <w:tcW w:w="1417" w:type="dxa"/>
            <w:vAlign w:val="center"/>
          </w:tcPr>
          <w:p w:rsidR="00983F07" w:rsidRDefault="006B5495" w:rsidP="008670CE">
            <w:pPr>
              <w:jc w:val="center"/>
              <w:rPr>
                <w:lang w:val="en-GB"/>
              </w:rPr>
            </w:pPr>
            <w:r>
              <w:rPr>
                <w:lang w:val="en-GB"/>
              </w:rPr>
              <w:t>3317</w:t>
            </w:r>
          </w:p>
        </w:tc>
        <w:tc>
          <w:tcPr>
            <w:tcW w:w="947" w:type="dxa"/>
            <w:vAlign w:val="center"/>
          </w:tcPr>
          <w:p w:rsidR="00983F07" w:rsidRDefault="006B5495" w:rsidP="008670CE">
            <w:pPr>
              <w:jc w:val="center"/>
              <w:rPr>
                <w:lang w:val="en-GB"/>
              </w:rPr>
            </w:pPr>
            <w:r>
              <w:rPr>
                <w:lang w:val="en-GB"/>
              </w:rPr>
              <w:t>35</w:t>
            </w:r>
          </w:p>
        </w:tc>
        <w:tc>
          <w:tcPr>
            <w:tcW w:w="1843" w:type="dxa"/>
            <w:vAlign w:val="center"/>
          </w:tcPr>
          <w:p w:rsidR="00983F07" w:rsidRDefault="006B5495" w:rsidP="008670CE">
            <w:pPr>
              <w:jc w:val="center"/>
              <w:rPr>
                <w:lang w:val="en-GB"/>
              </w:rPr>
            </w:pPr>
            <w:r>
              <w:rPr>
                <w:lang w:val="en-GB"/>
              </w:rPr>
              <w:t>1.0 %</w:t>
            </w:r>
          </w:p>
        </w:tc>
      </w:tr>
      <w:tr w:rsidR="00983F07" w:rsidRPr="006B5495" w:rsidTr="00B43702">
        <w:tc>
          <w:tcPr>
            <w:tcW w:w="1384" w:type="dxa"/>
            <w:vAlign w:val="center"/>
          </w:tcPr>
          <w:p w:rsidR="00983F07" w:rsidRDefault="00983F07" w:rsidP="008670CE">
            <w:pPr>
              <w:jc w:val="center"/>
              <w:rPr>
                <w:lang w:val="en-GB"/>
              </w:rPr>
            </w:pPr>
            <w:r>
              <w:rPr>
                <w:lang w:val="en-GB"/>
              </w:rPr>
              <w:t>200 µm</w:t>
            </w:r>
          </w:p>
        </w:tc>
        <w:tc>
          <w:tcPr>
            <w:tcW w:w="1418" w:type="dxa"/>
            <w:vAlign w:val="center"/>
          </w:tcPr>
          <w:p w:rsidR="00983F07" w:rsidRDefault="00BD5C48" w:rsidP="008670CE">
            <w:pPr>
              <w:jc w:val="center"/>
              <w:rPr>
                <w:lang w:val="en-GB"/>
              </w:rPr>
            </w:pPr>
            <w:r>
              <w:rPr>
                <w:lang w:val="en-GB"/>
              </w:rPr>
              <w:t>3361</w:t>
            </w:r>
          </w:p>
        </w:tc>
        <w:tc>
          <w:tcPr>
            <w:tcW w:w="1417" w:type="dxa"/>
            <w:vAlign w:val="center"/>
          </w:tcPr>
          <w:p w:rsidR="00983F07" w:rsidRDefault="00BD5C48" w:rsidP="008670CE">
            <w:pPr>
              <w:jc w:val="center"/>
              <w:rPr>
                <w:lang w:val="en-GB"/>
              </w:rPr>
            </w:pPr>
            <w:r>
              <w:rPr>
                <w:lang w:val="en-GB"/>
              </w:rPr>
              <w:t>3326</w:t>
            </w:r>
          </w:p>
        </w:tc>
        <w:tc>
          <w:tcPr>
            <w:tcW w:w="947" w:type="dxa"/>
            <w:vAlign w:val="center"/>
          </w:tcPr>
          <w:p w:rsidR="00983F07" w:rsidRDefault="00BD5C48" w:rsidP="008670CE">
            <w:pPr>
              <w:jc w:val="center"/>
              <w:rPr>
                <w:lang w:val="en-GB"/>
              </w:rPr>
            </w:pPr>
            <w:r>
              <w:rPr>
                <w:lang w:val="en-GB"/>
              </w:rPr>
              <w:t>35</w:t>
            </w:r>
          </w:p>
        </w:tc>
        <w:tc>
          <w:tcPr>
            <w:tcW w:w="1843" w:type="dxa"/>
            <w:vAlign w:val="center"/>
          </w:tcPr>
          <w:p w:rsidR="00983F07" w:rsidRDefault="00BD5C48" w:rsidP="008670CE">
            <w:pPr>
              <w:jc w:val="center"/>
              <w:rPr>
                <w:lang w:val="en-GB"/>
              </w:rPr>
            </w:pPr>
            <w:r>
              <w:rPr>
                <w:lang w:val="en-GB"/>
              </w:rPr>
              <w:t>1.0 %</w:t>
            </w:r>
            <w:bookmarkStart w:id="0" w:name="_GoBack"/>
            <w:bookmarkEnd w:id="0"/>
          </w:p>
        </w:tc>
      </w:tr>
    </w:tbl>
    <w:p w:rsidR="00983F07" w:rsidRDefault="00983F07" w:rsidP="007B2B1A">
      <w:pPr>
        <w:jc w:val="both"/>
        <w:rPr>
          <w:lang w:val="en-GB"/>
        </w:rPr>
      </w:pPr>
    </w:p>
    <w:p w:rsidR="00285687" w:rsidRDefault="00560E55" w:rsidP="007B2B1A">
      <w:pPr>
        <w:jc w:val="both"/>
        <w:rPr>
          <w:lang w:val="en-GB"/>
        </w:rPr>
      </w:pPr>
      <w:r>
        <w:rPr>
          <w:lang w:val="en-GB"/>
        </w:rPr>
        <w:t xml:space="preserve">Simulated coagulation half times differ from reference half times by % in average. The difference is explained by the assumptions of equation (3) that the coagulation coefficient is constant and that the particle distribution is monodisperse. </w:t>
      </w:r>
      <w:r w:rsidR="00B36171">
        <w:rPr>
          <w:lang w:val="en-GB"/>
        </w:rPr>
        <w:t>In all but one cases the half time of simulated coagulation is shorter than the reference half time. This is caused by the fact that even though the distribution is very narrow in the beginning of the simulation, the coagulation widens it fast and soon the aerosol is not monodisperse anymore. Because the coagulation of polydisperse aerosol is faster than that of monodisperse aerosol, the half time decreases.</w:t>
      </w:r>
    </w:p>
    <w:p w:rsidR="00B36171" w:rsidRDefault="00B36171" w:rsidP="007B2B1A">
      <w:pPr>
        <w:jc w:val="both"/>
        <w:rPr>
          <w:lang w:val="en-GB"/>
        </w:rPr>
      </w:pPr>
      <w:r>
        <w:rPr>
          <w:lang w:val="en-GB"/>
        </w:rPr>
        <w:t>The distribution with initial mean diameter of 200 nm is an exception: the half time of simulated coagulation is longer than the reference half time. The reason is coagulation coefficient. The reference half time was calculated with equation (3) and the coagulation coefficient was assumed to be a constant. However, when the particle diameter is around 200 nm, the coagulation coefficient decreases relatively fast when the diameter grows. In the simulation, the particle diameter grows by coagulation and therefore also the coagulation coefficient decreases, making the coagulation process slower. That is why the reference half time</w:t>
      </w:r>
      <w:r w:rsidR="00C355DA">
        <w:rPr>
          <w:lang w:val="en-GB"/>
        </w:rPr>
        <w:t xml:space="preserve"> that was calculated with initial coagulation coefficient is shorter than the real half time.</w:t>
      </w:r>
    </w:p>
    <w:p w:rsidR="00A91979" w:rsidRDefault="00A91979" w:rsidP="007B2B1A">
      <w:pPr>
        <w:jc w:val="both"/>
        <w:rPr>
          <w:lang w:val="en-GB"/>
        </w:rPr>
      </w:pPr>
    </w:p>
    <w:p w:rsidR="00A91979" w:rsidRDefault="00A91979" w:rsidP="007B2B1A">
      <w:pPr>
        <w:jc w:val="both"/>
        <w:rPr>
          <w:lang w:val="en-GB"/>
        </w:rPr>
      </w:pPr>
    </w:p>
    <w:p w:rsidR="00A66078" w:rsidRPr="00FC3B17" w:rsidRDefault="00A66078" w:rsidP="00A66078">
      <w:pPr>
        <w:pStyle w:val="Heading2"/>
        <w:numPr>
          <w:ilvl w:val="0"/>
          <w:numId w:val="13"/>
        </w:numPr>
        <w:rPr>
          <w:lang w:val="en-GB"/>
        </w:rPr>
      </w:pPr>
      <w:r w:rsidRPr="00FC3B17">
        <w:rPr>
          <w:lang w:val="en-GB"/>
        </w:rPr>
        <w:lastRenderedPageBreak/>
        <w:t>Mass conservation</w:t>
      </w:r>
    </w:p>
    <w:p w:rsidR="00A66078" w:rsidRDefault="009D2258" w:rsidP="009D2258">
      <w:pPr>
        <w:jc w:val="both"/>
        <w:rPr>
          <w:lang w:val="en-GB"/>
        </w:rPr>
      </w:pPr>
      <w:r>
        <w:rPr>
          <w:lang w:val="en-GB"/>
        </w:rPr>
        <w:t xml:space="preserve">If an aerosol does not dilute or deposit and there is no particle or gas sources, the total mass of particles and gas should </w:t>
      </w:r>
      <w:r w:rsidR="003032E8">
        <w:rPr>
          <w:lang w:val="en-GB"/>
        </w:rPr>
        <w:t>not change</w:t>
      </w:r>
      <w:r>
        <w:rPr>
          <w:lang w:val="en-GB"/>
        </w:rPr>
        <w:t xml:space="preserve"> even if coagulation reduces particle concentration and condensation grows particles.</w:t>
      </w:r>
      <w:r w:rsidR="00424C2B">
        <w:rPr>
          <w:lang w:val="en-GB"/>
        </w:rPr>
        <w:t xml:space="preserve"> In condensation the mass of vapour decreases but the mass of particles increase </w:t>
      </w:r>
      <w:r w:rsidR="00A1415B">
        <w:rPr>
          <w:lang w:val="en-GB"/>
        </w:rPr>
        <w:t>a</w:t>
      </w:r>
      <w:r w:rsidR="00424C2B">
        <w:rPr>
          <w:lang w:val="en-GB"/>
        </w:rPr>
        <w:t>s much. T</w:t>
      </w:r>
      <w:r w:rsidR="004847B8">
        <w:rPr>
          <w:lang w:val="en-GB"/>
        </w:rPr>
        <w:t xml:space="preserve">his was tested by </w:t>
      </w:r>
      <w:r w:rsidR="00424C2B">
        <w:rPr>
          <w:lang w:val="en-GB"/>
        </w:rPr>
        <w:t>run</w:t>
      </w:r>
      <w:r w:rsidR="004847B8">
        <w:rPr>
          <w:lang w:val="en-GB"/>
        </w:rPr>
        <w:t>ning the simulation</w:t>
      </w:r>
      <w:r w:rsidR="00424C2B">
        <w:rPr>
          <w:lang w:val="en-GB"/>
        </w:rPr>
        <w:t xml:space="preserve"> without vapour source and dilution</w:t>
      </w:r>
      <w:r w:rsidR="004847B8">
        <w:rPr>
          <w:lang w:val="en-GB"/>
        </w:rPr>
        <w:t xml:space="preserve"> and deposition</w:t>
      </w:r>
      <w:r w:rsidR="00424C2B">
        <w:rPr>
          <w:lang w:val="en-GB"/>
        </w:rPr>
        <w:t xml:space="preserve"> turned off</w:t>
      </w:r>
      <w:r>
        <w:rPr>
          <w:lang w:val="en-GB"/>
        </w:rPr>
        <w:t>, and the model did conserve the total mass.</w:t>
      </w:r>
    </w:p>
    <w:p w:rsidR="009D2258" w:rsidRDefault="00424C2B" w:rsidP="009D2258">
      <w:pPr>
        <w:jc w:val="both"/>
        <w:rPr>
          <w:lang w:val="en-GB"/>
        </w:rPr>
      </w:pPr>
      <w:r>
        <w:rPr>
          <w:lang w:val="en-GB"/>
        </w:rPr>
        <w:t>When dilution and deposition are turned on, some of the total mass disappears by dilution of gas, dilution of aerosol particles and deposition of particles. However, the model keeps track of the diluted and deposited molecules and therefore it is possible to calculate the diluted and deposited mass.</w:t>
      </w:r>
    </w:p>
    <w:p w:rsidR="00424C2B" w:rsidRDefault="006C6B42" w:rsidP="009D2258">
      <w:pPr>
        <w:jc w:val="both"/>
        <w:rPr>
          <w:lang w:val="en-GB"/>
        </w:rPr>
      </w:pPr>
      <w:r>
        <w:rPr>
          <w:lang w:val="en-GB"/>
        </w:rPr>
        <w:t>If a vapour</w:t>
      </w:r>
      <w:r w:rsidR="00424C2B">
        <w:rPr>
          <w:lang w:val="en-GB"/>
        </w:rPr>
        <w:t xml:space="preserve"> source</w:t>
      </w:r>
      <w:r w:rsidR="00285687">
        <w:rPr>
          <w:lang w:val="en-GB"/>
        </w:rPr>
        <w:t xml:space="preserve"> </w:t>
      </w:r>
      <m:oMath>
        <m:r>
          <w:rPr>
            <w:rFonts w:ascii="Cambria Math" w:hAnsi="Cambria Math"/>
            <w:lang w:val="en-GB"/>
          </w:rPr>
          <m:t xml:space="preserve">Q </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molecules</m:t>
                </m:r>
              </m:num>
              <m:den>
                <m:r>
                  <w:rPr>
                    <w:rFonts w:ascii="Cambria Math" w:hAnsi="Cambria Math"/>
                    <w:lang w:val="en-GB"/>
                  </w:rPr>
                  <m:t>s</m:t>
                </m:r>
              </m:den>
            </m:f>
          </m:e>
        </m:d>
      </m:oMath>
      <w:r w:rsidR="00285687">
        <w:rPr>
          <w:lang w:val="en-GB"/>
        </w:rPr>
        <w:t xml:space="preserve"> </w:t>
      </w:r>
      <w:r w:rsidR="00424C2B">
        <w:rPr>
          <w:lang w:val="en-GB"/>
        </w:rPr>
        <w:t xml:space="preserve">exists, the increase of mass in the system is </w:t>
      </w:r>
      <m:oMath>
        <m:r>
          <w:rPr>
            <w:rFonts w:ascii="Cambria Math" w:hAnsi="Cambria Math"/>
            <w:lang w:val="en-GB"/>
          </w:rPr>
          <m:t>∆m(t)=</m:t>
        </m:r>
        <m:f>
          <m:fPr>
            <m:ctrlPr>
              <w:rPr>
                <w:rFonts w:ascii="Cambria Math" w:hAnsi="Cambria Math"/>
                <w:i/>
                <w:lang w:val="en-GB"/>
              </w:rPr>
            </m:ctrlPr>
          </m:fPr>
          <m:num>
            <m:r>
              <w:rPr>
                <w:rFonts w:ascii="Cambria Math" w:hAnsi="Cambria Math"/>
                <w:lang w:val="en-GB"/>
              </w:rPr>
              <m:t>M</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den>
        </m:f>
        <m:nary>
          <m:naryPr>
            <m:limLoc m:val="subSup"/>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sub>
          <m:sup>
            <m:r>
              <w:rPr>
                <w:rFonts w:ascii="Cambria Math" w:hAnsi="Cambria Math"/>
                <w:lang w:val="en-GB"/>
              </w:rPr>
              <m:t>t</m:t>
            </m:r>
          </m:sup>
          <m:e>
            <m:r>
              <w:rPr>
                <w:rFonts w:ascii="Cambria Math" w:hAnsi="Cambria Math"/>
                <w:lang w:val="en-GB"/>
              </w:rPr>
              <m:t>Qdt</m:t>
            </m:r>
          </m:e>
        </m:nary>
      </m:oMath>
      <w:r>
        <w:rPr>
          <w:lang w:val="en-GB"/>
        </w:rPr>
        <w:t xml:space="preserve">, where M is the molar mass of vapour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oMath>
      <w:r>
        <w:rPr>
          <w:lang w:val="en-GB"/>
        </w:rPr>
        <w:t xml:space="preserve"> is Avogadro’s number.</w:t>
      </w:r>
    </w:p>
    <w:p w:rsidR="003032E8" w:rsidRDefault="006C6B42" w:rsidP="009D2258">
      <w:pPr>
        <w:jc w:val="both"/>
        <w:rPr>
          <w:lang w:val="en-GB"/>
        </w:rPr>
      </w:pPr>
      <w:r>
        <w:rPr>
          <w:lang w:val="en-GB"/>
        </w:rPr>
        <w:t xml:space="preserve">The mass of the system in the beginning </w:t>
      </w:r>
      <m:oMath>
        <m:sSub>
          <m:sSubPr>
            <m:ctrlPr>
              <w:rPr>
                <w:rFonts w:ascii="Cambria Math" w:hAnsi="Cambria Math"/>
                <w:i/>
                <w:lang w:val="en-GB"/>
              </w:rPr>
            </m:ctrlPr>
          </m:sSubPr>
          <m:e>
            <m:r>
              <w:rPr>
                <w:rFonts w:ascii="Cambria Math" w:hAnsi="Cambria Math"/>
                <w:lang w:val="en-GB"/>
              </w:rPr>
              <m:t>(t=t</m:t>
            </m:r>
          </m:e>
          <m:sub>
            <m:r>
              <w:rPr>
                <w:rFonts w:ascii="Cambria Math" w:hAnsi="Cambria Math"/>
                <w:lang w:val="en-GB"/>
              </w:rPr>
              <m:t>0</m:t>
            </m:r>
          </m:sub>
        </m:sSub>
        <m:r>
          <w:rPr>
            <w:rFonts w:ascii="Cambria Math" w:hAnsi="Cambria Math"/>
            <w:lang w:val="en-GB"/>
          </w:rPr>
          <m:t>)</m:t>
        </m:r>
      </m:oMath>
      <w:r>
        <w:rPr>
          <w:lang w:val="en-GB"/>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3544"/>
        <w:gridCol w:w="3539"/>
        <w:gridCol w:w="2445"/>
      </w:tblGrid>
      <w:tr w:rsidR="00E06474" w:rsidTr="00E06474">
        <w:tc>
          <w:tcPr>
            <w:tcW w:w="250" w:type="dxa"/>
          </w:tcPr>
          <w:p w:rsidR="00E06474" w:rsidRDefault="00E06474" w:rsidP="009D2258">
            <w:pPr>
              <w:jc w:val="both"/>
              <w:rPr>
                <w:lang w:val="en-GB"/>
              </w:rPr>
            </w:pPr>
          </w:p>
        </w:tc>
        <w:tc>
          <w:tcPr>
            <w:tcW w:w="3544" w:type="dxa"/>
            <w:vAlign w:val="center"/>
          </w:tcPr>
          <w:p w:rsidR="00E06474" w:rsidRPr="00E06474" w:rsidRDefault="00E06474" w:rsidP="00E06474">
            <w:pPr>
              <w:rPr>
                <w:lang w:val="en-GB"/>
              </w:rPr>
            </w:pPr>
            <m:oMathPara>
              <m:oMathParaPr>
                <m:jc m:val="left"/>
              </m:oMathParaPr>
              <m:oMath>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gas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particles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oMath>
            </m:oMathPara>
          </w:p>
        </w:tc>
        <w:tc>
          <w:tcPr>
            <w:tcW w:w="3539" w:type="dxa"/>
            <w:vAlign w:val="center"/>
          </w:tcPr>
          <w:p w:rsidR="00E06474" w:rsidRDefault="00E06474" w:rsidP="00E06474">
            <w:pPr>
              <w:rPr>
                <w:lang w:val="en-GB"/>
              </w:rPr>
            </w:pPr>
            <w:r>
              <w:rPr>
                <w:lang w:val="en-GB"/>
              </w:rPr>
              <w:t>.</w:t>
            </w:r>
          </w:p>
        </w:tc>
        <w:tc>
          <w:tcPr>
            <w:tcW w:w="2445" w:type="dxa"/>
            <w:vAlign w:val="center"/>
          </w:tcPr>
          <w:p w:rsidR="00E06474" w:rsidRDefault="00E06474" w:rsidP="00E06474">
            <w:pPr>
              <w:jc w:val="right"/>
              <w:rPr>
                <w:lang w:val="en-GB"/>
              </w:rPr>
            </w:pPr>
            <w:r>
              <w:rPr>
                <w:lang w:val="en-GB"/>
              </w:rPr>
              <w:t>(4)</w:t>
            </w:r>
          </w:p>
        </w:tc>
      </w:tr>
      <w:tr w:rsidR="00E06474" w:rsidTr="00E06474">
        <w:tc>
          <w:tcPr>
            <w:tcW w:w="250" w:type="dxa"/>
          </w:tcPr>
          <w:p w:rsidR="00E06474" w:rsidRDefault="00E06474" w:rsidP="009D2258">
            <w:pPr>
              <w:jc w:val="both"/>
              <w:rPr>
                <w:lang w:val="en-GB"/>
              </w:rPr>
            </w:pPr>
          </w:p>
        </w:tc>
        <w:tc>
          <w:tcPr>
            <w:tcW w:w="3544" w:type="dxa"/>
            <w:vAlign w:val="center"/>
          </w:tcPr>
          <w:p w:rsidR="00E06474" w:rsidRDefault="00E06474" w:rsidP="00E06474">
            <w:pPr>
              <w:rPr>
                <w:rFonts w:ascii="Calibri" w:eastAsia="Times New Roman" w:hAnsi="Calibri" w:cs="Times New Roman"/>
                <w:lang w:val="en-GB"/>
              </w:rPr>
            </w:pPr>
          </w:p>
        </w:tc>
        <w:tc>
          <w:tcPr>
            <w:tcW w:w="3539" w:type="dxa"/>
            <w:vAlign w:val="center"/>
          </w:tcPr>
          <w:p w:rsidR="00E06474" w:rsidRDefault="00E06474" w:rsidP="00E06474">
            <w:pPr>
              <w:rPr>
                <w:lang w:val="en-GB"/>
              </w:rPr>
            </w:pPr>
          </w:p>
        </w:tc>
        <w:tc>
          <w:tcPr>
            <w:tcW w:w="2445" w:type="dxa"/>
            <w:vAlign w:val="center"/>
          </w:tcPr>
          <w:p w:rsidR="00E06474" w:rsidRDefault="00E06474" w:rsidP="00E06474">
            <w:pPr>
              <w:jc w:val="right"/>
              <w:rPr>
                <w:lang w:val="en-GB"/>
              </w:rPr>
            </w:pPr>
          </w:p>
        </w:tc>
      </w:tr>
    </w:tbl>
    <w:p w:rsidR="003032E8" w:rsidRDefault="006C6B42" w:rsidP="009D2258">
      <w:pPr>
        <w:jc w:val="both"/>
        <w:rPr>
          <w:lang w:val="en-GB"/>
        </w:rPr>
      </w:pPr>
      <w:r>
        <w:rPr>
          <w:lang w:val="en-GB"/>
        </w:rPr>
        <w:t xml:space="preserve">In the </w:t>
      </w:r>
      <w:r w:rsidR="003032E8">
        <w:rPr>
          <w:lang w:val="en-GB"/>
        </w:rPr>
        <w:t>end</w:t>
      </w:r>
      <m:oMath>
        <m:sSub>
          <m:sSubPr>
            <m:ctrlPr>
              <w:rPr>
                <w:rFonts w:ascii="Cambria Math" w:hAnsi="Cambria Math"/>
                <w:i/>
                <w:lang w:val="en-GB"/>
              </w:rPr>
            </m:ctrlPr>
          </m:sSubPr>
          <m:e>
            <m:r>
              <w:rPr>
                <w:rFonts w:ascii="Cambria Math" w:hAnsi="Cambria Math"/>
                <w:lang w:val="en-GB"/>
              </w:rPr>
              <m:t>(t=t</m:t>
            </m:r>
          </m:e>
          <m:sub>
            <m:r>
              <w:rPr>
                <w:rFonts w:ascii="Cambria Math" w:hAnsi="Cambria Math"/>
                <w:lang w:val="en-GB"/>
              </w:rPr>
              <m:t>f</m:t>
            </m:r>
          </m:sub>
        </m:sSub>
        <m:r>
          <w:rPr>
            <w:rFonts w:ascii="Cambria Math" w:hAnsi="Cambria Math"/>
            <w:lang w:val="en-GB"/>
          </w:rPr>
          <m:t>)</m:t>
        </m:r>
      </m:oMath>
      <w:r>
        <w:rPr>
          <w:lang w:val="en-GB"/>
        </w:rPr>
        <w:t>, the total mass (including</w:t>
      </w:r>
      <w:r w:rsidR="00E06474">
        <w:rPr>
          <w:lang w:val="en-GB"/>
        </w:rPr>
        <w:t xml:space="preserve"> diluted and deposited mass)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5954"/>
        <w:gridCol w:w="1129"/>
        <w:gridCol w:w="2445"/>
      </w:tblGrid>
      <w:tr w:rsidR="00E06474" w:rsidTr="00E06474">
        <w:tc>
          <w:tcPr>
            <w:tcW w:w="250" w:type="dxa"/>
          </w:tcPr>
          <w:p w:rsidR="00E06474" w:rsidRDefault="00E06474" w:rsidP="009D2258">
            <w:pPr>
              <w:jc w:val="both"/>
              <w:rPr>
                <w:lang w:val="en-GB"/>
              </w:rPr>
            </w:pPr>
          </w:p>
        </w:tc>
        <w:tc>
          <w:tcPr>
            <w:tcW w:w="5954" w:type="dxa"/>
          </w:tcPr>
          <w:p w:rsidR="00E06474" w:rsidRPr="00E06474" w:rsidRDefault="00BD5C48" w:rsidP="009D2258">
            <w:pPr>
              <w:jc w:val="both"/>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gas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particles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diluted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deposited</m:t>
                    </m:r>
                  </m:sub>
                </m:sSub>
              </m:oMath>
            </m:oMathPara>
          </w:p>
        </w:tc>
        <w:tc>
          <w:tcPr>
            <w:tcW w:w="1129" w:type="dxa"/>
            <w:vAlign w:val="center"/>
          </w:tcPr>
          <w:p w:rsidR="00E06474" w:rsidRDefault="00E06474" w:rsidP="00E06474">
            <w:pPr>
              <w:rPr>
                <w:lang w:val="en-GB"/>
              </w:rPr>
            </w:pPr>
            <w:r>
              <w:rPr>
                <w:lang w:val="en-GB"/>
              </w:rPr>
              <w:t>.</w:t>
            </w:r>
          </w:p>
        </w:tc>
        <w:tc>
          <w:tcPr>
            <w:tcW w:w="2445" w:type="dxa"/>
            <w:vAlign w:val="center"/>
          </w:tcPr>
          <w:p w:rsidR="00E06474" w:rsidRDefault="00E06474" w:rsidP="00E06474">
            <w:pPr>
              <w:jc w:val="right"/>
              <w:rPr>
                <w:lang w:val="en-GB"/>
              </w:rPr>
            </w:pPr>
            <w:r>
              <w:rPr>
                <w:lang w:val="en-GB"/>
              </w:rPr>
              <w:t>(5)</w:t>
            </w:r>
          </w:p>
        </w:tc>
      </w:tr>
      <w:tr w:rsidR="00E06474" w:rsidTr="00E06474">
        <w:tc>
          <w:tcPr>
            <w:tcW w:w="250" w:type="dxa"/>
          </w:tcPr>
          <w:p w:rsidR="00E06474" w:rsidRDefault="00E06474" w:rsidP="009D2258">
            <w:pPr>
              <w:jc w:val="both"/>
              <w:rPr>
                <w:lang w:val="en-GB"/>
              </w:rPr>
            </w:pPr>
          </w:p>
        </w:tc>
        <w:tc>
          <w:tcPr>
            <w:tcW w:w="5954" w:type="dxa"/>
          </w:tcPr>
          <w:p w:rsidR="00E06474" w:rsidRDefault="00E06474" w:rsidP="009D2258">
            <w:pPr>
              <w:jc w:val="both"/>
              <w:rPr>
                <w:rFonts w:ascii="Calibri" w:eastAsia="Times New Roman" w:hAnsi="Calibri" w:cs="Times New Roman"/>
                <w:lang w:val="en-GB"/>
              </w:rPr>
            </w:pPr>
          </w:p>
        </w:tc>
        <w:tc>
          <w:tcPr>
            <w:tcW w:w="1129" w:type="dxa"/>
            <w:vAlign w:val="center"/>
          </w:tcPr>
          <w:p w:rsidR="00E06474" w:rsidRDefault="00E06474" w:rsidP="00E06474">
            <w:pPr>
              <w:rPr>
                <w:lang w:val="en-GB"/>
              </w:rPr>
            </w:pPr>
          </w:p>
        </w:tc>
        <w:tc>
          <w:tcPr>
            <w:tcW w:w="2445" w:type="dxa"/>
            <w:vAlign w:val="center"/>
          </w:tcPr>
          <w:p w:rsidR="00E06474" w:rsidRDefault="00E06474" w:rsidP="00E06474">
            <w:pPr>
              <w:jc w:val="right"/>
              <w:rPr>
                <w:lang w:val="en-GB"/>
              </w:rPr>
            </w:pPr>
          </w:p>
        </w:tc>
      </w:tr>
    </w:tbl>
    <w:p w:rsidR="003032E8" w:rsidRDefault="006C6B42" w:rsidP="009D2258">
      <w:pPr>
        <w:jc w:val="both"/>
        <w:rPr>
          <w:lang w:val="en-GB"/>
        </w:rPr>
      </w:pPr>
      <w:r>
        <w:rPr>
          <w:lang w:val="en-GB"/>
        </w:rPr>
        <w:t>On the other hand, as the vapour source is the only source of mass, the total mass in the end can be written also</w:t>
      </w:r>
      <w:r w:rsidR="003032E8">
        <w:rPr>
          <w:lang w:val="en-GB"/>
        </w:rPr>
        <w:t>:</w:t>
      </w:r>
      <w:r>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961"/>
        <w:gridCol w:w="2122"/>
        <w:gridCol w:w="2445"/>
      </w:tblGrid>
      <w:tr w:rsidR="00E06474" w:rsidTr="00E06474">
        <w:tc>
          <w:tcPr>
            <w:tcW w:w="250" w:type="dxa"/>
          </w:tcPr>
          <w:p w:rsidR="00E06474" w:rsidRDefault="00E06474" w:rsidP="009D2258">
            <w:pPr>
              <w:jc w:val="both"/>
              <w:rPr>
                <w:lang w:val="en-GB"/>
              </w:rPr>
            </w:pPr>
          </w:p>
        </w:tc>
        <w:tc>
          <w:tcPr>
            <w:tcW w:w="4961" w:type="dxa"/>
            <w:vAlign w:val="center"/>
          </w:tcPr>
          <w:p w:rsidR="00E06474" w:rsidRPr="00E06474" w:rsidRDefault="00BD5C48" w:rsidP="00E0647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r>
                  <w:rPr>
                    <w:rFonts w:ascii="Cambria Math" w:hAnsi="Cambria Math"/>
                    <w:lang w:val="en-GB"/>
                  </w:rPr>
                  <m:t>= 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r>
                  <w:rPr>
                    <w:rFonts w:ascii="Cambria Math" w:hAnsi="Cambria Math"/>
                    <w:lang w:val="en-GB"/>
                  </w:rPr>
                  <m:t>)= 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f>
                  <m:fPr>
                    <m:ctrlPr>
                      <w:rPr>
                        <w:rFonts w:ascii="Cambria Math" w:hAnsi="Cambria Math"/>
                        <w:i/>
                        <w:lang w:val="en-GB"/>
                      </w:rPr>
                    </m:ctrlPr>
                  </m:fPr>
                  <m:num>
                    <m:r>
                      <w:rPr>
                        <w:rFonts w:ascii="Cambria Math" w:hAnsi="Cambria Math"/>
                        <w:lang w:val="en-GB"/>
                      </w:rPr>
                      <m:t>M</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den>
                </m:f>
                <m:nary>
                  <m:naryPr>
                    <m:limLoc m:val="subSup"/>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sub>
                  <m:sup>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sup>
                  <m:e>
                    <m:r>
                      <w:rPr>
                        <w:rFonts w:ascii="Cambria Math" w:hAnsi="Cambria Math"/>
                        <w:lang w:val="en-GB"/>
                      </w:rPr>
                      <m:t>Qdt</m:t>
                    </m:r>
                  </m:e>
                </m:nary>
              </m:oMath>
            </m:oMathPara>
          </w:p>
        </w:tc>
        <w:tc>
          <w:tcPr>
            <w:tcW w:w="2122" w:type="dxa"/>
            <w:vAlign w:val="center"/>
          </w:tcPr>
          <w:p w:rsidR="00E06474" w:rsidRDefault="00E06474" w:rsidP="00E06474">
            <w:pPr>
              <w:rPr>
                <w:lang w:val="en-GB"/>
              </w:rPr>
            </w:pPr>
            <w:r>
              <w:rPr>
                <w:lang w:val="en-GB"/>
              </w:rPr>
              <w:t>.</w:t>
            </w:r>
          </w:p>
        </w:tc>
        <w:tc>
          <w:tcPr>
            <w:tcW w:w="2445" w:type="dxa"/>
            <w:vAlign w:val="center"/>
          </w:tcPr>
          <w:p w:rsidR="00E06474" w:rsidRDefault="00E06474" w:rsidP="00E06474">
            <w:pPr>
              <w:jc w:val="right"/>
              <w:rPr>
                <w:lang w:val="en-GB"/>
              </w:rPr>
            </w:pPr>
            <w:r>
              <w:rPr>
                <w:lang w:val="en-GB"/>
              </w:rPr>
              <w:t>(6)</w:t>
            </w:r>
          </w:p>
        </w:tc>
      </w:tr>
      <w:tr w:rsidR="00E06474" w:rsidTr="00E06474">
        <w:tc>
          <w:tcPr>
            <w:tcW w:w="250" w:type="dxa"/>
          </w:tcPr>
          <w:p w:rsidR="00E06474" w:rsidRDefault="00E06474" w:rsidP="009D2258">
            <w:pPr>
              <w:jc w:val="both"/>
              <w:rPr>
                <w:lang w:val="en-GB"/>
              </w:rPr>
            </w:pPr>
          </w:p>
        </w:tc>
        <w:tc>
          <w:tcPr>
            <w:tcW w:w="4961" w:type="dxa"/>
            <w:vAlign w:val="center"/>
          </w:tcPr>
          <w:p w:rsidR="00E06474" w:rsidRDefault="00E06474" w:rsidP="00E06474">
            <w:pPr>
              <w:rPr>
                <w:rFonts w:ascii="Calibri" w:eastAsia="Times New Roman" w:hAnsi="Calibri" w:cs="Times New Roman"/>
                <w:lang w:val="en-GB"/>
              </w:rPr>
            </w:pPr>
          </w:p>
        </w:tc>
        <w:tc>
          <w:tcPr>
            <w:tcW w:w="2122" w:type="dxa"/>
            <w:vAlign w:val="center"/>
          </w:tcPr>
          <w:p w:rsidR="00E06474" w:rsidRDefault="00E06474" w:rsidP="00E06474">
            <w:pPr>
              <w:rPr>
                <w:lang w:val="en-GB"/>
              </w:rPr>
            </w:pPr>
          </w:p>
        </w:tc>
        <w:tc>
          <w:tcPr>
            <w:tcW w:w="2445" w:type="dxa"/>
            <w:vAlign w:val="center"/>
          </w:tcPr>
          <w:p w:rsidR="00E06474" w:rsidRDefault="00E06474" w:rsidP="00E06474">
            <w:pPr>
              <w:jc w:val="right"/>
              <w:rPr>
                <w:lang w:val="en-GB"/>
              </w:rPr>
            </w:pPr>
          </w:p>
        </w:tc>
      </w:tr>
    </w:tbl>
    <w:p w:rsidR="003032E8" w:rsidRDefault="003032E8" w:rsidP="009D2258">
      <w:pPr>
        <w:jc w:val="both"/>
        <w:rPr>
          <w:lang w:val="en-GB"/>
        </w:rPr>
      </w:pPr>
      <w:r>
        <w:rPr>
          <w:lang w:val="en-GB"/>
        </w:rPr>
        <w:t xml:space="preserve">The value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1</m:t>
            </m:r>
          </m:sub>
        </m:sSub>
      </m:oMath>
      <w:r>
        <w:rPr>
          <w:lang w:val="en-GB"/>
        </w:rPr>
        <w:t xml:space="preserve"> can be exported from chamber model’s calculated data after simulation run and the value of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oMath>
      <w:r>
        <w:rPr>
          <w:lang w:val="en-GB"/>
        </w:rPr>
        <w:t xml:space="preserve"> can be calculated by hand using the initial parameters of simulation. When the model is working properly, the value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1</m:t>
            </m:r>
          </m:sub>
        </m:sSub>
      </m:oMath>
      <w:r>
        <w:rPr>
          <w:lang w:val="en-GB"/>
        </w:rPr>
        <w:t xml:space="preserve"> got from simulation should equal </w:t>
      </w:r>
      <w:r w:rsidR="00E06474">
        <w:rPr>
          <w:lang w:val="en-GB"/>
        </w:rPr>
        <w:t>the v</w:t>
      </w:r>
      <w:r>
        <w:rPr>
          <w:lang w:val="en-GB"/>
        </w:rPr>
        <w:t xml:space="preserve">alue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oMath>
      <w:r w:rsidR="00E06474">
        <w:rPr>
          <w:lang w:val="en-GB"/>
        </w:rPr>
        <w:t xml:space="preserve"> calculated with equation (6)</w:t>
      </w:r>
      <w:r>
        <w:rPr>
          <w:lang w:val="en-GB"/>
        </w:rPr>
        <w:t>.</w:t>
      </w:r>
    </w:p>
    <w:p w:rsidR="003032E8" w:rsidRDefault="00C96FF2" w:rsidP="009D2258">
      <w:pPr>
        <w:jc w:val="both"/>
        <w:rPr>
          <w:lang w:val="en-GB"/>
        </w:rPr>
      </w:pPr>
      <w:r>
        <w:rPr>
          <w:lang w:val="en-GB"/>
        </w:rPr>
        <w:t>The simulation was run for 10800 seconds with different initial parameters</w:t>
      </w:r>
      <w:r w:rsidR="008670CE">
        <w:rPr>
          <w:lang w:val="en-GB"/>
        </w:rPr>
        <w:t>,</w:t>
      </w:r>
      <w:r>
        <w:rPr>
          <w:lang w:val="en-GB"/>
        </w:rPr>
        <w:t xml:space="preserve"> and both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1</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oMath>
      <w:r>
        <w:rPr>
          <w:lang w:val="en-GB"/>
        </w:rPr>
        <w:t xml:space="preserve"> were calculated</w:t>
      </w:r>
      <w:r w:rsidR="006D5248">
        <w:rPr>
          <w:lang w:val="en-GB"/>
        </w:rPr>
        <w:t xml:space="preserve"> for</w:t>
      </w:r>
      <w:r w:rsidR="00CF5BB8">
        <w:rPr>
          <w:lang w:val="en-GB"/>
        </w:rPr>
        <w:t xml:space="preserve"> 3</w:t>
      </w:r>
      <w:r w:rsidR="006D5248">
        <w:rPr>
          <w:lang w:val="en-GB"/>
        </w:rPr>
        <w:t xml:space="preserve"> different cases</w:t>
      </w:r>
      <w:r>
        <w:rPr>
          <w:lang w:val="en-GB"/>
        </w:rPr>
        <w:t>.</w:t>
      </w:r>
      <w:r w:rsidR="00285687">
        <w:rPr>
          <w:lang w:val="en-GB"/>
        </w:rPr>
        <w:t xml:space="preserve"> In all cases the number of sections was 300 and the number of output data sections 3000.</w:t>
      </w:r>
      <w:r w:rsidR="006D5248">
        <w:rPr>
          <w:lang w:val="en-GB"/>
        </w:rPr>
        <w:t xml:space="preserve"> The initial parameters are shown in table </w:t>
      </w:r>
      <w:r w:rsidR="00285687">
        <w:rPr>
          <w:lang w:val="en-GB"/>
        </w:rPr>
        <w:t>5</w:t>
      </w:r>
      <w:r w:rsidR="006D5248">
        <w:rPr>
          <w:lang w:val="en-GB"/>
        </w:rPr>
        <w:t xml:space="preserve"> and t</w:t>
      </w:r>
      <w:r>
        <w:rPr>
          <w:lang w:val="en-GB"/>
        </w:rPr>
        <w:t>he results</w:t>
      </w:r>
      <w:r w:rsidR="006D5248">
        <w:rPr>
          <w:lang w:val="en-GB"/>
        </w:rPr>
        <w:t xml:space="preserve"> in table</w:t>
      </w:r>
      <w:r w:rsidR="00285687">
        <w:rPr>
          <w:lang w:val="en-GB"/>
        </w:rPr>
        <w:t xml:space="preserve"> 6</w:t>
      </w:r>
      <w:r>
        <w:rPr>
          <w:lang w:val="en-GB"/>
        </w:rPr>
        <w:t>.</w:t>
      </w:r>
    </w:p>
    <w:p w:rsidR="00CF5BB8" w:rsidRDefault="00CF5BB8" w:rsidP="00CF5BB8">
      <w:pPr>
        <w:pStyle w:val="Caption"/>
        <w:keepNext/>
      </w:pPr>
      <w:r>
        <w:t xml:space="preserve">Table </w:t>
      </w:r>
      <w:fldSimple w:instr=" SEQ Table \* ARABIC ">
        <w:r w:rsidR="00285687">
          <w:rPr>
            <w:noProof/>
          </w:rPr>
          <w:t>5</w:t>
        </w:r>
      </w:fldSimple>
      <w:r>
        <w:t>: Initial parameters.</w:t>
      </w:r>
    </w:p>
    <w:tbl>
      <w:tblPr>
        <w:tblStyle w:val="TableGrid"/>
        <w:tblW w:w="0" w:type="auto"/>
        <w:tblLook w:val="04A0" w:firstRow="1" w:lastRow="0" w:firstColumn="1" w:lastColumn="0" w:noHBand="0" w:noVBand="1"/>
      </w:tblPr>
      <w:tblGrid>
        <w:gridCol w:w="959"/>
        <w:gridCol w:w="1843"/>
        <w:gridCol w:w="1701"/>
        <w:gridCol w:w="1701"/>
        <w:gridCol w:w="1417"/>
      </w:tblGrid>
      <w:tr w:rsidR="008670CE" w:rsidTr="00B43702">
        <w:tc>
          <w:tcPr>
            <w:tcW w:w="959" w:type="dxa"/>
            <w:shd w:val="clear" w:color="auto" w:fill="D9D9D9" w:themeFill="background1" w:themeFillShade="D9"/>
            <w:vAlign w:val="center"/>
          </w:tcPr>
          <w:p w:rsidR="008670CE" w:rsidRDefault="008670CE" w:rsidP="008670CE">
            <w:pPr>
              <w:jc w:val="center"/>
              <w:rPr>
                <w:lang w:val="en-GB"/>
              </w:rPr>
            </w:pPr>
            <w:r>
              <w:rPr>
                <w:lang w:val="en-GB"/>
              </w:rPr>
              <w:t>Case</w:t>
            </w:r>
          </w:p>
        </w:tc>
        <w:tc>
          <w:tcPr>
            <w:tcW w:w="1843" w:type="dxa"/>
            <w:shd w:val="clear" w:color="auto" w:fill="D9D9D9" w:themeFill="background1" w:themeFillShade="D9"/>
            <w:vAlign w:val="center"/>
          </w:tcPr>
          <w:p w:rsidR="008670CE" w:rsidRDefault="00B43702" w:rsidP="008670CE">
            <w:pPr>
              <w:jc w:val="center"/>
              <w:rPr>
                <w:lang w:val="en-GB"/>
              </w:rPr>
            </w:pPr>
            <w:r>
              <w:rPr>
                <w:lang w:val="en-GB"/>
              </w:rPr>
              <w:t>Initial vapour concentration</w:t>
            </w:r>
          </w:p>
        </w:tc>
        <w:tc>
          <w:tcPr>
            <w:tcW w:w="1701" w:type="dxa"/>
            <w:shd w:val="clear" w:color="auto" w:fill="D9D9D9" w:themeFill="background1" w:themeFillShade="D9"/>
            <w:vAlign w:val="center"/>
          </w:tcPr>
          <w:p w:rsidR="008670CE" w:rsidRDefault="00B43702" w:rsidP="008670CE">
            <w:pPr>
              <w:jc w:val="center"/>
              <w:rPr>
                <w:lang w:val="en-GB"/>
              </w:rPr>
            </w:pPr>
            <w:r>
              <w:rPr>
                <w:lang w:val="en-GB"/>
              </w:rPr>
              <w:t xml:space="preserve">Vapour </w:t>
            </w:r>
            <w:r w:rsidR="008670CE">
              <w:rPr>
                <w:lang w:val="en-GB"/>
              </w:rPr>
              <w:t>source</w:t>
            </w:r>
          </w:p>
        </w:tc>
        <w:tc>
          <w:tcPr>
            <w:tcW w:w="1701" w:type="dxa"/>
            <w:shd w:val="clear" w:color="auto" w:fill="D9D9D9" w:themeFill="background1" w:themeFillShade="D9"/>
            <w:vAlign w:val="center"/>
          </w:tcPr>
          <w:p w:rsidR="008670CE" w:rsidRDefault="00B43702" w:rsidP="008670CE">
            <w:pPr>
              <w:jc w:val="center"/>
              <w:rPr>
                <w:lang w:val="en-GB"/>
              </w:rPr>
            </w:pPr>
            <w:r>
              <w:rPr>
                <w:lang w:val="en-GB"/>
              </w:rPr>
              <w:t>S</w:t>
            </w:r>
            <w:r w:rsidR="008670CE">
              <w:rPr>
                <w:lang w:val="en-GB"/>
              </w:rPr>
              <w:t>edimentation</w:t>
            </w:r>
          </w:p>
        </w:tc>
        <w:tc>
          <w:tcPr>
            <w:tcW w:w="1417" w:type="dxa"/>
            <w:shd w:val="clear" w:color="auto" w:fill="D9D9D9" w:themeFill="background1" w:themeFillShade="D9"/>
            <w:vAlign w:val="center"/>
          </w:tcPr>
          <w:p w:rsidR="008670CE" w:rsidRDefault="00B43702" w:rsidP="008670CE">
            <w:pPr>
              <w:jc w:val="center"/>
              <w:rPr>
                <w:lang w:val="en-GB"/>
              </w:rPr>
            </w:pPr>
            <w:r>
              <w:rPr>
                <w:lang w:val="en-GB"/>
              </w:rPr>
              <w:t>D</w:t>
            </w:r>
            <w:r w:rsidR="008670CE">
              <w:rPr>
                <w:lang w:val="en-GB"/>
              </w:rPr>
              <w:t>ilution</w:t>
            </w:r>
          </w:p>
        </w:tc>
      </w:tr>
      <w:tr w:rsidR="008670CE" w:rsidTr="00B43702">
        <w:tc>
          <w:tcPr>
            <w:tcW w:w="959" w:type="dxa"/>
            <w:vAlign w:val="center"/>
          </w:tcPr>
          <w:p w:rsidR="008670CE" w:rsidRDefault="008670CE" w:rsidP="008670CE">
            <w:pPr>
              <w:jc w:val="center"/>
              <w:rPr>
                <w:lang w:val="en-GB"/>
              </w:rPr>
            </w:pPr>
            <w:r>
              <w:rPr>
                <w:lang w:val="en-GB"/>
              </w:rPr>
              <w:t>1</w:t>
            </w:r>
          </w:p>
        </w:tc>
        <w:tc>
          <w:tcPr>
            <w:tcW w:w="1843" w:type="dxa"/>
            <w:vAlign w:val="center"/>
          </w:tcPr>
          <w:p w:rsidR="008670CE" w:rsidRDefault="008670CE" w:rsidP="008670CE">
            <w:pPr>
              <w:jc w:val="center"/>
              <w:rPr>
                <w:lang w:val="en-GB"/>
              </w:rPr>
            </w:pPr>
            <w:r>
              <w:rPr>
                <w:lang w:val="en-GB"/>
              </w:rPr>
              <w:t>off</w:t>
            </w:r>
          </w:p>
        </w:tc>
        <w:tc>
          <w:tcPr>
            <w:tcW w:w="1701" w:type="dxa"/>
            <w:vAlign w:val="center"/>
          </w:tcPr>
          <w:p w:rsidR="008670CE" w:rsidRDefault="008670CE" w:rsidP="008670CE">
            <w:pPr>
              <w:jc w:val="center"/>
              <w:rPr>
                <w:lang w:val="en-GB"/>
              </w:rPr>
            </w:pPr>
            <w:r>
              <w:rPr>
                <w:lang w:val="en-GB"/>
              </w:rPr>
              <w:t>off</w:t>
            </w:r>
          </w:p>
        </w:tc>
        <w:tc>
          <w:tcPr>
            <w:tcW w:w="1701" w:type="dxa"/>
            <w:vAlign w:val="center"/>
          </w:tcPr>
          <w:p w:rsidR="008670CE" w:rsidRDefault="008670CE" w:rsidP="008670CE">
            <w:pPr>
              <w:jc w:val="center"/>
              <w:rPr>
                <w:lang w:val="en-GB"/>
              </w:rPr>
            </w:pPr>
            <w:r>
              <w:rPr>
                <w:lang w:val="en-GB"/>
              </w:rPr>
              <w:t>off</w:t>
            </w:r>
          </w:p>
        </w:tc>
        <w:tc>
          <w:tcPr>
            <w:tcW w:w="1417" w:type="dxa"/>
            <w:vAlign w:val="center"/>
          </w:tcPr>
          <w:p w:rsidR="008670CE" w:rsidRDefault="008670CE" w:rsidP="008670CE">
            <w:pPr>
              <w:jc w:val="center"/>
              <w:rPr>
                <w:lang w:val="en-GB"/>
              </w:rPr>
            </w:pPr>
            <w:r>
              <w:rPr>
                <w:lang w:val="en-GB"/>
              </w:rPr>
              <w:t>off</w:t>
            </w:r>
          </w:p>
        </w:tc>
      </w:tr>
      <w:tr w:rsidR="008670CE" w:rsidTr="00B43702">
        <w:tc>
          <w:tcPr>
            <w:tcW w:w="959" w:type="dxa"/>
            <w:vAlign w:val="center"/>
          </w:tcPr>
          <w:p w:rsidR="008670CE" w:rsidRDefault="008670CE" w:rsidP="008670CE">
            <w:pPr>
              <w:jc w:val="center"/>
              <w:rPr>
                <w:lang w:val="en-GB"/>
              </w:rPr>
            </w:pPr>
            <w:r>
              <w:rPr>
                <w:lang w:val="en-GB"/>
              </w:rPr>
              <w:t>2</w:t>
            </w:r>
          </w:p>
        </w:tc>
        <w:tc>
          <w:tcPr>
            <w:tcW w:w="1843" w:type="dxa"/>
            <w:vAlign w:val="center"/>
          </w:tcPr>
          <w:p w:rsidR="008670CE" w:rsidRDefault="008670CE" w:rsidP="008670CE">
            <w:pPr>
              <w:jc w:val="center"/>
              <w:rPr>
                <w:lang w:val="en-GB"/>
              </w:rPr>
            </w:pPr>
            <w:r>
              <w:rPr>
                <w:lang w:val="en-GB"/>
              </w:rPr>
              <w:t>on</w:t>
            </w:r>
          </w:p>
        </w:tc>
        <w:tc>
          <w:tcPr>
            <w:tcW w:w="1701" w:type="dxa"/>
            <w:vAlign w:val="center"/>
          </w:tcPr>
          <w:p w:rsidR="008670CE" w:rsidRDefault="008670CE" w:rsidP="008670CE">
            <w:pPr>
              <w:jc w:val="center"/>
              <w:rPr>
                <w:lang w:val="en-GB"/>
              </w:rPr>
            </w:pPr>
            <w:r>
              <w:rPr>
                <w:lang w:val="en-GB"/>
              </w:rPr>
              <w:t>on</w:t>
            </w:r>
          </w:p>
        </w:tc>
        <w:tc>
          <w:tcPr>
            <w:tcW w:w="1701" w:type="dxa"/>
            <w:vAlign w:val="center"/>
          </w:tcPr>
          <w:p w:rsidR="008670CE" w:rsidRDefault="008670CE" w:rsidP="008670CE">
            <w:pPr>
              <w:jc w:val="center"/>
              <w:rPr>
                <w:lang w:val="en-GB"/>
              </w:rPr>
            </w:pPr>
            <w:r>
              <w:rPr>
                <w:lang w:val="en-GB"/>
              </w:rPr>
              <w:t>on</w:t>
            </w:r>
          </w:p>
        </w:tc>
        <w:tc>
          <w:tcPr>
            <w:tcW w:w="1417" w:type="dxa"/>
            <w:vAlign w:val="center"/>
          </w:tcPr>
          <w:p w:rsidR="008670CE" w:rsidRDefault="008670CE" w:rsidP="008670CE">
            <w:pPr>
              <w:jc w:val="center"/>
              <w:rPr>
                <w:lang w:val="en-GB"/>
              </w:rPr>
            </w:pPr>
            <w:r>
              <w:rPr>
                <w:lang w:val="en-GB"/>
              </w:rPr>
              <w:t>on</w:t>
            </w:r>
          </w:p>
        </w:tc>
      </w:tr>
      <w:tr w:rsidR="008670CE" w:rsidTr="00B43702">
        <w:trPr>
          <w:trHeight w:val="70"/>
        </w:trPr>
        <w:tc>
          <w:tcPr>
            <w:tcW w:w="959" w:type="dxa"/>
            <w:vAlign w:val="center"/>
          </w:tcPr>
          <w:p w:rsidR="008670CE" w:rsidRDefault="008670CE" w:rsidP="008670CE">
            <w:pPr>
              <w:jc w:val="center"/>
              <w:rPr>
                <w:lang w:val="en-GB"/>
              </w:rPr>
            </w:pPr>
            <w:r>
              <w:rPr>
                <w:lang w:val="en-GB"/>
              </w:rPr>
              <w:t>3</w:t>
            </w:r>
          </w:p>
        </w:tc>
        <w:tc>
          <w:tcPr>
            <w:tcW w:w="1843" w:type="dxa"/>
            <w:vAlign w:val="center"/>
          </w:tcPr>
          <w:p w:rsidR="008670CE" w:rsidRDefault="008670CE" w:rsidP="008670CE">
            <w:pPr>
              <w:jc w:val="center"/>
              <w:rPr>
                <w:lang w:val="en-GB"/>
              </w:rPr>
            </w:pPr>
            <w:r>
              <w:rPr>
                <w:lang w:val="en-GB"/>
              </w:rPr>
              <w:t>on</w:t>
            </w:r>
          </w:p>
        </w:tc>
        <w:tc>
          <w:tcPr>
            <w:tcW w:w="1701" w:type="dxa"/>
            <w:vAlign w:val="center"/>
          </w:tcPr>
          <w:p w:rsidR="008670CE" w:rsidRDefault="008670CE" w:rsidP="008670CE">
            <w:pPr>
              <w:jc w:val="center"/>
              <w:rPr>
                <w:lang w:val="en-GB"/>
              </w:rPr>
            </w:pPr>
            <w:r>
              <w:rPr>
                <w:lang w:val="en-GB"/>
              </w:rPr>
              <w:t>vector</w:t>
            </w:r>
          </w:p>
        </w:tc>
        <w:tc>
          <w:tcPr>
            <w:tcW w:w="1701" w:type="dxa"/>
            <w:vAlign w:val="center"/>
          </w:tcPr>
          <w:p w:rsidR="008670CE" w:rsidRDefault="008670CE" w:rsidP="008670CE">
            <w:pPr>
              <w:jc w:val="center"/>
              <w:rPr>
                <w:lang w:val="en-GB"/>
              </w:rPr>
            </w:pPr>
            <w:r>
              <w:rPr>
                <w:lang w:val="en-GB"/>
              </w:rPr>
              <w:t>on</w:t>
            </w:r>
          </w:p>
        </w:tc>
        <w:tc>
          <w:tcPr>
            <w:tcW w:w="1417" w:type="dxa"/>
            <w:vAlign w:val="center"/>
          </w:tcPr>
          <w:p w:rsidR="008670CE" w:rsidRDefault="008670CE" w:rsidP="008670CE">
            <w:pPr>
              <w:jc w:val="center"/>
              <w:rPr>
                <w:lang w:val="en-GB"/>
              </w:rPr>
            </w:pPr>
            <w:r>
              <w:rPr>
                <w:lang w:val="en-GB"/>
              </w:rPr>
              <w:t>vector</w:t>
            </w:r>
          </w:p>
        </w:tc>
      </w:tr>
    </w:tbl>
    <w:p w:rsidR="00801043" w:rsidRDefault="00801043" w:rsidP="00CF5BB8">
      <w:pPr>
        <w:pStyle w:val="Caption"/>
        <w:keepNext/>
      </w:pPr>
    </w:p>
    <w:p w:rsidR="004817B8" w:rsidRPr="004817B8" w:rsidRDefault="004817B8" w:rsidP="004817B8"/>
    <w:p w:rsidR="00CF5BB8" w:rsidRDefault="00CF5BB8" w:rsidP="00CF5BB8">
      <w:pPr>
        <w:pStyle w:val="Caption"/>
        <w:keepNext/>
      </w:pPr>
      <w:r>
        <w:lastRenderedPageBreak/>
        <w:t xml:space="preserve">Table </w:t>
      </w:r>
      <w:fldSimple w:instr=" SEQ Table \* ARABIC ">
        <w:r w:rsidR="00285687">
          <w:rPr>
            <w:noProof/>
          </w:rPr>
          <w:t>6</w:t>
        </w:r>
      </w:fldSimple>
      <w:r>
        <w:t>: Results</w:t>
      </w:r>
    </w:p>
    <w:tbl>
      <w:tblPr>
        <w:tblStyle w:val="TableGrid"/>
        <w:tblW w:w="0" w:type="auto"/>
        <w:tblLook w:val="04A0" w:firstRow="1" w:lastRow="0" w:firstColumn="1" w:lastColumn="0" w:noHBand="0" w:noVBand="1"/>
      </w:tblPr>
      <w:tblGrid>
        <w:gridCol w:w="959"/>
        <w:gridCol w:w="2410"/>
      </w:tblGrid>
      <w:tr w:rsidR="00CF5BB8" w:rsidRPr="00BD5C48" w:rsidTr="00122055">
        <w:tc>
          <w:tcPr>
            <w:tcW w:w="959" w:type="dxa"/>
            <w:shd w:val="clear" w:color="auto" w:fill="D9D9D9" w:themeFill="background1" w:themeFillShade="D9"/>
            <w:vAlign w:val="center"/>
          </w:tcPr>
          <w:p w:rsidR="00CF5BB8" w:rsidRDefault="00CF5BB8" w:rsidP="00122055">
            <w:pPr>
              <w:jc w:val="center"/>
              <w:rPr>
                <w:lang w:val="en-GB"/>
              </w:rPr>
            </w:pPr>
            <w:r>
              <w:rPr>
                <w:lang w:val="en-GB"/>
              </w:rPr>
              <w:t>Case</w:t>
            </w:r>
          </w:p>
        </w:tc>
        <w:tc>
          <w:tcPr>
            <w:tcW w:w="2410" w:type="dxa"/>
            <w:shd w:val="clear" w:color="auto" w:fill="D9D9D9" w:themeFill="background1" w:themeFillShade="D9"/>
            <w:vAlign w:val="center"/>
          </w:tcPr>
          <w:p w:rsidR="00CF5BB8" w:rsidRDefault="00CF5BB8" w:rsidP="00122055">
            <w:pPr>
              <w:jc w:val="center"/>
              <w:rPr>
                <w:lang w:val="en-GB"/>
              </w:rPr>
            </w:pPr>
            <w:r>
              <w:rPr>
                <w:lang w:val="en-GB"/>
              </w:rPr>
              <w:t xml:space="preserve">error </w:t>
            </w:r>
            <m:oMath>
              <m:d>
                <m:dPr>
                  <m:ctrlPr>
                    <w:rPr>
                      <w:rFonts w:ascii="Cambria Math" w:hAnsi="Cambria Math"/>
                      <w:i/>
                      <w:lang w:val="en-GB"/>
                    </w:rPr>
                  </m:ctrlPr>
                </m:dPr>
                <m:e>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1</m:t>
                              </m:r>
                            </m:sub>
                          </m:sSub>
                        </m:e>
                      </m:d>
                    </m:num>
                    <m:den>
                      <m:sSub>
                        <m:sSubPr>
                          <m:ctrlPr>
                            <w:rPr>
                              <w:rFonts w:ascii="Cambria Math" w:hAnsi="Cambria Math"/>
                              <w:i/>
                              <w:lang w:val="en-GB"/>
                            </w:rPr>
                          </m:ctrlPr>
                        </m:sSubPr>
                        <m:e>
                          <m: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m:t>
                                  </m:r>
                                </m:sub>
                              </m:sSub>
                            </m:e>
                          </m:d>
                        </m:e>
                        <m:sub>
                          <m:r>
                            <w:rPr>
                              <w:rFonts w:ascii="Cambria Math" w:hAnsi="Cambria Math"/>
                              <w:lang w:val="en-GB"/>
                            </w:rPr>
                            <m:t>2</m:t>
                          </m:r>
                        </m:sub>
                      </m:sSub>
                    </m:den>
                  </m:f>
                </m:e>
              </m:d>
            </m:oMath>
          </w:p>
        </w:tc>
      </w:tr>
      <w:tr w:rsidR="00CF5BB8" w:rsidTr="00122055">
        <w:tc>
          <w:tcPr>
            <w:tcW w:w="959" w:type="dxa"/>
            <w:vAlign w:val="center"/>
          </w:tcPr>
          <w:p w:rsidR="00CF5BB8" w:rsidRDefault="00CF5BB8" w:rsidP="00122055">
            <w:pPr>
              <w:jc w:val="center"/>
              <w:rPr>
                <w:lang w:val="en-GB"/>
              </w:rPr>
            </w:pPr>
            <w:r>
              <w:rPr>
                <w:lang w:val="en-GB"/>
              </w:rPr>
              <w:t>1</w:t>
            </w:r>
          </w:p>
        </w:tc>
        <w:tc>
          <w:tcPr>
            <w:tcW w:w="2410" w:type="dxa"/>
            <w:vAlign w:val="center"/>
          </w:tcPr>
          <w:p w:rsidR="00CF5BB8" w:rsidRDefault="00CA1891" w:rsidP="00CA1891">
            <w:pPr>
              <w:jc w:val="center"/>
              <w:rPr>
                <w:lang w:val="en-GB"/>
              </w:rPr>
            </w:pPr>
            <w:r>
              <w:rPr>
                <w:lang w:val="en-GB"/>
              </w:rPr>
              <w:t>0.00 %</w:t>
            </w:r>
          </w:p>
        </w:tc>
      </w:tr>
      <w:tr w:rsidR="00CF5BB8" w:rsidTr="00122055">
        <w:tc>
          <w:tcPr>
            <w:tcW w:w="959" w:type="dxa"/>
            <w:vAlign w:val="center"/>
          </w:tcPr>
          <w:p w:rsidR="00CF5BB8" w:rsidRDefault="00CF5BB8" w:rsidP="00122055">
            <w:pPr>
              <w:jc w:val="center"/>
              <w:rPr>
                <w:lang w:val="en-GB"/>
              </w:rPr>
            </w:pPr>
            <w:r>
              <w:rPr>
                <w:lang w:val="en-GB"/>
              </w:rPr>
              <w:t>2</w:t>
            </w:r>
          </w:p>
        </w:tc>
        <w:tc>
          <w:tcPr>
            <w:tcW w:w="2410" w:type="dxa"/>
            <w:vAlign w:val="center"/>
          </w:tcPr>
          <w:p w:rsidR="00CF5BB8" w:rsidRDefault="00CA1891" w:rsidP="00122055">
            <w:pPr>
              <w:jc w:val="center"/>
              <w:rPr>
                <w:lang w:val="en-GB"/>
              </w:rPr>
            </w:pPr>
            <w:r>
              <w:rPr>
                <w:lang w:val="en-GB"/>
              </w:rPr>
              <w:t>0.04 %</w:t>
            </w:r>
          </w:p>
        </w:tc>
      </w:tr>
      <w:tr w:rsidR="00CF5BB8" w:rsidTr="00122055">
        <w:tc>
          <w:tcPr>
            <w:tcW w:w="959" w:type="dxa"/>
            <w:vAlign w:val="center"/>
          </w:tcPr>
          <w:p w:rsidR="00CF5BB8" w:rsidRDefault="00CF5BB8" w:rsidP="00122055">
            <w:pPr>
              <w:jc w:val="center"/>
              <w:rPr>
                <w:lang w:val="en-GB"/>
              </w:rPr>
            </w:pPr>
            <w:r>
              <w:rPr>
                <w:lang w:val="en-GB"/>
              </w:rPr>
              <w:t>3</w:t>
            </w:r>
          </w:p>
        </w:tc>
        <w:tc>
          <w:tcPr>
            <w:tcW w:w="2410" w:type="dxa"/>
            <w:vAlign w:val="center"/>
          </w:tcPr>
          <w:p w:rsidR="00CF5BB8" w:rsidRDefault="00CA1891" w:rsidP="00122055">
            <w:pPr>
              <w:jc w:val="center"/>
              <w:rPr>
                <w:lang w:val="en-GB"/>
              </w:rPr>
            </w:pPr>
            <w:r>
              <w:rPr>
                <w:lang w:val="en-GB"/>
              </w:rPr>
              <w:t>0.04 %</w:t>
            </w:r>
          </w:p>
        </w:tc>
      </w:tr>
    </w:tbl>
    <w:p w:rsidR="00801043" w:rsidRDefault="00801043" w:rsidP="009D2258">
      <w:pPr>
        <w:jc w:val="both"/>
        <w:rPr>
          <w:lang w:val="en-GB"/>
        </w:rPr>
      </w:pPr>
    </w:p>
    <w:p w:rsidR="00801043" w:rsidRPr="00FC3B17" w:rsidRDefault="00801043" w:rsidP="009D2258">
      <w:pPr>
        <w:jc w:val="both"/>
        <w:rPr>
          <w:lang w:val="en-GB"/>
        </w:rPr>
      </w:pPr>
      <w:r>
        <w:rPr>
          <w:lang w:val="en-GB"/>
        </w:rPr>
        <w:t xml:space="preserve">The results in table 5 show that there is </w:t>
      </w:r>
      <w:r w:rsidR="00CA1891">
        <w:rPr>
          <w:lang w:val="en-GB"/>
        </w:rPr>
        <w:t xml:space="preserve">in practice </w:t>
      </w:r>
      <w:r>
        <w:rPr>
          <w:lang w:val="en-GB"/>
        </w:rPr>
        <w:t>no difference between the final mass of simulated aerosol and the calculated final mass, so the model conserves the total mass properly.</w:t>
      </w:r>
    </w:p>
    <w:sectPr w:rsidR="00801043" w:rsidRPr="00FC3B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708214A"/>
    <w:multiLevelType w:val="hybridMultilevel"/>
    <w:tmpl w:val="931C00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6F2C3BD7"/>
    <w:multiLevelType w:val="hybridMultilevel"/>
    <w:tmpl w:val="B454810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6A9770C"/>
    <w:multiLevelType w:val="hybridMultilevel"/>
    <w:tmpl w:val="147059AA"/>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78"/>
    <w:rsid w:val="00040BF5"/>
    <w:rsid w:val="00050B7E"/>
    <w:rsid w:val="00057270"/>
    <w:rsid w:val="000629DC"/>
    <w:rsid w:val="000758DB"/>
    <w:rsid w:val="0010024D"/>
    <w:rsid w:val="00122055"/>
    <w:rsid w:val="0017171A"/>
    <w:rsid w:val="001B78F4"/>
    <w:rsid w:val="002352AA"/>
    <w:rsid w:val="00285687"/>
    <w:rsid w:val="003032E8"/>
    <w:rsid w:val="00321685"/>
    <w:rsid w:val="00377A24"/>
    <w:rsid w:val="003C6DEE"/>
    <w:rsid w:val="003F5FDE"/>
    <w:rsid w:val="00424C2B"/>
    <w:rsid w:val="0042768A"/>
    <w:rsid w:val="004817B8"/>
    <w:rsid w:val="004847B8"/>
    <w:rsid w:val="004F13A0"/>
    <w:rsid w:val="005178BE"/>
    <w:rsid w:val="00524C1E"/>
    <w:rsid w:val="00547F5F"/>
    <w:rsid w:val="00560E55"/>
    <w:rsid w:val="00595384"/>
    <w:rsid w:val="006723E0"/>
    <w:rsid w:val="00676BA6"/>
    <w:rsid w:val="006B5495"/>
    <w:rsid w:val="006C6B42"/>
    <w:rsid w:val="006C6EE8"/>
    <w:rsid w:val="006D5248"/>
    <w:rsid w:val="00786845"/>
    <w:rsid w:val="007B035B"/>
    <w:rsid w:val="007B2B1A"/>
    <w:rsid w:val="007F4555"/>
    <w:rsid w:val="00801043"/>
    <w:rsid w:val="008064C8"/>
    <w:rsid w:val="0082103E"/>
    <w:rsid w:val="00837B6F"/>
    <w:rsid w:val="00850F23"/>
    <w:rsid w:val="008670CE"/>
    <w:rsid w:val="008866E4"/>
    <w:rsid w:val="00956C19"/>
    <w:rsid w:val="00983F07"/>
    <w:rsid w:val="009D2258"/>
    <w:rsid w:val="00A0636A"/>
    <w:rsid w:val="00A1415B"/>
    <w:rsid w:val="00A43046"/>
    <w:rsid w:val="00A66078"/>
    <w:rsid w:val="00A91979"/>
    <w:rsid w:val="00B36171"/>
    <w:rsid w:val="00B43702"/>
    <w:rsid w:val="00B67157"/>
    <w:rsid w:val="00B840B5"/>
    <w:rsid w:val="00B86022"/>
    <w:rsid w:val="00BB1658"/>
    <w:rsid w:val="00BC273B"/>
    <w:rsid w:val="00BC49F9"/>
    <w:rsid w:val="00BD5C48"/>
    <w:rsid w:val="00C01929"/>
    <w:rsid w:val="00C355DA"/>
    <w:rsid w:val="00C43411"/>
    <w:rsid w:val="00C66CAE"/>
    <w:rsid w:val="00C96FF2"/>
    <w:rsid w:val="00CA1891"/>
    <w:rsid w:val="00CA40A1"/>
    <w:rsid w:val="00CB441B"/>
    <w:rsid w:val="00CC14F2"/>
    <w:rsid w:val="00CF5BB8"/>
    <w:rsid w:val="00D1580B"/>
    <w:rsid w:val="00D15F2F"/>
    <w:rsid w:val="00D77BF9"/>
    <w:rsid w:val="00E06474"/>
    <w:rsid w:val="00EB0D5E"/>
    <w:rsid w:val="00F1519C"/>
    <w:rsid w:val="00F23622"/>
    <w:rsid w:val="00F4174C"/>
    <w:rsid w:val="00FC1DED"/>
    <w:rsid w:val="00FC3B1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78"/>
  </w:style>
  <w:style w:type="paragraph" w:styleId="Heading1">
    <w:name w:val="heading 1"/>
    <w:basedOn w:val="Normal"/>
    <w:next w:val="Normal"/>
    <w:link w:val="Heading1Char"/>
    <w:uiPriority w:val="9"/>
    <w:qFormat/>
    <w:rsid w:val="00A660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60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660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660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660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660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660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660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660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660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660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660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660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660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660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660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6607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660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660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660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66078"/>
    <w:rPr>
      <w:rFonts w:asciiTheme="majorHAnsi" w:eastAsiaTheme="majorEastAsia" w:hAnsiTheme="majorHAnsi" w:cstheme="majorBidi"/>
      <w:i/>
      <w:iCs/>
      <w:spacing w:val="13"/>
      <w:sz w:val="24"/>
      <w:szCs w:val="24"/>
    </w:rPr>
  </w:style>
  <w:style w:type="character" w:styleId="Strong">
    <w:name w:val="Strong"/>
    <w:uiPriority w:val="22"/>
    <w:qFormat/>
    <w:rsid w:val="00A66078"/>
    <w:rPr>
      <w:b/>
      <w:bCs/>
    </w:rPr>
  </w:style>
  <w:style w:type="character" w:styleId="Emphasis">
    <w:name w:val="Emphasis"/>
    <w:uiPriority w:val="20"/>
    <w:qFormat/>
    <w:rsid w:val="00A66078"/>
    <w:rPr>
      <w:b/>
      <w:bCs/>
      <w:i/>
      <w:iCs/>
      <w:spacing w:val="10"/>
      <w:bdr w:val="none" w:sz="0" w:space="0" w:color="auto"/>
      <w:shd w:val="clear" w:color="auto" w:fill="auto"/>
    </w:rPr>
  </w:style>
  <w:style w:type="paragraph" w:styleId="NoSpacing">
    <w:name w:val="No Spacing"/>
    <w:basedOn w:val="Normal"/>
    <w:uiPriority w:val="1"/>
    <w:qFormat/>
    <w:rsid w:val="00A66078"/>
    <w:pPr>
      <w:spacing w:after="0" w:line="240" w:lineRule="auto"/>
    </w:pPr>
  </w:style>
  <w:style w:type="paragraph" w:styleId="ListParagraph">
    <w:name w:val="List Paragraph"/>
    <w:basedOn w:val="Normal"/>
    <w:uiPriority w:val="34"/>
    <w:qFormat/>
    <w:rsid w:val="00A66078"/>
    <w:pPr>
      <w:ind w:left="720"/>
      <w:contextualSpacing/>
    </w:pPr>
  </w:style>
  <w:style w:type="paragraph" w:styleId="Quote">
    <w:name w:val="Quote"/>
    <w:basedOn w:val="Normal"/>
    <w:next w:val="Normal"/>
    <w:link w:val="QuoteChar"/>
    <w:uiPriority w:val="29"/>
    <w:qFormat/>
    <w:rsid w:val="00A66078"/>
    <w:pPr>
      <w:spacing w:before="200" w:after="0"/>
      <w:ind w:left="360" w:right="360"/>
    </w:pPr>
    <w:rPr>
      <w:i/>
      <w:iCs/>
    </w:rPr>
  </w:style>
  <w:style w:type="character" w:customStyle="1" w:styleId="QuoteChar">
    <w:name w:val="Quote Char"/>
    <w:basedOn w:val="DefaultParagraphFont"/>
    <w:link w:val="Quote"/>
    <w:uiPriority w:val="29"/>
    <w:rsid w:val="00A66078"/>
    <w:rPr>
      <w:i/>
      <w:iCs/>
    </w:rPr>
  </w:style>
  <w:style w:type="paragraph" w:styleId="IntenseQuote">
    <w:name w:val="Intense Quote"/>
    <w:basedOn w:val="Normal"/>
    <w:next w:val="Normal"/>
    <w:link w:val="IntenseQuoteChar"/>
    <w:uiPriority w:val="30"/>
    <w:qFormat/>
    <w:rsid w:val="00A660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66078"/>
    <w:rPr>
      <w:b/>
      <w:bCs/>
      <w:i/>
      <w:iCs/>
    </w:rPr>
  </w:style>
  <w:style w:type="character" w:styleId="SubtleEmphasis">
    <w:name w:val="Subtle Emphasis"/>
    <w:uiPriority w:val="19"/>
    <w:qFormat/>
    <w:rsid w:val="00A66078"/>
    <w:rPr>
      <w:i/>
      <w:iCs/>
    </w:rPr>
  </w:style>
  <w:style w:type="character" w:styleId="IntenseEmphasis">
    <w:name w:val="Intense Emphasis"/>
    <w:uiPriority w:val="21"/>
    <w:qFormat/>
    <w:rsid w:val="00A66078"/>
    <w:rPr>
      <w:b/>
      <w:bCs/>
    </w:rPr>
  </w:style>
  <w:style w:type="character" w:styleId="SubtleReference">
    <w:name w:val="Subtle Reference"/>
    <w:uiPriority w:val="31"/>
    <w:qFormat/>
    <w:rsid w:val="00A66078"/>
    <w:rPr>
      <w:smallCaps/>
    </w:rPr>
  </w:style>
  <w:style w:type="character" w:styleId="IntenseReference">
    <w:name w:val="Intense Reference"/>
    <w:uiPriority w:val="32"/>
    <w:qFormat/>
    <w:rsid w:val="00A66078"/>
    <w:rPr>
      <w:smallCaps/>
      <w:spacing w:val="5"/>
      <w:u w:val="single"/>
    </w:rPr>
  </w:style>
  <w:style w:type="character" w:styleId="BookTitle">
    <w:name w:val="Book Title"/>
    <w:uiPriority w:val="33"/>
    <w:qFormat/>
    <w:rsid w:val="00A66078"/>
    <w:rPr>
      <w:i/>
      <w:iCs/>
      <w:smallCaps/>
      <w:spacing w:val="5"/>
    </w:rPr>
  </w:style>
  <w:style w:type="paragraph" w:styleId="TOCHeading">
    <w:name w:val="TOC Heading"/>
    <w:basedOn w:val="Heading1"/>
    <w:next w:val="Normal"/>
    <w:uiPriority w:val="39"/>
    <w:semiHidden/>
    <w:unhideWhenUsed/>
    <w:qFormat/>
    <w:rsid w:val="00A66078"/>
    <w:pPr>
      <w:outlineLvl w:val="9"/>
    </w:pPr>
    <w:rPr>
      <w:lang w:bidi="en-US"/>
    </w:rPr>
  </w:style>
  <w:style w:type="character" w:styleId="PlaceholderText">
    <w:name w:val="Placeholder Text"/>
    <w:basedOn w:val="DefaultParagraphFont"/>
    <w:uiPriority w:val="99"/>
    <w:semiHidden/>
    <w:rsid w:val="00A66078"/>
    <w:rPr>
      <w:color w:val="808080"/>
    </w:rPr>
  </w:style>
  <w:style w:type="paragraph" w:styleId="BalloonText">
    <w:name w:val="Balloon Text"/>
    <w:basedOn w:val="Normal"/>
    <w:link w:val="BalloonTextChar"/>
    <w:uiPriority w:val="99"/>
    <w:semiHidden/>
    <w:unhideWhenUsed/>
    <w:rsid w:val="00A66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78"/>
    <w:rPr>
      <w:rFonts w:ascii="Tahoma" w:hAnsi="Tahoma" w:cs="Tahoma"/>
      <w:sz w:val="16"/>
      <w:szCs w:val="16"/>
    </w:rPr>
  </w:style>
  <w:style w:type="table" w:styleId="TableGrid">
    <w:name w:val="Table Grid"/>
    <w:basedOn w:val="TableNormal"/>
    <w:uiPriority w:val="59"/>
    <w:rsid w:val="00956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78684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78"/>
  </w:style>
  <w:style w:type="paragraph" w:styleId="Heading1">
    <w:name w:val="heading 1"/>
    <w:basedOn w:val="Normal"/>
    <w:next w:val="Normal"/>
    <w:link w:val="Heading1Char"/>
    <w:uiPriority w:val="9"/>
    <w:qFormat/>
    <w:rsid w:val="00A660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60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660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660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660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660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660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660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660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660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660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660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660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660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660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660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6607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660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660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660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66078"/>
    <w:rPr>
      <w:rFonts w:asciiTheme="majorHAnsi" w:eastAsiaTheme="majorEastAsia" w:hAnsiTheme="majorHAnsi" w:cstheme="majorBidi"/>
      <w:i/>
      <w:iCs/>
      <w:spacing w:val="13"/>
      <w:sz w:val="24"/>
      <w:szCs w:val="24"/>
    </w:rPr>
  </w:style>
  <w:style w:type="character" w:styleId="Strong">
    <w:name w:val="Strong"/>
    <w:uiPriority w:val="22"/>
    <w:qFormat/>
    <w:rsid w:val="00A66078"/>
    <w:rPr>
      <w:b/>
      <w:bCs/>
    </w:rPr>
  </w:style>
  <w:style w:type="character" w:styleId="Emphasis">
    <w:name w:val="Emphasis"/>
    <w:uiPriority w:val="20"/>
    <w:qFormat/>
    <w:rsid w:val="00A66078"/>
    <w:rPr>
      <w:b/>
      <w:bCs/>
      <w:i/>
      <w:iCs/>
      <w:spacing w:val="10"/>
      <w:bdr w:val="none" w:sz="0" w:space="0" w:color="auto"/>
      <w:shd w:val="clear" w:color="auto" w:fill="auto"/>
    </w:rPr>
  </w:style>
  <w:style w:type="paragraph" w:styleId="NoSpacing">
    <w:name w:val="No Spacing"/>
    <w:basedOn w:val="Normal"/>
    <w:uiPriority w:val="1"/>
    <w:qFormat/>
    <w:rsid w:val="00A66078"/>
    <w:pPr>
      <w:spacing w:after="0" w:line="240" w:lineRule="auto"/>
    </w:pPr>
  </w:style>
  <w:style w:type="paragraph" w:styleId="ListParagraph">
    <w:name w:val="List Paragraph"/>
    <w:basedOn w:val="Normal"/>
    <w:uiPriority w:val="34"/>
    <w:qFormat/>
    <w:rsid w:val="00A66078"/>
    <w:pPr>
      <w:ind w:left="720"/>
      <w:contextualSpacing/>
    </w:pPr>
  </w:style>
  <w:style w:type="paragraph" w:styleId="Quote">
    <w:name w:val="Quote"/>
    <w:basedOn w:val="Normal"/>
    <w:next w:val="Normal"/>
    <w:link w:val="QuoteChar"/>
    <w:uiPriority w:val="29"/>
    <w:qFormat/>
    <w:rsid w:val="00A66078"/>
    <w:pPr>
      <w:spacing w:before="200" w:after="0"/>
      <w:ind w:left="360" w:right="360"/>
    </w:pPr>
    <w:rPr>
      <w:i/>
      <w:iCs/>
    </w:rPr>
  </w:style>
  <w:style w:type="character" w:customStyle="1" w:styleId="QuoteChar">
    <w:name w:val="Quote Char"/>
    <w:basedOn w:val="DefaultParagraphFont"/>
    <w:link w:val="Quote"/>
    <w:uiPriority w:val="29"/>
    <w:rsid w:val="00A66078"/>
    <w:rPr>
      <w:i/>
      <w:iCs/>
    </w:rPr>
  </w:style>
  <w:style w:type="paragraph" w:styleId="IntenseQuote">
    <w:name w:val="Intense Quote"/>
    <w:basedOn w:val="Normal"/>
    <w:next w:val="Normal"/>
    <w:link w:val="IntenseQuoteChar"/>
    <w:uiPriority w:val="30"/>
    <w:qFormat/>
    <w:rsid w:val="00A660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66078"/>
    <w:rPr>
      <w:b/>
      <w:bCs/>
      <w:i/>
      <w:iCs/>
    </w:rPr>
  </w:style>
  <w:style w:type="character" w:styleId="SubtleEmphasis">
    <w:name w:val="Subtle Emphasis"/>
    <w:uiPriority w:val="19"/>
    <w:qFormat/>
    <w:rsid w:val="00A66078"/>
    <w:rPr>
      <w:i/>
      <w:iCs/>
    </w:rPr>
  </w:style>
  <w:style w:type="character" w:styleId="IntenseEmphasis">
    <w:name w:val="Intense Emphasis"/>
    <w:uiPriority w:val="21"/>
    <w:qFormat/>
    <w:rsid w:val="00A66078"/>
    <w:rPr>
      <w:b/>
      <w:bCs/>
    </w:rPr>
  </w:style>
  <w:style w:type="character" w:styleId="SubtleReference">
    <w:name w:val="Subtle Reference"/>
    <w:uiPriority w:val="31"/>
    <w:qFormat/>
    <w:rsid w:val="00A66078"/>
    <w:rPr>
      <w:smallCaps/>
    </w:rPr>
  </w:style>
  <w:style w:type="character" w:styleId="IntenseReference">
    <w:name w:val="Intense Reference"/>
    <w:uiPriority w:val="32"/>
    <w:qFormat/>
    <w:rsid w:val="00A66078"/>
    <w:rPr>
      <w:smallCaps/>
      <w:spacing w:val="5"/>
      <w:u w:val="single"/>
    </w:rPr>
  </w:style>
  <w:style w:type="character" w:styleId="BookTitle">
    <w:name w:val="Book Title"/>
    <w:uiPriority w:val="33"/>
    <w:qFormat/>
    <w:rsid w:val="00A66078"/>
    <w:rPr>
      <w:i/>
      <w:iCs/>
      <w:smallCaps/>
      <w:spacing w:val="5"/>
    </w:rPr>
  </w:style>
  <w:style w:type="paragraph" w:styleId="TOCHeading">
    <w:name w:val="TOC Heading"/>
    <w:basedOn w:val="Heading1"/>
    <w:next w:val="Normal"/>
    <w:uiPriority w:val="39"/>
    <w:semiHidden/>
    <w:unhideWhenUsed/>
    <w:qFormat/>
    <w:rsid w:val="00A66078"/>
    <w:pPr>
      <w:outlineLvl w:val="9"/>
    </w:pPr>
    <w:rPr>
      <w:lang w:bidi="en-US"/>
    </w:rPr>
  </w:style>
  <w:style w:type="character" w:styleId="PlaceholderText">
    <w:name w:val="Placeholder Text"/>
    <w:basedOn w:val="DefaultParagraphFont"/>
    <w:uiPriority w:val="99"/>
    <w:semiHidden/>
    <w:rsid w:val="00A66078"/>
    <w:rPr>
      <w:color w:val="808080"/>
    </w:rPr>
  </w:style>
  <w:style w:type="paragraph" w:styleId="BalloonText">
    <w:name w:val="Balloon Text"/>
    <w:basedOn w:val="Normal"/>
    <w:link w:val="BalloonTextChar"/>
    <w:uiPriority w:val="99"/>
    <w:semiHidden/>
    <w:unhideWhenUsed/>
    <w:rsid w:val="00A66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78"/>
    <w:rPr>
      <w:rFonts w:ascii="Tahoma" w:hAnsi="Tahoma" w:cs="Tahoma"/>
      <w:sz w:val="16"/>
      <w:szCs w:val="16"/>
    </w:rPr>
  </w:style>
  <w:style w:type="table" w:styleId="TableGrid">
    <w:name w:val="Table Grid"/>
    <w:basedOn w:val="TableNormal"/>
    <w:uiPriority w:val="59"/>
    <w:rsid w:val="00956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78684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12FFD-A816-4C54-8711-7EC6E739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5</Pages>
  <Words>1054</Words>
  <Characters>8543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56</cp:revision>
  <dcterms:created xsi:type="dcterms:W3CDTF">2013-05-22T10:45:00Z</dcterms:created>
  <dcterms:modified xsi:type="dcterms:W3CDTF">2013-06-04T05:08:00Z</dcterms:modified>
</cp:coreProperties>
</file>