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Hei" w:hAnsi="SimHei"/>
          <w:color w:val="A63A2B"/>
          <w:sz w:val="40"/>
        </w:rPr>
        <w:t>公司中秋博饼活动策划（框架）</w:t>
      </w:r>
      <w:r/>
    </w:p>
    <w:p>
      <w:pPr>
        <w:spacing w:line="384" w:lineRule="auto" w:before="0" w:after="320"/>
        <w:jc w:val="center"/>
      </w:pPr>
      <w:r>
        <w:rPr>
          <w:rFonts w:ascii="SimSun" w:hAnsi="SimSun"/>
          <w:color w:val="888888"/>
          <w:sz w:val="21"/>
        </w:rPr>
        <w:t>参与规模：约</w:t>
      </w:r>
      <w:r>
        <w:rPr>
          <w:rFonts w:ascii="SimSun" w:hAnsi="SimSun"/>
          <w:color w:val="888888"/>
          <w:sz w:val="21"/>
        </w:rPr>
        <w:t xml:space="preserve"> 100 </w:t>
      </w:r>
      <w:r>
        <w:rPr>
          <w:rFonts w:ascii="SimSun" w:hAnsi="SimSun"/>
          <w:color w:val="888888"/>
          <w:sz w:val="21"/>
        </w:rPr>
        <w:t>人</w:t>
      </w:r>
      <w:r>
        <w:rPr>
          <w:rFonts w:ascii="SimSun" w:hAnsi="SimSun"/>
          <w:color w:val="888888"/>
          <w:sz w:val="21"/>
        </w:rPr>
        <w:t xml:space="preserve"> </w:t>
      </w:r>
      <w:r>
        <w:rPr>
          <w:rFonts w:ascii="SimSun" w:hAnsi="SimSun"/>
          <w:color w:val="888888"/>
          <w:sz w:val="21"/>
        </w:rPr>
        <w:t>｜</w:t>
      </w:r>
      <w:r>
        <w:rPr>
          <w:rFonts w:ascii="SimSun" w:hAnsi="SimSun"/>
          <w:color w:val="888888"/>
          <w:sz w:val="21"/>
        </w:rPr>
        <w:t xml:space="preserve"> </w:t>
      </w:r>
      <w:r>
        <w:rPr>
          <w:rFonts w:ascii="SimSun" w:hAnsi="SimSun"/>
          <w:color w:val="888888"/>
          <w:sz w:val="21"/>
        </w:rPr>
        <w:t>分</w:t>
      </w:r>
      <w:r>
        <w:rPr>
          <w:rFonts w:ascii="SimSun" w:hAnsi="SimSun"/>
          <w:color w:val="888888"/>
          <w:sz w:val="21"/>
        </w:rPr>
        <w:t xml:space="preserve"> 10 </w:t>
      </w:r>
      <w:r>
        <w:rPr>
          <w:rFonts w:ascii="SimSun" w:hAnsi="SimSun"/>
          <w:color w:val="888888"/>
          <w:sz w:val="21"/>
        </w:rPr>
        <w:t>桌</w:t>
      </w:r>
      <w:r>
        <w:rPr>
          <w:rFonts w:ascii="SimSun" w:hAnsi="SimSun"/>
          <w:color w:val="888888"/>
          <w:sz w:val="21"/>
        </w:rPr>
        <w:t xml:space="preserve"> × 10 </w:t>
      </w:r>
      <w:r>
        <w:rPr>
          <w:rFonts w:ascii="SimSun" w:hAnsi="SimSun"/>
          <w:color w:val="888888"/>
          <w:sz w:val="21"/>
        </w:rPr>
        <w:t>人</w:t>
      </w:r>
      <w:r>
        <w:rPr>
          <w:rFonts w:ascii="SimSun" w:hAnsi="SimSun"/>
          <w:color w:val="888888"/>
          <w:sz w:val="21"/>
        </w:rPr>
        <w:t xml:space="preserve"> </w:t>
      </w:r>
      <w:r>
        <w:rPr>
          <w:rFonts w:ascii="SimSun" w:hAnsi="SimSun"/>
          <w:color w:val="888888"/>
          <w:sz w:val="21"/>
        </w:rPr>
        <w:t>｜</w:t>
      </w:r>
      <w:r>
        <w:rPr>
          <w:rFonts w:ascii="SimSun" w:hAnsi="SimSun"/>
          <w:color w:val="888888"/>
          <w:sz w:val="21"/>
        </w:rPr>
        <w:t xml:space="preserve"> </w:t>
      </w:r>
      <w:r>
        <w:rPr>
          <w:rFonts w:ascii="SimSun" w:hAnsi="SimSun"/>
          <w:color w:val="888888"/>
          <w:sz w:val="21"/>
        </w:rPr>
        <w:t>版本：</w:t>
      </w:r>
      <w:r>
        <w:rPr>
          <w:rFonts w:ascii="SimSun" w:hAnsi="SimSun"/>
          <w:color w:val="888888"/>
          <w:sz w:val="21"/>
        </w:rPr>
        <w:t>V1.0</w:t>
      </w:r>
      <w:r>
        <w:rPr>
          <w:rFonts w:ascii="SimSun" w:hAnsi="SimSun"/>
          <w:color w:val="888888"/>
          <w:sz w:val="21"/>
        </w:rPr>
        <w:t>（方向确认稿）</w:t>
      </w:r>
      <w:r/>
    </w:p>
    <w:p>
      <w:pPr>
        <w:pStyle w:val="Heading2"/>
      </w:pPr>
      <w:r>
        <w:rPr>
          <w:rFonts w:ascii="SimHei" w:hAnsi="SimHei"/>
          <w:color w:val="A63A2B"/>
          <w:sz w:val="28"/>
        </w:rPr>
        <w:t>一、活动目标</w:t>
      </w:r>
      <w:r/>
    </w:p>
    <w:p>
      <w:pPr>
        <w:pStyle w:val="ListNumber"/>
        <w:numPr>
          <w:ilvl w:val="0"/>
          <w:numId w:val="10"/>
        </w:numPr>
        <w:spacing w:line="384" w:lineRule="auto" w:before="40" w:after="40"/>
      </w:pPr>
      <w:r>
        <w:rPr>
          <w:rFonts w:ascii="SimSun" w:hAnsi="SimSun"/>
          <w:color w:val="222222"/>
          <w:sz w:val="24"/>
        </w:rPr>
        <w:t>氛围营造：借中秋民俗营造轻松愉悦的节日氛围，提升员工归属感。</w:t>
      </w:r>
    </w:p>
    <w:p>
      <w:pPr>
        <w:pStyle w:val="ListNumber"/>
        <w:numPr>
          <w:ilvl w:val="0"/>
          <w:numId w:val="10"/>
        </w:numPr>
        <w:spacing w:line="384" w:lineRule="auto" w:before="40" w:after="40"/>
      </w:pPr>
      <w:r>
        <w:rPr>
          <w:rFonts w:ascii="SimSun" w:hAnsi="SimSun"/>
          <w:color w:val="222222"/>
          <w:sz w:val="24"/>
        </w:rPr>
        <w:t>团队凝聚：分桌混编、协作互动，促进跨部门交流。</w:t>
      </w:r>
    </w:p>
    <w:p>
      <w:pPr>
        <w:pStyle w:val="ListNumber"/>
        <w:numPr>
          <w:ilvl w:val="0"/>
          <w:numId w:val="10"/>
        </w:numPr>
        <w:spacing w:line="384" w:lineRule="auto" w:before="40" w:after="40"/>
      </w:pPr>
      <w:r>
        <w:rPr>
          <w:rFonts w:ascii="SimSun" w:hAnsi="SimSun"/>
          <w:color w:val="222222"/>
          <w:sz w:val="24"/>
        </w:rPr>
        <w:t>高效可控：以传统博饼为主线，流程简单、成本可控，降低组织压力。</w:t>
      </w:r>
      <w:r/>
    </w:p>
    <w:p>
      <w:pPr>
        <w:pStyle w:val="Heading2"/>
      </w:pPr>
      <w:r>
        <w:rPr>
          <w:rFonts w:ascii="SimHei" w:hAnsi="SimHei"/>
          <w:color w:val="A63A2B"/>
          <w:sz w:val="28"/>
        </w:rPr>
        <w:t>二、流程安排（含时间节点）</w:t>
      </w:r>
      <w:r/>
    </w:p>
    <w:p>
      <w:pPr>
        <w:spacing w:line="384" w:lineRule="auto"/>
      </w:pPr>
      <w:r>
        <w:rPr>
          <w:rFonts w:ascii="SimSun" w:hAnsi="SimSun"/>
          <w:color w:val="222222"/>
          <w:sz w:val="24"/>
        </w:rPr>
        <w:t>建议总时长约</w:t>
      </w:r>
      <w:r>
        <w:rPr>
          <w:rFonts w:ascii="SimSun" w:hAnsi="SimSun"/>
          <w:color w:val="222222"/>
          <w:sz w:val="24"/>
        </w:rPr>
        <w:t xml:space="preserve"> 2 </w:t>
      </w:r>
      <w:r>
        <w:rPr>
          <w:rFonts w:ascii="SimSun" w:hAnsi="SimSun"/>
          <w:color w:val="222222"/>
          <w:sz w:val="24"/>
        </w:rPr>
        <w:t>小时，安排在工作日下午或晚间；按</w:t>
      </w:r>
      <w:r>
        <w:rPr>
          <w:rFonts w:ascii="SimSun" w:hAnsi="SimSun"/>
          <w:color w:val="222222"/>
          <w:sz w:val="24"/>
        </w:rPr>
        <w:t xml:space="preserve"> 10 </w:t>
      </w:r>
      <w:r>
        <w:rPr>
          <w:rFonts w:ascii="SimSun" w:hAnsi="SimSun"/>
          <w:color w:val="222222"/>
          <w:sz w:val="24"/>
        </w:rPr>
        <w:t>人</w:t>
      </w:r>
      <w:r>
        <w:rPr>
          <w:rFonts w:ascii="SimSun" w:hAnsi="SimSun"/>
          <w:color w:val="222222"/>
          <w:sz w:val="24"/>
        </w:rPr>
        <w:t>/</w:t>
      </w:r>
      <w:r>
        <w:rPr>
          <w:rFonts w:ascii="SimSun" w:hAnsi="SimSun"/>
          <w:color w:val="222222"/>
          <w:sz w:val="24"/>
        </w:rPr>
        <w:t>桌分桌，共</w:t>
      </w:r>
      <w:r>
        <w:rPr>
          <w:rFonts w:ascii="SimSun" w:hAnsi="SimSun"/>
          <w:color w:val="222222"/>
          <w:sz w:val="24"/>
        </w:rPr>
        <w:t xml:space="preserve"> 10 </w:t>
      </w:r>
      <w:r>
        <w:rPr>
          <w:rFonts w:ascii="SimSun" w:hAnsi="SimSun"/>
          <w:color w:val="222222"/>
          <w:sz w:val="24"/>
        </w:rPr>
        <w:t>桌。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A63A2B" w:val="clear" w:color="auto"/>
            <w:tcBorders>
              <w:top w:val="single" w:sz="6" w:space="0" w:color="A63A2B"/>
              <w:bottom w:val="single" w:sz="6" w:space="0" w:color="A63A2B"/>
              <w:left w:val="single" w:sz="6" w:space="0" w:color="A63A2B"/>
              <w:right w:val="single" w:sz="6" w:space="0" w:color="A63A2B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2880"/>
            <w:shd w:fill="A63A2B" w:val="clear" w:color="auto"/>
            <w:tcBorders>
              <w:top w:val="single" w:sz="6" w:space="0" w:color="A63A2B"/>
              <w:bottom w:val="single" w:sz="6" w:space="0" w:color="A63A2B"/>
              <w:left w:val="single" w:sz="6" w:space="0" w:color="A63A2B"/>
              <w:right w:val="single" w:sz="6" w:space="0" w:color="A63A2B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color w:val="FFFFFF"/>
                <w:sz w:val="22"/>
              </w:rPr>
              <w:t>环节</w:t>
            </w:r>
          </w:p>
        </w:tc>
        <w:tc>
          <w:tcPr>
            <w:tcW w:type="dxa" w:w="2880"/>
            <w:shd w:fill="A63A2B" w:val="clear" w:color="auto"/>
            <w:tcBorders>
              <w:top w:val="single" w:sz="6" w:space="0" w:color="A63A2B"/>
              <w:bottom w:val="single" w:sz="6" w:space="0" w:color="A63A2B"/>
              <w:left w:val="single" w:sz="6" w:space="0" w:color="A63A2B"/>
              <w:right w:val="single" w:sz="6" w:space="0" w:color="A63A2B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color w:val="FFFFFF"/>
                <w:sz w:val="22"/>
              </w:rPr>
              <w:t>内容要点</w:t>
            </w:r>
          </w:p>
        </w:tc>
      </w:tr>
      <w:tr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17:00–17:15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签到入场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按部门抽签分组就座，发放号码牌</w:t>
            </w:r>
          </w:p>
        </w:tc>
      </w:tr>
      <w:tr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17:15–17:30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开场致辞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领导致辞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+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>规则宣讲</w:t>
            </w:r>
          </w:p>
        </w:tc>
      </w:tr>
      <w:tr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17:30–18:20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博饼环节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分桌掷骰，产生各桌状元及各等级奖品</w:t>
            </w:r>
          </w:p>
        </w:tc>
      </w:tr>
      <w:tr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18:20–18:50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王中王争夺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各桌状元上台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PK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>，决出全场「王中王」</w:t>
            </w:r>
          </w:p>
        </w:tc>
      </w:tr>
      <w:tr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18:50–19:10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颁奖合影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颁发奖品，集体合影</w:t>
            </w:r>
          </w:p>
        </w:tc>
      </w:tr>
      <w:tr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19:10–19:30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收尾散场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整理物资，有序离场</w:t>
            </w:r>
          </w:p>
        </w:tc>
      </w:tr>
    </w:tbl>
    <w:p>
      <w:r/>
    </w:p>
    <w:p>
      <w:pPr>
        <w:pStyle w:val="Heading2"/>
      </w:pPr>
      <w:r>
        <w:rPr>
          <w:rFonts w:ascii="SimHei" w:hAnsi="SimHei"/>
          <w:color w:val="A63A2B"/>
          <w:sz w:val="28"/>
        </w:rPr>
        <w:t>三、节目类型建议</w:t>
      </w:r>
      <w:r/>
    </w:p>
    <w:p>
      <w:pPr>
        <w:pStyle w:val="ListBullet"/>
        <w:spacing w:line="384" w:lineRule="auto" w:before="40" w:after="40"/>
      </w:pPr>
      <w:r>
        <w:rPr>
          <w:rFonts w:ascii="SimSun" w:hAnsi="SimSun"/>
          <w:color w:val="222222"/>
          <w:sz w:val="24"/>
        </w:rPr>
        <w:t>主线节目：闽南传统博饼（六骰定档），全员参与、气氛最热。</w:t>
      </w:r>
    </w:p>
    <w:p>
      <w:pPr>
        <w:pStyle w:val="ListBullet"/>
        <w:spacing w:line="384" w:lineRule="auto" w:before="40" w:after="40"/>
      </w:pPr>
      <w:r>
        <w:rPr>
          <w:rFonts w:ascii="SimSun" w:hAnsi="SimSun"/>
          <w:color w:val="222222"/>
          <w:sz w:val="24"/>
        </w:rPr>
        <w:t>暖场互动：开场前播放中秋音乐</w:t>
      </w:r>
      <w:r>
        <w:rPr>
          <w:rFonts w:ascii="SimSun" w:hAnsi="SimSun"/>
          <w:color w:val="222222"/>
          <w:sz w:val="24"/>
        </w:rPr>
        <w:t xml:space="preserve"> / </w:t>
      </w:r>
      <w:r>
        <w:rPr>
          <w:rFonts w:ascii="SimSun" w:hAnsi="SimSun"/>
          <w:color w:val="222222"/>
          <w:sz w:val="24"/>
        </w:rPr>
        <w:t>短视频，主持人引导预热。</w:t>
      </w:r>
    </w:p>
    <w:p>
      <w:pPr>
        <w:pStyle w:val="ListBullet"/>
        <w:spacing w:line="384" w:lineRule="auto" w:before="40" w:after="40"/>
      </w:pPr>
      <w:r>
        <w:rPr>
          <w:rFonts w:ascii="SimSun" w:hAnsi="SimSun"/>
          <w:color w:val="222222"/>
          <w:sz w:val="24"/>
        </w:rPr>
        <w:t>轻量穿插：领导致辞、现场抽奖、才艺展示（</w:t>
      </w:r>
      <w:r>
        <w:rPr>
          <w:rFonts w:ascii="SimSun" w:hAnsi="SimSun"/>
          <w:color w:val="222222"/>
          <w:sz w:val="24"/>
        </w:rPr>
        <w:t xml:space="preserve">1–2 </w:t>
      </w:r>
      <w:r>
        <w:rPr>
          <w:rFonts w:ascii="SimSun" w:hAnsi="SimSun"/>
          <w:color w:val="222222"/>
          <w:sz w:val="24"/>
        </w:rPr>
        <w:t>个，严格控制时长）。</w:t>
      </w:r>
    </w:p>
    <w:p>
      <w:pPr>
        <w:pStyle w:val="ListBullet"/>
        <w:spacing w:line="384" w:lineRule="auto" w:before="40" w:after="40"/>
      </w:pPr>
      <w:r>
        <w:rPr>
          <w:rFonts w:ascii="SimSun" w:hAnsi="SimSun"/>
          <w:color w:val="222222"/>
          <w:sz w:val="24"/>
        </w:rPr>
        <w:t>节奏建议：穿插环节总数不超过</w:t>
      </w:r>
      <w:r>
        <w:rPr>
          <w:rFonts w:ascii="SimSun" w:hAnsi="SimSun"/>
          <w:color w:val="222222"/>
          <w:sz w:val="24"/>
        </w:rPr>
        <w:t xml:space="preserve"> 3 </w:t>
      </w:r>
      <w:r>
        <w:rPr>
          <w:rFonts w:ascii="SimSun" w:hAnsi="SimSun"/>
          <w:color w:val="222222"/>
          <w:sz w:val="24"/>
        </w:rPr>
        <w:t>个，避免喧宾夺主。</w:t>
      </w:r>
      <w:r/>
    </w:p>
    <w:p>
      <w:pPr>
        <w:pStyle w:val="Heading2"/>
      </w:pPr>
      <w:r>
        <w:rPr>
          <w:rFonts w:ascii="SimHei" w:hAnsi="SimHei"/>
          <w:color w:val="A63A2B"/>
          <w:sz w:val="28"/>
        </w:rPr>
        <w:t>四、预算构成清单</w:t>
      </w:r>
      <w:r/>
    </w:p>
    <w:p>
      <w:pPr>
        <w:spacing w:line="384" w:lineRule="auto"/>
      </w:pPr>
      <w:r>
        <w:rPr>
          <w:rFonts w:ascii="SimSun" w:hAnsi="SimSun"/>
          <w:color w:val="222222"/>
          <w:sz w:val="24"/>
        </w:rPr>
        <w:t>按</w:t>
      </w:r>
      <w:r>
        <w:rPr>
          <w:rFonts w:ascii="SimSun" w:hAnsi="SimSun"/>
          <w:color w:val="222222"/>
          <w:sz w:val="24"/>
        </w:rPr>
        <w:t xml:space="preserve"> 10 </w:t>
      </w:r>
      <w:r>
        <w:rPr>
          <w:rFonts w:ascii="SimSun" w:hAnsi="SimSun"/>
          <w:color w:val="222222"/>
          <w:sz w:val="24"/>
        </w:rPr>
        <w:t>桌（每桌约</w:t>
      </w:r>
      <w:r>
        <w:rPr>
          <w:rFonts w:ascii="SimSun" w:hAnsi="SimSun"/>
          <w:color w:val="222222"/>
          <w:sz w:val="24"/>
        </w:rPr>
        <w:t xml:space="preserve"> 10 </w:t>
      </w:r>
      <w:r>
        <w:rPr>
          <w:rFonts w:ascii="SimSun" w:hAnsi="SimSun"/>
          <w:color w:val="222222"/>
          <w:sz w:val="24"/>
        </w:rPr>
        <w:t>人）估算，奖品按传统博饼六档奖级</w:t>
      </w:r>
      <w:r>
        <w:rPr>
          <w:rFonts w:ascii="SimSun" w:hAnsi="SimSun"/>
          <w:color w:val="222222"/>
          <w:sz w:val="24"/>
        </w:rPr>
        <w:t xml:space="preserve"> + </w:t>
      </w:r>
      <w:r>
        <w:rPr>
          <w:rFonts w:ascii="SimSun" w:hAnsi="SimSun"/>
          <w:color w:val="222222"/>
          <w:sz w:val="24"/>
        </w:rPr>
        <w:t>王中王配置；其余为参考区间。</w:t>
      </w:r>
      <w:r/>
    </w:p>
    <w:p>
      <w:pPr>
        <w:spacing w:line="384" w:lineRule="auto"/>
      </w:pPr>
      <w:r>
        <w:rPr>
          <w:rFonts w:ascii="SimSun" w:hAnsi="SimSun"/>
          <w:color w:val="222222"/>
          <w:sz w:val="24"/>
        </w:rPr>
        <w:t xml:space="preserve">1. </w:t>
      </w:r>
      <w:r>
        <w:rPr>
          <w:rFonts w:ascii="SimSun" w:hAnsi="SimSun"/>
          <w:color w:val="222222"/>
          <w:sz w:val="24"/>
        </w:rPr>
        <w:t>奖品采购（</w:t>
      </w:r>
      <w:r>
        <w:rPr>
          <w:rFonts w:ascii="SimSun" w:hAnsi="SimSun"/>
          <w:color w:val="222222"/>
          <w:sz w:val="24"/>
        </w:rPr>
        <w:t xml:space="preserve">10 </w:t>
      </w:r>
      <w:r>
        <w:rPr>
          <w:rFonts w:ascii="SimSun" w:hAnsi="SimSun"/>
          <w:color w:val="222222"/>
          <w:sz w:val="24"/>
        </w:rPr>
        <w:t>桌标准，全场约</w:t>
      </w:r>
      <w:r>
        <w:rPr>
          <w:rFonts w:ascii="SimSun" w:hAnsi="SimSun"/>
          <w:color w:val="222222"/>
          <w:sz w:val="24"/>
        </w:rPr>
        <w:t xml:space="preserve"> 100 </w:t>
      </w:r>
      <w:r>
        <w:rPr>
          <w:rFonts w:ascii="SimSun" w:hAnsi="SimSun"/>
          <w:color w:val="222222"/>
          <w:sz w:val="24"/>
        </w:rPr>
        <w:t>人）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A63A2B" w:val="clear" w:color="auto"/>
            <w:tcBorders>
              <w:top w:val="single" w:sz="6" w:space="0" w:color="A63A2B"/>
              <w:bottom w:val="single" w:sz="6" w:space="0" w:color="A63A2B"/>
              <w:left w:val="single" w:sz="6" w:space="0" w:color="A63A2B"/>
              <w:right w:val="single" w:sz="6" w:space="0" w:color="A63A2B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color w:val="FFFFFF"/>
                <w:sz w:val="22"/>
              </w:rPr>
              <w:t>奖级</w:t>
            </w:r>
          </w:p>
        </w:tc>
        <w:tc>
          <w:tcPr>
            <w:tcW w:type="dxa" w:w="1234"/>
            <w:shd w:fill="A63A2B" w:val="clear" w:color="auto"/>
            <w:tcBorders>
              <w:top w:val="single" w:sz="6" w:space="0" w:color="A63A2B"/>
              <w:bottom w:val="single" w:sz="6" w:space="0" w:color="A63A2B"/>
              <w:left w:val="single" w:sz="6" w:space="0" w:color="A63A2B"/>
              <w:right w:val="single" w:sz="6" w:space="0" w:color="A63A2B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color w:val="FFFFFF"/>
                <w:sz w:val="22"/>
              </w:rPr>
              <w:t>判定规则</w:t>
            </w:r>
          </w:p>
        </w:tc>
        <w:tc>
          <w:tcPr>
            <w:tcW w:type="dxa" w:w="1234"/>
            <w:shd w:fill="A63A2B" w:val="clear" w:color="auto"/>
            <w:tcBorders>
              <w:top w:val="single" w:sz="6" w:space="0" w:color="A63A2B"/>
              <w:bottom w:val="single" w:sz="6" w:space="0" w:color="A63A2B"/>
              <w:left w:val="single" w:sz="6" w:space="0" w:color="A63A2B"/>
              <w:right w:val="single" w:sz="6" w:space="0" w:color="A63A2B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color w:val="FFFFFF"/>
                <w:sz w:val="22"/>
              </w:rPr>
              <w:t>每桌份数</w:t>
            </w:r>
          </w:p>
        </w:tc>
        <w:tc>
          <w:tcPr>
            <w:tcW w:type="dxa" w:w="1234"/>
            <w:shd w:fill="A63A2B" w:val="clear" w:color="auto"/>
            <w:tcBorders>
              <w:top w:val="single" w:sz="6" w:space="0" w:color="A63A2B"/>
              <w:bottom w:val="single" w:sz="6" w:space="0" w:color="A63A2B"/>
              <w:left w:val="single" w:sz="6" w:space="0" w:color="A63A2B"/>
              <w:right w:val="single" w:sz="6" w:space="0" w:color="A63A2B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color w:val="FFFFFF"/>
                <w:sz w:val="22"/>
              </w:rPr>
              <w:t>桌数</w:t>
            </w:r>
          </w:p>
        </w:tc>
        <w:tc>
          <w:tcPr>
            <w:tcW w:type="dxa" w:w="1234"/>
            <w:shd w:fill="A63A2B" w:val="clear" w:color="auto"/>
            <w:tcBorders>
              <w:top w:val="single" w:sz="6" w:space="0" w:color="A63A2B"/>
              <w:bottom w:val="single" w:sz="6" w:space="0" w:color="A63A2B"/>
              <w:left w:val="single" w:sz="6" w:space="0" w:color="A63A2B"/>
              <w:right w:val="single" w:sz="6" w:space="0" w:color="A63A2B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color w:val="FFFFFF"/>
                <w:sz w:val="22"/>
              </w:rPr>
              <w:t>总份数</w:t>
            </w:r>
          </w:p>
        </w:tc>
        <w:tc>
          <w:tcPr>
            <w:tcW w:type="dxa" w:w="1234"/>
            <w:shd w:fill="A63A2B" w:val="clear" w:color="auto"/>
            <w:tcBorders>
              <w:top w:val="single" w:sz="6" w:space="0" w:color="A63A2B"/>
              <w:bottom w:val="single" w:sz="6" w:space="0" w:color="A63A2B"/>
              <w:left w:val="single" w:sz="6" w:space="0" w:color="A63A2B"/>
              <w:right w:val="single" w:sz="6" w:space="0" w:color="A63A2B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color w:val="FFFFFF"/>
                <w:sz w:val="22"/>
              </w:rPr>
              <w:t>单价参考</w:t>
            </w:r>
          </w:p>
        </w:tc>
        <w:tc>
          <w:tcPr>
            <w:tcW w:type="dxa" w:w="1234"/>
            <w:shd w:fill="A63A2B" w:val="clear" w:color="auto"/>
            <w:tcBorders>
              <w:top w:val="single" w:sz="6" w:space="0" w:color="A63A2B"/>
              <w:bottom w:val="single" w:sz="6" w:space="0" w:color="A63A2B"/>
              <w:left w:val="single" w:sz="6" w:space="0" w:color="A63A2B"/>
              <w:right w:val="single" w:sz="6" w:space="0" w:color="A63A2B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color w:val="FFFFFF"/>
                <w:sz w:val="22"/>
              </w:rPr>
              <w:t>小计</w:t>
            </w:r>
          </w:p>
        </w:tc>
      </w:tr>
      <w:tr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一秀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掷出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1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>个四点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32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10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320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¥8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¥2,560</w:t>
            </w:r>
          </w:p>
        </w:tc>
      </w:tr>
      <w:tr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二举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掷出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2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>个四点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16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10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160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¥15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¥2,400</w:t>
            </w:r>
          </w:p>
        </w:tc>
      </w:tr>
      <w:tr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四进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4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>个相同非四点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8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10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80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¥25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¥2,000</w:t>
            </w:r>
          </w:p>
        </w:tc>
      </w:tr>
      <w:tr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三红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掷出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3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>个四点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4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10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40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¥50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¥2,000</w:t>
            </w:r>
          </w:p>
        </w:tc>
      </w:tr>
      <w:tr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对堂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点数顺子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1–6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2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10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20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¥100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¥2,000</w:t>
            </w:r>
          </w:p>
        </w:tc>
      </w:tr>
      <w:tr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状元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4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>个四点及以上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1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10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10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¥300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¥3,000</w:t>
            </w:r>
          </w:p>
        </w:tc>
      </w:tr>
      <w:tr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王中王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各桌状元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PK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>胜出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—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全场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1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>名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1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¥1,500</w:t>
            </w:r>
          </w:p>
        </w:tc>
        <w:tc>
          <w:tcPr>
            <w:tcW w:type="dxa" w:w="1234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¥1,500</w:t>
            </w:r>
          </w:p>
        </w:tc>
      </w:tr>
      <w:tr>
        <w:tc>
          <w:tcPr>
            <w:tcW w:type="dxa" w:w="7404"/>
            <w:gridSpan w:val="6"/>
            <w:shd w:fill="F8EFE9" w:val="clear" w:color="auto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Hei" w:hAnsi="SimHei" w:eastAsia="SimHei" w:hint="eastAsia"/>
                <w:color w:val="A63A2B"/>
                <w:sz w:val="22"/>
              </w:rPr>
              <w:t>奖品采购小计</w:t>
            </w:r>
          </w:p>
        </w:tc>
        <w:tc>
          <w:tcPr>
            <w:tcW w:type="dxa" w:w="1234"/>
            <w:shd w:fill="F8EFE9"/>
            <w:tcBorders>
              <w:top w:val="single" w:sz="6.0" w:color="C9C9C9"/>
              <w:right w:val="single" w:sz="6.0" w:color="C9C9C9"/>
              <w:bottom w:val="single" w:sz="6.0" w:color="C9C9C9"/>
              <w:left w:val="single" w:sz="6.0" w:color="C9C9C9"/>
            </w:tcBorders>
          </w:tcPr>
          <w:p>
            <w:r>
              <w:rPr>
                <w:color w:val="A63A2B"/>
              </w:rPr>
              <w:t>¥15,460</w:t>
            </w:r>
          </w:p>
        </w:tc>
      </w:tr>
    </w:tbl>
    <w:p>
      <w:r/>
    </w:p>
    <w:p>
      <w:pPr>
        <w:spacing w:line="384" w:lineRule="auto"/>
      </w:pPr>
      <w:r>
        <w:rPr>
          <w:rFonts w:ascii="SimSun" w:hAnsi="SimSun"/>
          <w:color w:val="222222"/>
          <w:sz w:val="24"/>
        </w:rPr>
        <w:t xml:space="preserve">2. </w:t>
      </w:r>
      <w:r>
        <w:rPr>
          <w:rFonts w:ascii="SimSun" w:hAnsi="SimSun"/>
          <w:color w:val="222222"/>
          <w:sz w:val="24"/>
        </w:rPr>
        <w:t>其他费用（场地、餐饮、物料与服务）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A63A2B" w:val="clear" w:color="auto"/>
            <w:tcBorders>
              <w:top w:val="single" w:sz="6" w:space="0" w:color="A63A2B"/>
              <w:bottom w:val="single" w:sz="6" w:space="0" w:color="A63A2B"/>
              <w:left w:val="single" w:sz="6" w:space="0" w:color="A63A2B"/>
              <w:right w:val="single" w:sz="6" w:space="0" w:color="A63A2B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2880"/>
            <w:shd w:fill="A63A2B" w:val="clear" w:color="auto"/>
            <w:tcBorders>
              <w:top w:val="single" w:sz="6" w:space="0" w:color="A63A2B"/>
              <w:bottom w:val="single" w:sz="6" w:space="0" w:color="A63A2B"/>
              <w:left w:val="single" w:sz="6" w:space="0" w:color="A63A2B"/>
              <w:right w:val="single" w:sz="6" w:space="0" w:color="A63A2B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color w:val="FFFFFF"/>
                <w:sz w:val="22"/>
              </w:rPr>
              <w:t>明细说明</w:t>
            </w:r>
          </w:p>
        </w:tc>
        <w:tc>
          <w:tcPr>
            <w:tcW w:type="dxa" w:w="2880"/>
            <w:shd w:fill="A63A2B" w:val="clear" w:color="auto"/>
            <w:tcBorders>
              <w:top w:val="single" w:sz="6" w:space="0" w:color="A63A2B"/>
              <w:bottom w:val="single" w:sz="6" w:space="0" w:color="A63A2B"/>
              <w:left w:val="single" w:sz="6" w:space="0" w:color="A63A2B"/>
              <w:right w:val="single" w:sz="6" w:space="0" w:color="A63A2B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SimHei" w:hAnsi="SimHei" w:eastAsia="SimHei" w:hint="eastAsia"/>
                <w:b/>
                <w:color w:val="FFFFFF"/>
                <w:sz w:val="22"/>
              </w:rPr>
              <w:t>参考金额</w:t>
            </w:r>
          </w:p>
        </w:tc>
      </w:tr>
      <w:tr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场地布置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横幅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1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>条、海报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5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>张、气球灯笼装饰、桌牌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10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>个、签到物料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¥2,000–3,000</w:t>
            </w:r>
          </w:p>
        </w:tc>
      </w:tr>
      <w:tr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餐饮茶歇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茶点或自助餐，按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¥60–80/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>人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× 100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>人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¥6,000–8,000</w:t>
            </w:r>
          </w:p>
        </w:tc>
      </w:tr>
      <w:tr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活动物料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骰子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10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>副、大碗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10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>个、号码牌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100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>张、计分卡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¥1,000–1,500</w:t>
            </w:r>
          </w:p>
        </w:tc>
      </w:tr>
      <w:tr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主持司仪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内部同事兼任则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0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>成本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¥0–2,000</w:t>
            </w:r>
          </w:p>
        </w:tc>
      </w:tr>
      <w:tr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音响摄影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音响话筒设备、现场摄影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>/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 xml:space="preserve"> </w:t>
            </w:r>
            <w:r>
              <w:rPr>
                <w:rFonts w:ascii="SimSun" w:hAnsi="SimSun" w:eastAsia="SimSun" w:hint="eastAsia"/>
                <w:color w:val="222222"/>
                <w:sz w:val="22"/>
              </w:rPr>
              <w:t>摄像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¥1,000–2,000</w:t>
            </w:r>
          </w:p>
        </w:tc>
      </w:tr>
      <w:tr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备用金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应急采购与临时补充</w:t>
            </w:r>
          </w:p>
        </w:tc>
        <w:tc>
          <w:tcPr>
            <w:tcW w:type="dxa" w:w="2880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Sun" w:hAnsi="SimSun" w:eastAsia="SimSun" w:hint="eastAsia"/>
                <w:color w:val="222222"/>
                <w:sz w:val="22"/>
              </w:rPr>
              <w:t>¥2,000</w:t>
            </w:r>
          </w:p>
        </w:tc>
      </w:tr>
      <w:tr>
        <w:tc>
          <w:tcPr>
            <w:tcW w:type="dxa" w:w="5760"/>
            <w:gridSpan w:val="2"/>
            <w:shd w:fill="F8EFE9" w:val="clear" w:color="auto"/>
            <w:tcBorders>
              <w:top w:val="single" w:sz="6" w:space="0" w:color="C9C9C9"/>
              <w:bottom w:val="single" w:sz="6" w:space="0" w:color="C9C9C9"/>
              <w:left w:val="single" w:sz="6" w:space="0" w:color="C9C9C9"/>
              <w:right w:val="single" w:sz="6" w:space="0" w:color="C9C9C9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55" w:after="55"/>
            </w:pPr>
            <w:r>
              <w:rPr>
                <w:rFonts w:ascii="SimHei" w:hAnsi="SimHei" w:eastAsia="SimHei" w:hint="eastAsia"/>
                <w:color w:val="A63A2B"/>
                <w:sz w:val="22"/>
              </w:rPr>
              <w:t>其他费用小计</w:t>
            </w:r>
          </w:p>
        </w:tc>
        <w:tc>
          <w:tcPr>
            <w:tcW w:type="dxa" w:w="2880"/>
            <w:shd w:fill="F8EFE9"/>
            <w:tcBorders>
              <w:top w:val="single" w:sz="6.0" w:color="C9C9C9"/>
              <w:right w:val="single" w:sz="6.0" w:color="C9C9C9"/>
              <w:bottom w:val="single" w:sz="6.0" w:color="C9C9C9"/>
              <w:left w:val="single" w:sz="6.0" w:color="C9C9C9"/>
            </w:tcBorders>
          </w:tcPr>
          <w:p>
            <w:r>
              <w:rPr>
                <w:color w:val="A63A2B"/>
              </w:rPr>
              <w:t>¥12,000–18,500</w:t>
            </w:r>
          </w:p>
        </w:tc>
      </w:tr>
    </w:tbl>
    <w:p>
      <w:r/>
    </w:p>
    <w:p>
      <w:pPr>
        <w:spacing w:line="384" w:lineRule="auto"/>
      </w:pPr>
      <w:r>
        <w:rPr>
          <w:rFonts w:ascii="SimSun" w:hAnsi="SimSun"/>
          <w:color w:val="222222"/>
          <w:sz w:val="24"/>
        </w:rPr>
        <w:t xml:space="preserve">3. </w:t>
      </w:r>
      <w:r>
        <w:rPr>
          <w:rFonts w:ascii="SimSun" w:hAnsi="SimSun"/>
          <w:color w:val="222222"/>
          <w:sz w:val="24"/>
        </w:rPr>
        <w:t>预算合计（预估）：奖品采购约</w:t>
      </w:r>
      <w:r>
        <w:rPr>
          <w:rFonts w:ascii="SimSun" w:hAnsi="SimSun"/>
          <w:color w:val="222222"/>
          <w:sz w:val="24"/>
        </w:rPr>
        <w:t xml:space="preserve"> ¥15,460</w:t>
      </w:r>
      <w:r>
        <w:rPr>
          <w:rFonts w:ascii="SimSun" w:hAnsi="SimSun"/>
          <w:color w:val="222222"/>
          <w:sz w:val="24"/>
        </w:rPr>
        <w:t>，加其他费用约</w:t>
      </w:r>
      <w:r>
        <w:rPr>
          <w:rFonts w:ascii="SimSun" w:hAnsi="SimSun"/>
          <w:color w:val="222222"/>
          <w:sz w:val="24"/>
        </w:rPr>
        <w:t xml:space="preserve"> ¥12,000–18,500</w:t>
      </w:r>
      <w:r>
        <w:rPr>
          <w:rFonts w:ascii="SimSun" w:hAnsi="SimSun"/>
          <w:color w:val="222222"/>
          <w:sz w:val="24"/>
        </w:rPr>
        <w:t>，合计约</w:t>
      </w:r>
      <w:r>
        <w:rPr>
          <w:rFonts w:ascii="SimSun" w:hAnsi="SimSun"/>
          <w:color w:val="222222"/>
          <w:sz w:val="24"/>
        </w:rPr>
        <w:t xml:space="preserve"> </w:t>
      </w:r>
      <w:r>
        <w:rPr>
          <w:rFonts w:ascii="SimSun" w:hAnsi="SimSun"/>
          <w:b/>
          <w:color w:val="222222"/>
          <w:sz w:val="24"/>
        </w:rPr>
        <w:t>¥27,460–33,960</w:t>
      </w:r>
      <w:r>
        <w:rPr>
          <w:rFonts w:ascii="SimSun" w:hAnsi="SimSun"/>
          <w:color w:val="222222"/>
          <w:sz w:val="24"/>
        </w:rPr>
        <w:t>，以实际报价为准。</w:t>
      </w:r>
      <w:r/>
    </w:p>
    <w:p>
      <w:pPr>
        <w:pStyle w:val="Heading2"/>
      </w:pPr>
      <w:r>
        <w:rPr>
          <w:rFonts w:ascii="SimHei" w:hAnsi="SimHei"/>
          <w:color w:val="A63A2B"/>
          <w:sz w:val="28"/>
        </w:rPr>
        <w:t>五、注意事项</w:t>
      </w:r>
      <w:r/>
    </w:p>
    <w:p>
      <w:pPr>
        <w:pStyle w:val="ListNumber"/>
        <w:numPr>
          <w:ilvl w:val="0"/>
          <w:numId w:val="11"/>
        </w:numPr>
        <w:spacing w:line="384" w:lineRule="auto" w:before="40" w:after="40"/>
      </w:pPr>
      <w:r>
        <w:rPr>
          <w:rFonts w:ascii="SimSun" w:hAnsi="SimSun"/>
          <w:color w:val="222222"/>
          <w:sz w:val="24"/>
        </w:rPr>
        <w:t>规则先行：奖级与对应点数提前公示，每桌设桌长</w:t>
      </w:r>
      <w:r>
        <w:rPr>
          <w:rFonts w:ascii="SimSun" w:hAnsi="SimSun"/>
          <w:color w:val="222222"/>
          <w:sz w:val="24"/>
        </w:rPr>
        <w:t xml:space="preserve"> / </w:t>
      </w:r>
      <w:r>
        <w:rPr>
          <w:rFonts w:ascii="SimSun" w:hAnsi="SimSun"/>
          <w:color w:val="222222"/>
          <w:sz w:val="24"/>
        </w:rPr>
        <w:t>裁判统一判奖口径。</w:t>
      </w:r>
    </w:p>
    <w:p>
      <w:pPr>
        <w:pStyle w:val="ListNumber"/>
        <w:numPr>
          <w:ilvl w:val="0"/>
          <w:numId w:val="11"/>
        </w:numPr>
        <w:spacing w:line="384" w:lineRule="auto" w:before="40" w:after="40"/>
      </w:pPr>
      <w:r>
        <w:rPr>
          <w:rFonts w:ascii="SimSun" w:hAnsi="SimSun"/>
          <w:color w:val="222222"/>
          <w:sz w:val="24"/>
        </w:rPr>
        <w:t>分组均衡：按部门抽签混编，避免强弱失衡。</w:t>
      </w:r>
    </w:p>
    <w:p>
      <w:pPr>
        <w:pStyle w:val="ListNumber"/>
        <w:numPr>
          <w:ilvl w:val="0"/>
          <w:numId w:val="11"/>
        </w:numPr>
        <w:spacing w:line="384" w:lineRule="auto" w:before="40" w:after="40"/>
      </w:pPr>
      <w:r>
        <w:rPr>
          <w:rFonts w:ascii="SimSun" w:hAnsi="SimSun"/>
          <w:color w:val="222222"/>
          <w:sz w:val="24"/>
        </w:rPr>
        <w:t>安全第一：场地动线、消防通道留足，散场有序引导。</w:t>
      </w:r>
    </w:p>
    <w:p>
      <w:pPr>
        <w:pStyle w:val="ListNumber"/>
        <w:numPr>
          <w:ilvl w:val="0"/>
          <w:numId w:val="11"/>
        </w:numPr>
        <w:spacing w:line="384" w:lineRule="auto" w:before="40" w:after="40"/>
      </w:pPr>
      <w:r>
        <w:rPr>
          <w:rFonts w:ascii="SimSun" w:hAnsi="SimSun"/>
          <w:color w:val="222222"/>
          <w:sz w:val="24"/>
        </w:rPr>
        <w:t>预算审批：奖品与场地采购提前报批，留足采购周期。</w:t>
      </w:r>
    </w:p>
    <w:p>
      <w:pPr>
        <w:pStyle w:val="ListNumber"/>
        <w:numPr>
          <w:ilvl w:val="0"/>
          <w:numId w:val="11"/>
        </w:numPr>
        <w:spacing w:line="384" w:lineRule="auto" w:before="40" w:after="40"/>
      </w:pPr>
      <w:r>
        <w:rPr>
          <w:rFonts w:ascii="SimSun" w:hAnsi="SimSun"/>
          <w:color w:val="222222"/>
          <w:sz w:val="24"/>
        </w:rPr>
        <w:t>备选方案：预留室内场地或改期预案，应对突发状况。</w:t>
      </w:r>
    </w:p>
    <w:p>
      <w:pPr>
        <w:pStyle w:val="ListNumber"/>
        <w:numPr>
          <w:ilvl w:val="0"/>
          <w:numId w:val="11"/>
        </w:numPr>
        <w:spacing w:line="384" w:lineRule="auto" w:before="40" w:after="40"/>
      </w:pPr>
      <w:r>
        <w:rPr>
          <w:rFonts w:ascii="SimSun" w:hAnsi="SimSun"/>
          <w:color w:val="222222"/>
          <w:sz w:val="24"/>
        </w:rPr>
        <w:t>宣传留痕：安排专人拍照，活动后发内部推文</w:t>
      </w:r>
      <w:r>
        <w:rPr>
          <w:rFonts w:ascii="SimSun" w:hAnsi="SimSun"/>
          <w:color w:val="222222"/>
          <w:sz w:val="24"/>
        </w:rPr>
        <w:t xml:space="preserve"> / </w:t>
      </w:r>
      <w:r>
        <w:rPr>
          <w:rFonts w:ascii="SimSun" w:hAnsi="SimSun"/>
          <w:color w:val="222222"/>
          <w:sz w:val="24"/>
        </w:rPr>
        <w:t>战报。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SimSun" w:hAnsi="SimSun" w:eastAsia="SimSu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SimHei" w:hAnsi="SimHei" w:eastAsia="SimHei"/>
      <w:b/>
      <w:bCs/>
      <w:color w:val="A63A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SimHei" w:hAnsi="SimHei" w:eastAsia="SimHei"/>
      <w:b/>
      <w:bCs/>
      <w:color w:val="A63A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