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/>
          <w:color w:val="A63A2B"/>
          <w:sz w:val="40"/>
        </w:rPr>
        <w:t>公司中秋博饼活动策划（框架）</w:t>
      </w:r>
      <w:r/>
    </w:p>
    <w:p>
      <w:pPr>
        <w:spacing w:line="384" w:lineRule="auto" w:before="0" w:after="320"/>
        <w:jc w:val="center"/>
      </w:pPr>
      <w:r>
        <w:rPr>
          <w:rFonts w:ascii="SimSun" w:hAnsi="SimSun"/>
          <w:color w:val="888888"/>
          <w:sz w:val="21"/>
        </w:rPr>
        <w:t>参与规模：约</w:t>
      </w:r>
      <w:r>
        <w:rPr>
          <w:rFonts w:ascii="SimSun" w:hAnsi="SimSun"/>
          <w:color w:val="888888"/>
          <w:sz w:val="21"/>
        </w:rPr>
        <w:t xml:space="preserve"> 100 </w:t>
      </w:r>
      <w:r>
        <w:rPr>
          <w:rFonts w:ascii="SimSun" w:hAnsi="SimSun"/>
          <w:color w:val="888888"/>
          <w:sz w:val="21"/>
        </w:rPr>
        <w:t>人</w:t>
      </w:r>
      <w:r>
        <w:rPr>
          <w:rFonts w:ascii="SimSun" w:hAnsi="SimSun"/>
          <w:color w:val="888888"/>
          <w:sz w:val="21"/>
        </w:rPr>
        <w:t xml:space="preserve"> </w:t>
      </w:r>
      <w:r>
        <w:rPr>
          <w:rFonts w:ascii="SimSun" w:hAnsi="SimSun"/>
          <w:color w:val="888888"/>
          <w:sz w:val="21"/>
        </w:rPr>
        <w:t>｜</w:t>
      </w:r>
      <w:r>
        <w:rPr>
          <w:rFonts w:ascii="SimSun" w:hAnsi="SimSun"/>
          <w:color w:val="888888"/>
          <w:sz w:val="21"/>
        </w:rPr>
        <w:t xml:space="preserve"> </w:t>
      </w:r>
      <w:r>
        <w:rPr>
          <w:rFonts w:ascii="SimSun" w:hAnsi="SimSun"/>
          <w:color w:val="888888"/>
          <w:sz w:val="21"/>
        </w:rPr>
        <w:t>分</w:t>
      </w:r>
      <w:r>
        <w:rPr>
          <w:rFonts w:ascii="SimSun" w:hAnsi="SimSun"/>
          <w:color w:val="888888"/>
          <w:sz w:val="21"/>
        </w:rPr>
        <w:t xml:space="preserve"> 10 </w:t>
      </w:r>
      <w:r>
        <w:rPr>
          <w:rFonts w:ascii="SimSun" w:hAnsi="SimSun"/>
          <w:color w:val="888888"/>
          <w:sz w:val="21"/>
        </w:rPr>
        <w:t>桌</w:t>
      </w:r>
      <w:r>
        <w:rPr>
          <w:rFonts w:ascii="SimSun" w:hAnsi="SimSun"/>
          <w:color w:val="888888"/>
          <w:sz w:val="21"/>
        </w:rPr>
        <w:t xml:space="preserve"> × 10 </w:t>
      </w:r>
      <w:r>
        <w:rPr>
          <w:rFonts w:ascii="SimSun" w:hAnsi="SimSun"/>
          <w:color w:val="888888"/>
          <w:sz w:val="21"/>
        </w:rPr>
        <w:t>人</w:t>
      </w:r>
      <w:r>
        <w:rPr>
          <w:rFonts w:ascii="SimSun" w:hAnsi="SimSun"/>
          <w:color w:val="888888"/>
          <w:sz w:val="21"/>
        </w:rPr>
        <w:t xml:space="preserve"> </w:t>
      </w:r>
      <w:r>
        <w:rPr>
          <w:rFonts w:ascii="SimSun" w:hAnsi="SimSun"/>
          <w:color w:val="888888"/>
          <w:sz w:val="21"/>
        </w:rPr>
        <w:t>｜</w:t>
      </w:r>
      <w:r>
        <w:rPr>
          <w:rFonts w:ascii="SimSun" w:hAnsi="SimSun"/>
          <w:color w:val="888888"/>
          <w:sz w:val="21"/>
        </w:rPr>
        <w:t xml:space="preserve"> </w:t>
      </w:r>
      <w:r>
        <w:rPr>
          <w:rFonts w:ascii="SimSun" w:hAnsi="SimSun"/>
          <w:color w:val="888888"/>
          <w:sz w:val="21"/>
        </w:rPr>
        <w:t>版本：</w:t>
      </w:r>
      <w:r>
        <w:rPr>
          <w:rFonts w:ascii="SimSun" w:hAnsi="SimSun"/>
          <w:color w:val="888888"/>
          <w:sz w:val="21"/>
        </w:rPr>
        <w:t>V1.0</w:t>
      </w:r>
      <w:r>
        <w:rPr>
          <w:rFonts w:ascii="SimSun" w:hAnsi="SimSun"/>
          <w:color w:val="888888"/>
          <w:sz w:val="21"/>
        </w:rPr>
        <w:t>（方向确认稿）</w:t>
      </w:r>
      <w:r/>
    </w:p>
    <w:p>
      <w:pPr>
        <w:pStyle w:val="Heading2"/>
      </w:pPr>
      <w:r>
        <w:rPr>
          <w:rFonts w:ascii="SimHei" w:hAnsi="SimHei"/>
          <w:color w:val="A63A2B"/>
          <w:sz w:val="28"/>
        </w:rPr>
        <w:t>一、活动目标</w:t>
      </w:r>
      <w:r/>
    </w:p>
    <w:p>
      <w:pPr>
        <w:pStyle w:val="ListNumber"/>
        <w:numPr>
          <w:ilvl w:val="0"/>
          <w:numId w:val="10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氛围营造：借中秋民俗营造轻松愉悦的节日氛围，提升员工归属感。</w:t>
      </w:r>
    </w:p>
    <w:p>
      <w:pPr>
        <w:pStyle w:val="ListNumber"/>
        <w:numPr>
          <w:ilvl w:val="0"/>
          <w:numId w:val="10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团队凝聚：分桌混编、协作互动，促进跨部门交流。</w:t>
      </w:r>
    </w:p>
    <w:p>
      <w:pPr>
        <w:pStyle w:val="ListNumber"/>
        <w:numPr>
          <w:ilvl w:val="0"/>
          <w:numId w:val="10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高效可控：以传统博饼为主线，流程简单、成本可控，降低组织压力。</w:t>
      </w:r>
      <w:r/>
    </w:p>
    <w:p>
      <w:pPr>
        <w:pStyle w:val="Heading2"/>
      </w:pPr>
      <w:r>
        <w:rPr>
          <w:rFonts w:ascii="SimHei" w:hAnsi="SimHei"/>
          <w:color w:val="A63A2B"/>
          <w:sz w:val="28"/>
        </w:rPr>
        <w:t>二、流程安排（含时间节点）</w:t>
      </w:r>
      <w:r/>
    </w:p>
    <w:p>
      <w:pPr>
        <w:spacing w:line="384" w:lineRule="auto"/>
      </w:pPr>
      <w:r>
        <w:rPr>
          <w:rFonts w:ascii="SimSun" w:hAnsi="SimSun"/>
          <w:color w:val="222222"/>
          <w:sz w:val="24"/>
        </w:rPr>
        <w:t>建议总时长约</w:t>
      </w:r>
      <w:r>
        <w:rPr>
          <w:rFonts w:ascii="SimSun" w:hAnsi="SimSun"/>
          <w:color w:val="222222"/>
          <w:sz w:val="24"/>
        </w:rPr>
        <w:t xml:space="preserve"> 2 </w:t>
      </w:r>
      <w:r>
        <w:rPr>
          <w:rFonts w:ascii="SimSun" w:hAnsi="SimSun"/>
          <w:color w:val="222222"/>
          <w:sz w:val="24"/>
        </w:rPr>
        <w:t>小时，安排在工作日下午或晚间；按</w:t>
      </w:r>
      <w:r>
        <w:rPr>
          <w:rFonts w:ascii="SimSun" w:hAnsi="SimSun"/>
          <w:color w:val="222222"/>
          <w:sz w:val="24"/>
        </w:rPr>
        <w:t xml:space="preserve"> 10 </w:t>
      </w:r>
      <w:r>
        <w:rPr>
          <w:rFonts w:ascii="SimSun" w:hAnsi="SimSun"/>
          <w:color w:val="222222"/>
          <w:sz w:val="24"/>
        </w:rPr>
        <w:t>人</w:t>
      </w:r>
      <w:r>
        <w:rPr>
          <w:rFonts w:ascii="SimSun" w:hAnsi="SimSun"/>
          <w:color w:val="222222"/>
          <w:sz w:val="24"/>
        </w:rPr>
        <w:t>/</w:t>
      </w:r>
      <w:r>
        <w:rPr>
          <w:rFonts w:ascii="SimSun" w:hAnsi="SimSun"/>
          <w:color w:val="222222"/>
          <w:sz w:val="24"/>
        </w:rPr>
        <w:t>桌分桌，共</w:t>
      </w:r>
      <w:r>
        <w:rPr>
          <w:rFonts w:ascii="SimSun" w:hAnsi="SimSun"/>
          <w:color w:val="222222"/>
          <w:sz w:val="24"/>
        </w:rPr>
        <w:t xml:space="preserve"> 10 </w:t>
      </w:r>
      <w:r>
        <w:rPr>
          <w:rFonts w:ascii="SimSun" w:hAnsi="SimSun"/>
          <w:color w:val="222222"/>
          <w:sz w:val="24"/>
        </w:rPr>
        <w:t>桌。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时间</w:t>
            </w:r>
          </w:p>
        </w:tc>
        <w:tc>
          <w:tcPr>
            <w:tcW w:type="dxa" w:w="288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环节</w:t>
            </w:r>
          </w:p>
        </w:tc>
        <w:tc>
          <w:tcPr>
            <w:tcW w:type="dxa" w:w="288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内容要点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17:00–17:15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签到入场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按部门抽签分组就座，发放号码牌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17:15–17:30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开场致辞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领导致辞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+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规则宣讲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17:30–18:20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博饼环节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分桌掷骰，产生各桌状元及各等级奖品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18:20–18:50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王中王争夺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各桌状元上台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PK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，决出全场「王中王」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18:50–19:10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颁奖合影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颁发奖品，集体合影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19:10–19:30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收尾散场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整理物资，有序离场</w:t>
            </w:r>
          </w:p>
        </w:tc>
      </w:tr>
    </w:tbl>
    <w:p>
      <w:r/>
    </w:p>
    <w:p>
      <w:pPr>
        <w:pStyle w:val="Heading2"/>
      </w:pPr>
      <w:r>
        <w:rPr>
          <w:rFonts w:ascii="SimHei" w:hAnsi="SimHei"/>
          <w:color w:val="A63A2B"/>
          <w:sz w:val="28"/>
        </w:rPr>
        <w:t>三、节目类型建议</w:t>
      </w:r>
      <w:r/>
    </w:p>
    <w:p>
      <w:pPr>
        <w:pStyle w:val="ListBullet"/>
        <w:spacing w:line="384" w:lineRule="auto" w:before="40" w:after="40"/>
      </w:pPr>
      <w:r>
        <w:rPr>
          <w:rFonts w:ascii="SimSun" w:hAnsi="SimSun"/>
          <w:color w:val="222222"/>
          <w:sz w:val="24"/>
        </w:rPr>
        <w:t>主线节目：闽南传统博饼（六骰定档），全员参与、气氛最热。</w:t>
      </w:r>
    </w:p>
    <w:p>
      <w:pPr>
        <w:pStyle w:val="ListBullet"/>
        <w:spacing w:line="384" w:lineRule="auto" w:before="40" w:after="40"/>
      </w:pPr>
      <w:r>
        <w:rPr>
          <w:rFonts w:ascii="SimSun" w:hAnsi="SimSun"/>
          <w:color w:val="222222"/>
          <w:sz w:val="24"/>
        </w:rPr>
        <w:t>暖场互动：开场前播放中秋音乐</w:t>
      </w:r>
      <w:r>
        <w:rPr>
          <w:rFonts w:ascii="SimSun" w:hAnsi="SimSun"/>
          <w:color w:val="222222"/>
          <w:sz w:val="24"/>
        </w:rPr>
        <w:t xml:space="preserve"> / </w:t>
      </w:r>
      <w:r>
        <w:rPr>
          <w:rFonts w:ascii="SimSun" w:hAnsi="SimSun"/>
          <w:color w:val="222222"/>
          <w:sz w:val="24"/>
        </w:rPr>
        <w:t>短视频，主持人引导预热。</w:t>
      </w:r>
    </w:p>
    <w:p>
      <w:pPr>
        <w:pStyle w:val="ListBullet"/>
        <w:spacing w:line="384" w:lineRule="auto" w:before="40" w:after="40"/>
      </w:pPr>
      <w:r>
        <w:rPr>
          <w:rFonts w:ascii="SimSun" w:hAnsi="SimSun"/>
          <w:color w:val="222222"/>
          <w:sz w:val="24"/>
        </w:rPr>
        <w:t>轻量穿插：领导致辞、现场抽奖、才艺展示（</w:t>
      </w:r>
      <w:r>
        <w:rPr>
          <w:rFonts w:ascii="SimSun" w:hAnsi="SimSun"/>
          <w:color w:val="222222"/>
          <w:sz w:val="24"/>
        </w:rPr>
        <w:t xml:space="preserve">1–2 </w:t>
      </w:r>
      <w:r>
        <w:rPr>
          <w:rFonts w:ascii="SimSun" w:hAnsi="SimSun"/>
          <w:color w:val="222222"/>
          <w:sz w:val="24"/>
        </w:rPr>
        <w:t>个，严格控制时长）。</w:t>
      </w:r>
    </w:p>
    <w:p>
      <w:pPr>
        <w:pStyle w:val="ListBullet"/>
        <w:spacing w:line="384" w:lineRule="auto" w:before="40" w:after="40"/>
      </w:pPr>
      <w:r>
        <w:rPr>
          <w:rFonts w:ascii="SimSun" w:hAnsi="SimSun"/>
          <w:color w:val="222222"/>
          <w:sz w:val="24"/>
        </w:rPr>
        <w:t>节奏建议：穿插环节总数不超过</w:t>
      </w:r>
      <w:r>
        <w:rPr>
          <w:rFonts w:ascii="SimSun" w:hAnsi="SimSun"/>
          <w:color w:val="222222"/>
          <w:sz w:val="24"/>
        </w:rPr>
        <w:t xml:space="preserve"> 3 </w:t>
      </w:r>
      <w:r>
        <w:rPr>
          <w:rFonts w:ascii="SimSun" w:hAnsi="SimSun"/>
          <w:color w:val="222222"/>
          <w:sz w:val="24"/>
        </w:rPr>
        <w:t>个，避免喧宾夺主。</w:t>
      </w:r>
      <w:r/>
    </w:p>
    <w:p>
      <w:pPr>
        <w:pStyle w:val="Heading2"/>
      </w:pPr>
      <w:r>
        <w:rPr>
          <w:rFonts w:ascii="SimHei" w:hAnsi="SimHei"/>
          <w:color w:val="A63A2B"/>
          <w:sz w:val="28"/>
        </w:rPr>
        <w:t>四、预算构成清单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项目</w:t>
            </w:r>
          </w:p>
        </w:tc>
        <w:tc>
          <w:tcPr>
            <w:tcW w:type="dxa" w:w="288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288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参考金额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奖品采购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各等级奖品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+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状元、王中王大奖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¥15,000–20,000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场地布置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桌椅、横幅、海报、装饰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¥2,000–3,000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餐饮茶歇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茶点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/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晚餐（视时段）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¥5,000–8,000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活动物料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骰子、大碗、号码牌等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¥1,000–1,500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主持司仪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可内部兼任则省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¥0–2,000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音响摄影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音响设备、现场拍摄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¥1,000–2,000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备用金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应急与补充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¥2,000</w:t>
            </w:r>
          </w:p>
        </w:tc>
      </w:tr>
      <w:tr>
        <w:tc>
          <w:tcPr>
            <w:tcW w:type="dxa" w:w="2880"/>
            <w:shd w:fill="F8EFE9" w:val="clear" w:color="auto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Hei" w:hAnsi="SimHei" w:eastAsia="SimHei" w:hint="eastAsia"/>
                <w:color w:val="A63A2B"/>
                <w:sz w:val="22"/>
              </w:rPr>
              <w:t>合计（预估）</w:t>
            </w:r>
          </w:p>
        </w:tc>
        <w:tc>
          <w:tcPr>
            <w:tcW w:type="dxa" w:w="5760"/>
            <w:gridSpan w:val="2"/>
            <w:shd w:fill="F8EFE9" w:val="clear" w:color="auto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Hei" w:hAnsi="SimHei" w:eastAsia="SimHei" w:hint="eastAsia"/>
                <w:color w:val="A63A2B"/>
                <w:sz w:val="22"/>
              </w:rPr>
              <w:t>约</w:t>
            </w:r>
            <w:r>
              <w:rPr>
                <w:rFonts w:ascii="SimHei" w:hAnsi="SimHei" w:eastAsia="SimHei" w:hint="eastAsia"/>
                <w:color w:val="A63A2B"/>
                <w:sz w:val="22"/>
              </w:rPr>
              <w:t xml:space="preserve"> </w:t>
            </w:r>
            <w:r>
              <w:rPr>
                <w:rFonts w:ascii="SimHei" w:hAnsi="SimHei" w:eastAsia="SimHei" w:hint="eastAsia"/>
                <w:color w:val="A63A2B"/>
                <w:sz w:val="22"/>
              </w:rPr>
              <w:t xml:space="preserve"> ¥26,000–38,500</w:t>
            </w:r>
            <w:r>
              <w:rPr>
                <w:rFonts w:ascii="SimHei" w:hAnsi="SimHei" w:eastAsia="SimHei" w:hint="eastAsia"/>
                <w:color w:val="A63A2B"/>
                <w:sz w:val="22"/>
              </w:rPr>
              <w:t xml:space="preserve"> </w:t>
            </w:r>
            <w:r>
              <w:rPr>
                <w:rFonts w:ascii="SimHei" w:hAnsi="SimHei" w:eastAsia="SimHei" w:hint="eastAsia"/>
                <w:color w:val="A63A2B"/>
                <w:sz w:val="22"/>
              </w:rPr>
              <w:t>，以实际报价为准</w:t>
            </w:r>
          </w:p>
        </w:tc>
      </w:tr>
    </w:tbl>
    <w:p>
      <w:r/>
    </w:p>
    <w:p>
      <w:pPr>
        <w:pStyle w:val="Heading2"/>
      </w:pPr>
      <w:r>
        <w:rPr>
          <w:rFonts w:ascii="SimHei" w:hAnsi="SimHei"/>
          <w:color w:val="A63A2B"/>
          <w:sz w:val="28"/>
        </w:rPr>
        <w:t>五、注意事项</w:t>
      </w:r>
      <w:r/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规则先行：奖级与对应点数提前公示，每桌设桌长</w:t>
      </w:r>
      <w:r>
        <w:rPr>
          <w:rFonts w:ascii="SimSun" w:hAnsi="SimSun"/>
          <w:color w:val="222222"/>
          <w:sz w:val="24"/>
        </w:rPr>
        <w:t xml:space="preserve"> / </w:t>
      </w:r>
      <w:r>
        <w:rPr>
          <w:rFonts w:ascii="SimSun" w:hAnsi="SimSun"/>
          <w:color w:val="222222"/>
          <w:sz w:val="24"/>
        </w:rPr>
        <w:t>裁判统一判奖口径。</w:t>
      </w:r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分组均衡：按部门抽签混编，避免强弱失衡。</w:t>
      </w:r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安全第一：场地动线、消防通道留足，散场有序引导。</w:t>
      </w:r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预算审批：奖品与场地采购提前报批，留足采购周期。</w:t>
      </w:r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备选方案：预留室内场地或改期预案，应对突发状况。</w:t>
      </w:r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宣传留痕：安排专人拍照，活动后发内部推文</w:t>
      </w:r>
      <w:r>
        <w:rPr>
          <w:rFonts w:ascii="SimSun" w:hAnsi="SimSun"/>
          <w:color w:val="222222"/>
          <w:sz w:val="24"/>
        </w:rPr>
        <w:t xml:space="preserve"> / </w:t>
      </w:r>
      <w:r>
        <w:rPr>
          <w:rFonts w:ascii="SimSun" w:hAnsi="SimSun"/>
          <w:color w:val="222222"/>
          <w:sz w:val="24"/>
        </w:rPr>
        <w:t>战报。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SimSun" w:hAnsi="SimSun" w:eastAsia="SimSu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SimHei" w:hAnsi="SimHei" w:eastAsia="SimHei"/>
      <w:b/>
      <w:bCs/>
      <w:color w:val="A63A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SimHei" w:hAnsi="SimHei" w:eastAsia="SimHei"/>
      <w:b/>
      <w:bCs/>
      <w:color w:val="A63A2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