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rPr>
          <w:rFonts w:ascii="SimHei" w:hAnsi="SimHei"/>
          <w:color w:val="A63A2B"/>
          <w:sz w:val="40"/>
        </w:rPr>
        <w:t>公司中秋博饼活动策划（框架）</w:t>
      </w:r>
      <w:r/>
    </w:p>
    <w:p>
      <w:pPr>
        <w:spacing w:line="384" w:lineRule="auto" w:before="0" w:after="320"/>
        <w:jc w:val="center"/>
      </w:pPr>
      <w:r>
        <w:rPr>
          <w:rFonts w:ascii="SimSun" w:hAnsi="SimSun"/>
          <w:color w:val="888888"/>
          <w:sz w:val="21"/>
        </w:rPr>
        <w:t>参与规模：约</w:t>
      </w:r>
      <w:r>
        <w:rPr>
          <w:rFonts w:ascii="SimSun" w:hAnsi="SimSun"/>
          <w:color w:val="888888"/>
          <w:sz w:val="21"/>
        </w:rPr>
        <w:t xml:space="preserve"> 100 </w:t>
      </w:r>
      <w:r>
        <w:rPr>
          <w:rFonts w:ascii="SimSun" w:hAnsi="SimSun"/>
          <w:color w:val="888888"/>
          <w:sz w:val="21"/>
        </w:rPr>
        <w:t>人</w:t>
      </w:r>
      <w:r>
        <w:rPr>
          <w:rFonts w:ascii="SimSun" w:hAnsi="SimSun"/>
          <w:color w:val="888888"/>
          <w:sz w:val="21"/>
        </w:rPr>
        <w:t xml:space="preserve"> </w:t>
      </w:r>
      <w:r>
        <w:rPr>
          <w:rFonts w:ascii="SimSun" w:hAnsi="SimSun"/>
          <w:color w:val="888888"/>
          <w:sz w:val="21"/>
        </w:rPr>
        <w:t>｜</w:t>
      </w:r>
      <w:r>
        <w:rPr>
          <w:rFonts w:ascii="SimSun" w:hAnsi="SimSun"/>
          <w:color w:val="888888"/>
          <w:sz w:val="21"/>
        </w:rPr>
        <w:t xml:space="preserve"> </w:t>
      </w:r>
      <w:r>
        <w:rPr>
          <w:rFonts w:ascii="SimSun" w:hAnsi="SimSun"/>
          <w:color w:val="888888"/>
          <w:sz w:val="21"/>
        </w:rPr>
        <w:t>分</w:t>
      </w:r>
      <w:r>
        <w:rPr>
          <w:rFonts w:ascii="SimSun" w:hAnsi="SimSun"/>
          <w:color w:val="888888"/>
          <w:sz w:val="21"/>
        </w:rPr>
        <w:t xml:space="preserve"> 10 </w:t>
      </w:r>
      <w:r>
        <w:rPr>
          <w:rFonts w:ascii="SimSun" w:hAnsi="SimSun"/>
          <w:color w:val="888888"/>
          <w:sz w:val="21"/>
        </w:rPr>
        <w:t>桌</w:t>
      </w:r>
      <w:r>
        <w:rPr>
          <w:rFonts w:ascii="SimSun" w:hAnsi="SimSun"/>
          <w:color w:val="888888"/>
          <w:sz w:val="21"/>
        </w:rPr>
        <w:t xml:space="preserve"> × 10 </w:t>
      </w:r>
      <w:r>
        <w:rPr>
          <w:rFonts w:ascii="SimSun" w:hAnsi="SimSun"/>
          <w:color w:val="888888"/>
          <w:sz w:val="21"/>
        </w:rPr>
        <w:t>人</w:t>
      </w:r>
      <w:r>
        <w:rPr>
          <w:rFonts w:ascii="SimSun" w:hAnsi="SimSun"/>
          <w:color w:val="888888"/>
          <w:sz w:val="21"/>
        </w:rPr>
        <w:t xml:space="preserve"> </w:t>
      </w:r>
      <w:r>
        <w:rPr>
          <w:rFonts w:ascii="SimSun" w:hAnsi="SimSun"/>
          <w:color w:val="888888"/>
          <w:sz w:val="21"/>
        </w:rPr>
        <w:t>｜</w:t>
      </w:r>
      <w:r>
        <w:rPr>
          <w:rFonts w:ascii="SimSun" w:hAnsi="SimSun"/>
          <w:color w:val="888888"/>
          <w:sz w:val="21"/>
        </w:rPr>
        <w:t xml:space="preserve"> </w:t>
      </w:r>
      <w:r>
        <w:rPr>
          <w:rFonts w:ascii="SimSun" w:hAnsi="SimSun"/>
          <w:color w:val="888888"/>
          <w:sz w:val="21"/>
        </w:rPr>
        <w:t>版本：</w:t>
      </w:r>
      <w:r>
        <w:rPr>
          <w:rFonts w:ascii="SimSun" w:hAnsi="SimSun"/>
          <w:color w:val="888888"/>
          <w:sz w:val="21"/>
        </w:rPr>
        <w:t>V1.1</w:t>
      </w:r>
      <w:r>
        <w:rPr>
          <w:rFonts w:ascii="SimSun" w:hAnsi="SimSun"/>
          <w:color w:val="888888"/>
          <w:sz w:val="21"/>
        </w:rPr>
        <w:t>（送审稿）</w:t>
      </w:r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一、活动目标</w:t>
      </w:r>
      <w:r/>
    </w:p>
    <w:p>
      <w:pPr>
        <w:pStyle w:val="ListNumber"/>
        <w:numPr>
          <w:ilvl w:val="0"/>
          <w:numId w:val="10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氛围营造：借中秋民俗营造轻松愉悦的节日氛围，提升员工归属感。</w:t>
      </w:r>
    </w:p>
    <w:p>
      <w:pPr>
        <w:pStyle w:val="ListNumber"/>
        <w:numPr>
          <w:ilvl w:val="0"/>
          <w:numId w:val="10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团队凝聚：分桌混编、协作互动，促进跨部门交流。</w:t>
      </w:r>
    </w:p>
    <w:p>
      <w:pPr>
        <w:pStyle w:val="ListNumber"/>
        <w:numPr>
          <w:ilvl w:val="0"/>
          <w:numId w:val="10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高效可控：以传统博饼为主线，流程简单、成本可控，降低组织压力。</w:t>
      </w:r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二、流程安排（含时间节点）</w:t>
      </w:r>
      <w:r/>
    </w:p>
    <w:p>
      <w:pPr>
        <w:spacing w:line="384" w:lineRule="auto"/>
      </w:pPr>
      <w:r>
        <w:rPr>
          <w:rFonts w:ascii="SimSun" w:hAnsi="SimSun"/>
          <w:color w:val="222222"/>
          <w:sz w:val="24"/>
        </w:rPr>
        <w:t>活动总时长约</w:t>
      </w:r>
      <w:r>
        <w:rPr>
          <w:rFonts w:ascii="SimSun" w:hAnsi="SimSun"/>
          <w:color w:val="222222"/>
          <w:sz w:val="24"/>
        </w:rPr>
        <w:t xml:space="preserve"> 2 </w:t>
      </w:r>
      <w:r>
        <w:rPr>
          <w:rFonts w:ascii="SimSun" w:hAnsi="SimSun"/>
          <w:color w:val="222222"/>
          <w:sz w:val="24"/>
        </w:rPr>
        <w:t>小时，建议安排在工作日下午或晚间；按</w:t>
      </w:r>
      <w:r>
        <w:rPr>
          <w:rFonts w:ascii="SimSun" w:hAnsi="SimSun"/>
          <w:color w:val="222222"/>
          <w:sz w:val="24"/>
        </w:rPr>
        <w:t xml:space="preserve"> 10 </w:t>
      </w:r>
      <w:r>
        <w:rPr>
          <w:rFonts w:ascii="SimSun" w:hAnsi="SimSun"/>
          <w:color w:val="222222"/>
          <w:sz w:val="24"/>
        </w:rPr>
        <w:t>人</w:t>
      </w:r>
      <w:r>
        <w:rPr>
          <w:rFonts w:ascii="SimSun" w:hAnsi="SimSun"/>
          <w:color w:val="222222"/>
          <w:sz w:val="24"/>
        </w:rPr>
        <w:t>/</w:t>
      </w:r>
      <w:r>
        <w:rPr>
          <w:rFonts w:ascii="SimSun" w:hAnsi="SimSun"/>
          <w:color w:val="222222"/>
          <w:sz w:val="24"/>
        </w:rPr>
        <w:t>桌分桌，共</w:t>
      </w:r>
      <w:r>
        <w:rPr>
          <w:rFonts w:ascii="SimSun" w:hAnsi="SimSun"/>
          <w:color w:val="222222"/>
          <w:sz w:val="24"/>
        </w:rPr>
        <w:t xml:space="preserve"> 10 </w:t>
      </w:r>
      <w:r>
        <w:rPr>
          <w:rFonts w:ascii="SimSun" w:hAnsi="SimSun"/>
          <w:color w:val="222222"/>
          <w:sz w:val="24"/>
        </w:rPr>
        <w:t>桌。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时间</w:t>
            </w:r>
          </w:p>
        </w:tc>
        <w:tc>
          <w:tcPr>
            <w:tcW w:type="dxa" w:w="216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环节</w:t>
            </w:r>
          </w:p>
        </w:tc>
        <w:tc>
          <w:tcPr>
            <w:tcW w:type="dxa" w:w="216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内容要点</w:t>
            </w:r>
          </w:p>
        </w:tc>
        <w:tc>
          <w:tcPr>
            <w:tcW w:type="dxa" w:w="216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注意事项</w:t>
            </w:r>
          </w:p>
        </w:tc>
      </w:tr>
      <w:tr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17:00–17:15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签到入场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按部门抽签分组就座，发放号码牌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提前完成场地布置与物料清点，确保签到流程顺畅有序</w:t>
            </w:r>
          </w:p>
        </w:tc>
      </w:tr>
      <w:tr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17:15–17:30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开场致辞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领导致辞与规则宣讲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严格控制时长，避免挤占后续博饼环节</w:t>
            </w:r>
          </w:p>
        </w:tc>
      </w:tr>
      <w:tr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17:30–18:20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博饼环节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分桌掷骰，产生各桌状元及各等级奖品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每桌设桌长一名，统一判奖口径，确保公平公正</w:t>
            </w:r>
          </w:p>
        </w:tc>
      </w:tr>
      <w:tr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18:20–18:50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王中王争夺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各桌状元上台对决，决出全场「王中王」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提前准备赛制说明与所需道具，确保环节衔接紧凑</w:t>
            </w:r>
          </w:p>
        </w:tc>
      </w:tr>
      <w:tr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18:50–19:10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颁奖合影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颁发奖品并组织集体合影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提前清点奖品、核对获奖名单，避免错发漏发</w:t>
            </w:r>
          </w:p>
        </w:tc>
      </w:tr>
      <w:tr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19:10–19:30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收尾散场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整理物资，引导有序离场</w:t>
            </w:r>
          </w:p>
        </w:tc>
        <w:tc>
          <w:tcPr>
            <w:tcW w:type="dxa" w:w="216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安排专人清点回收物资，确认场地无遗留物品</w:t>
            </w:r>
          </w:p>
        </w:tc>
      </w:tr>
    </w:tbl>
    <w:p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三、节目类型建议</w:t>
      </w:r>
      <w:r/>
    </w:p>
    <w:p>
      <w:pPr>
        <w:pStyle w:val="ListBullet"/>
        <w:spacing w:line="384" w:lineRule="auto" w:before="40" w:after="40"/>
      </w:pPr>
      <w:r>
        <w:rPr>
          <w:rFonts w:ascii="SimSun" w:hAnsi="SimSun"/>
          <w:color w:val="222222"/>
          <w:sz w:val="24"/>
        </w:rPr>
        <w:t>主线节目：以闽南传统博饼（六骰定档）为主，全员参与，营造热烈氛围。</w:t>
      </w:r>
    </w:p>
    <w:p>
      <w:pPr>
        <w:pStyle w:val="ListBullet"/>
        <w:spacing w:line="384" w:lineRule="auto" w:before="40" w:after="40"/>
      </w:pPr>
      <w:r>
        <w:rPr>
          <w:rFonts w:ascii="SimSun" w:hAnsi="SimSun"/>
          <w:color w:val="222222"/>
          <w:sz w:val="24"/>
        </w:rPr>
        <w:t>暖场互动：开场前播放中秋主题音乐或短视频，由主持人引导预热。</w:t>
      </w:r>
    </w:p>
    <w:p>
      <w:pPr>
        <w:pStyle w:val="ListBullet"/>
        <w:spacing w:line="384" w:lineRule="auto" w:before="40" w:after="40"/>
      </w:pPr>
      <w:r>
        <w:rPr>
          <w:rFonts w:ascii="SimSun" w:hAnsi="SimSun"/>
          <w:color w:val="222222"/>
          <w:sz w:val="24"/>
        </w:rPr>
        <w:t>轻量穿插：设置领导致辞、现场抽奖、才艺展示等环节（</w:t>
      </w:r>
      <w:r>
        <w:rPr>
          <w:rFonts w:ascii="SimSun" w:hAnsi="SimSun"/>
          <w:color w:val="222222"/>
          <w:sz w:val="24"/>
        </w:rPr>
        <w:t xml:space="preserve">1–2 </w:t>
      </w:r>
      <w:r>
        <w:rPr>
          <w:rFonts w:ascii="SimSun" w:hAnsi="SimSun"/>
          <w:color w:val="222222"/>
          <w:sz w:val="24"/>
        </w:rPr>
        <w:t>个，严格控制时长）。</w:t>
      </w:r>
    </w:p>
    <w:p>
      <w:pPr>
        <w:pStyle w:val="ListBullet"/>
        <w:spacing w:line="384" w:lineRule="auto" w:before="40" w:after="40"/>
      </w:pPr>
      <w:r>
        <w:rPr>
          <w:rFonts w:ascii="SimSun" w:hAnsi="SimSun"/>
          <w:color w:val="222222"/>
          <w:sz w:val="24"/>
        </w:rPr>
        <w:t>节奏建议：穿插环节总数控制在</w:t>
      </w:r>
      <w:r>
        <w:rPr>
          <w:rFonts w:ascii="SimSun" w:hAnsi="SimSun"/>
          <w:color w:val="222222"/>
          <w:sz w:val="24"/>
        </w:rPr>
        <w:t xml:space="preserve"> 3 </w:t>
      </w:r>
      <w:r>
        <w:rPr>
          <w:rFonts w:ascii="SimSun" w:hAnsi="SimSun"/>
          <w:color w:val="222222"/>
          <w:sz w:val="24"/>
        </w:rPr>
        <w:t>个以内，避免冲淡主线。</w:t>
      </w:r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四、预算构成清单</w:t>
      </w:r>
      <w:r/>
    </w:p>
    <w:p>
      <w:pPr>
        <w:spacing w:line="384" w:lineRule="auto"/>
      </w:pPr>
      <w:r>
        <w:rPr>
          <w:rFonts w:ascii="SimSun" w:hAnsi="SimSun"/>
          <w:color w:val="222222"/>
          <w:sz w:val="24"/>
        </w:rPr>
        <w:t>按</w:t>
      </w:r>
      <w:r>
        <w:rPr>
          <w:rFonts w:ascii="SimSun" w:hAnsi="SimSun"/>
          <w:color w:val="222222"/>
          <w:sz w:val="24"/>
        </w:rPr>
        <w:t xml:space="preserve"> 10 </w:t>
      </w:r>
      <w:r>
        <w:rPr>
          <w:rFonts w:ascii="SimSun" w:hAnsi="SimSun"/>
          <w:color w:val="222222"/>
          <w:sz w:val="24"/>
        </w:rPr>
        <w:t>桌（每桌约</w:t>
      </w:r>
      <w:r>
        <w:rPr>
          <w:rFonts w:ascii="SimSun" w:hAnsi="SimSun"/>
          <w:color w:val="222222"/>
          <w:sz w:val="24"/>
        </w:rPr>
        <w:t xml:space="preserve"> 10 </w:t>
      </w:r>
      <w:r>
        <w:rPr>
          <w:rFonts w:ascii="SimSun" w:hAnsi="SimSun"/>
          <w:color w:val="222222"/>
          <w:sz w:val="24"/>
        </w:rPr>
        <w:t>人）估算，奖品按传统博饼六档奖级及王中王配置；其余费用为参考区间。</w:t>
      </w:r>
      <w:r/>
    </w:p>
    <w:p>
      <w:pPr>
        <w:spacing w:line="384" w:lineRule="auto"/>
      </w:pPr>
      <w:r>
        <w:rPr>
          <w:rFonts w:ascii="SimSun" w:hAnsi="SimSun"/>
          <w:color w:val="222222"/>
          <w:sz w:val="24"/>
        </w:rPr>
        <w:t xml:space="preserve">1. </w:t>
      </w:r>
      <w:r>
        <w:rPr>
          <w:rFonts w:ascii="SimSun" w:hAnsi="SimSun"/>
          <w:color w:val="222222"/>
          <w:sz w:val="24"/>
        </w:rPr>
        <w:t>奖品采购（</w:t>
      </w:r>
      <w:r>
        <w:rPr>
          <w:rFonts w:ascii="SimSun" w:hAnsi="SimSun"/>
          <w:color w:val="222222"/>
          <w:sz w:val="24"/>
        </w:rPr>
        <w:t xml:space="preserve">10 </w:t>
      </w:r>
      <w:r>
        <w:rPr>
          <w:rFonts w:ascii="SimSun" w:hAnsi="SimSun"/>
          <w:color w:val="222222"/>
          <w:sz w:val="24"/>
        </w:rPr>
        <w:t>桌标准，全场约</w:t>
      </w:r>
      <w:r>
        <w:rPr>
          <w:rFonts w:ascii="SimSun" w:hAnsi="SimSun"/>
          <w:color w:val="222222"/>
          <w:sz w:val="24"/>
        </w:rPr>
        <w:t xml:space="preserve"> 100 </w:t>
      </w:r>
      <w:r>
        <w:rPr>
          <w:rFonts w:ascii="SimSun" w:hAnsi="SimSun"/>
          <w:color w:val="222222"/>
          <w:sz w:val="24"/>
        </w:rPr>
        <w:t>人）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1234"/>
        <w:gridCol w:w="1234"/>
        <w:gridCol w:w="1234"/>
        <w:gridCol w:w="1234"/>
        <w:gridCol w:w="1234"/>
        <w:gridCol w:w="1234"/>
        <w:gridCol w:w="1234"/>
      </w:tblGrid>
      <w:tr>
        <w:tc>
          <w:tcPr>
            <w:tcW w:type="dxa" w:w="1234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奖级</w:t>
            </w:r>
          </w:p>
        </w:tc>
        <w:tc>
          <w:tcPr>
            <w:tcW w:type="dxa" w:w="1234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判定规则</w:t>
            </w:r>
          </w:p>
        </w:tc>
        <w:tc>
          <w:tcPr>
            <w:tcW w:type="dxa" w:w="1234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每桌份数</w:t>
            </w:r>
          </w:p>
        </w:tc>
        <w:tc>
          <w:tcPr>
            <w:tcW w:type="dxa" w:w="1234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桌数</w:t>
            </w:r>
          </w:p>
        </w:tc>
        <w:tc>
          <w:tcPr>
            <w:tcW w:type="dxa" w:w="1234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总份数</w:t>
            </w:r>
          </w:p>
        </w:tc>
        <w:tc>
          <w:tcPr>
            <w:tcW w:type="dxa" w:w="1234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单价参考</w:t>
            </w:r>
          </w:p>
        </w:tc>
        <w:tc>
          <w:tcPr>
            <w:tcW w:type="dxa" w:w="1234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小计</w:t>
            </w:r>
          </w:p>
        </w:tc>
      </w:tr>
      <w:tr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一秀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掷出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1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个四点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32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320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¥8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¥2,560</w:t>
            </w:r>
          </w:p>
        </w:tc>
      </w:tr>
      <w:tr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二举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掷出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2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个四点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16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160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¥15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¥2,400</w:t>
            </w:r>
          </w:p>
        </w:tc>
      </w:tr>
      <w:tr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四进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4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个相同非四点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8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80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¥25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¥2,000</w:t>
            </w:r>
          </w:p>
        </w:tc>
      </w:tr>
      <w:tr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三红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掷出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3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个四点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4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40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¥50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¥2,000</w:t>
            </w:r>
          </w:p>
        </w:tc>
      </w:tr>
      <w:tr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对堂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点数顺子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1–6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2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20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¥100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¥2,000</w:t>
            </w:r>
          </w:p>
        </w:tc>
      </w:tr>
      <w:tr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状元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4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个四点及以上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¥300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¥3,000</w:t>
            </w:r>
          </w:p>
        </w:tc>
      </w:tr>
      <w:tr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王中王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各桌状元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PK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胜出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—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全场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1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名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1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¥1,500</w:t>
            </w:r>
          </w:p>
        </w:tc>
        <w:tc>
          <w:tcPr>
            <w:tcW w:type="dxa" w:w="1234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¥1,500</w:t>
            </w:r>
          </w:p>
        </w:tc>
      </w:tr>
      <w:tr>
        <w:tc>
          <w:tcPr>
            <w:tcW w:type="dxa" w:w="7404"/>
            <w:gridSpan w:val="6"/>
            <w:shd w:fill="F8EFE9" w:val="clear" w:color="auto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Hei" w:hAnsi="SimHei" w:eastAsia="SimHei" w:hint="eastAsia"/>
                <w:color w:val="A63A2B"/>
                <w:sz w:val="22"/>
              </w:rPr>
              <w:t>奖品采购小计</w:t>
            </w:r>
          </w:p>
        </w:tc>
        <w:tc>
          <w:tcPr>
            <w:tcW w:type="dxa" w:w="1234"/>
            <w:shd w:fill="F8EFE9"/>
            <w:tcBorders>
              <w:top w:val="single" w:sz="6.0" w:color="C9C9C9"/>
              <w:right w:val="single" w:sz="6.0" w:color="C9C9C9"/>
              <w:bottom w:val="single" w:sz="6.0" w:color="C9C9C9"/>
              <w:left w:val="single" w:sz="6.0" w:color="C9C9C9"/>
            </w:tcBorders>
          </w:tcPr>
          <w:p>
            <w:r>
              <w:rPr>
                <w:color w:val="A63A2B"/>
              </w:rPr>
              <w:t>¥15,460</w:t>
            </w:r>
          </w:p>
        </w:tc>
      </w:tr>
    </w:tbl>
    <w:p>
      <w:r/>
    </w:p>
    <w:p>
      <w:pPr>
        <w:spacing w:line="384" w:lineRule="auto"/>
      </w:pPr>
      <w:r>
        <w:rPr>
          <w:rFonts w:ascii="SimSun" w:hAnsi="SimSun"/>
          <w:color w:val="222222"/>
          <w:sz w:val="24"/>
        </w:rPr>
        <w:t xml:space="preserve">2. </w:t>
      </w:r>
      <w:r>
        <w:rPr>
          <w:rFonts w:ascii="SimSun" w:hAnsi="SimSun"/>
          <w:color w:val="222222"/>
          <w:sz w:val="24"/>
        </w:rPr>
        <w:t>其他费用（场地、餐饮、物料与服务）</w:t>
      </w:r>
      <w:r/>
    </w:p>
    <w:tbl>
      <w:tblPr>
        <w:tblW w:type="pct" w:w="5000"/>
        <w:tblLook w:firstColumn="1" w:firstRow="1" w:lastColumn="0" w:lastRow="0" w:noHBand="0" w:noVBand="1" w:val="04A0"/>
        <w:tblLayout w:type="autofit"/>
      </w:tblPr>
      <w:tblGrid>
        <w:gridCol w:w="2880"/>
        <w:gridCol w:w="2880"/>
        <w:gridCol w:w="2880"/>
      </w:tblGrid>
      <w:tr>
        <w:tc>
          <w:tcPr>
            <w:tcW w:type="dxa" w:w="288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项目</w:t>
            </w:r>
          </w:p>
        </w:tc>
        <w:tc>
          <w:tcPr>
            <w:tcW w:type="dxa" w:w="288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明细说明</w:t>
            </w:r>
          </w:p>
        </w:tc>
        <w:tc>
          <w:tcPr>
            <w:tcW w:type="dxa" w:w="2880"/>
            <w:shd w:fill="A63A2B" w:val="clear" w:color="auto"/>
            <w:tcBorders>
              <w:top w:val="single" w:sz="6" w:space="0" w:color="A63A2B"/>
              <w:bottom w:val="single" w:sz="6" w:space="0" w:color="A63A2B"/>
              <w:left w:val="single" w:sz="6" w:space="0" w:color="A63A2B"/>
              <w:right w:val="single" w:sz="6" w:space="0" w:color="A63A2B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jc w:val="left"/>
              <w:spacing w:line="240" w:lineRule="auto" w:before="55" w:after="55"/>
            </w:pPr>
            <w:r>
              <w:rPr>
                <w:rFonts w:ascii="SimHei" w:hAnsi="SimHei" w:eastAsia="SimHei" w:hint="eastAsia"/>
                <w:b/>
                <w:color w:val="FFFFFF"/>
                <w:sz w:val="22"/>
              </w:rPr>
              <w:t>参考金额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场地布置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横幅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1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条、海报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5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张、气球灯笼装饰、桌牌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10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个、签到物料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¥2,000–3,000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餐饮茶歇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茶点或自助餐，按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¥60–80/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人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× 100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人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¥6,000–8,000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活动物料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骰子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10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副、大碗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10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个、号码牌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100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张、计分卡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¥1,000–1,500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主持司仪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内部同事兼任则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0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成本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¥0–2,000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音响摄影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音响话筒设备、现场摄影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/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 xml:space="preserve"> </w:t>
            </w:r>
            <w:r>
              <w:rPr>
                <w:rFonts w:ascii="SimSun" w:hAnsi="SimSun" w:eastAsia="SimSun" w:hint="eastAsia"/>
                <w:color w:val="222222"/>
                <w:sz w:val="22"/>
              </w:rPr>
              <w:t>摄像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¥1,000–2,000</w:t>
            </w:r>
          </w:p>
        </w:tc>
      </w:tr>
      <w:tr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备用金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应急采购与临时补充</w:t>
            </w:r>
          </w:p>
        </w:tc>
        <w:tc>
          <w:tcPr>
            <w:tcW w:type="dxa" w:w="2880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Sun" w:hAnsi="SimSun" w:eastAsia="SimSun" w:hint="eastAsia"/>
                <w:color w:val="222222"/>
                <w:sz w:val="22"/>
              </w:rPr>
              <w:t>¥2,000</w:t>
            </w:r>
          </w:p>
        </w:tc>
      </w:tr>
      <w:tr>
        <w:tc>
          <w:tcPr>
            <w:tcW w:type="dxa" w:w="5760"/>
            <w:gridSpan w:val="2"/>
            <w:shd w:fill="F8EFE9" w:val="clear" w:color="auto"/>
            <w:tcBorders>
              <w:top w:val="single" w:sz="6" w:space="0" w:color="C9C9C9"/>
              <w:bottom w:val="single" w:sz="6" w:space="0" w:color="C9C9C9"/>
              <w:left w:val="single" w:sz="6" w:space="0" w:color="C9C9C9"/>
              <w:right w:val="single" w:sz="6" w:space="0" w:color="C9C9C9"/>
            </w:tcBorders>
            <w:vAlign w:val="center"/>
            <w:tcMar>
              <w:top w:w="80" w:type="dxa"/>
              <w:bottom w:w="80" w:type="dxa"/>
              <w:left w:w="120" w:type="dxa"/>
              <w:right w:w="120" w:type="dxa"/>
            </w:tcMar>
          </w:tcPr>
          <w:p>
            <w:pPr>
              <w:spacing w:line="240" w:lineRule="auto" w:before="55" w:after="55"/>
            </w:pPr>
            <w:r>
              <w:rPr>
                <w:rFonts w:ascii="SimHei" w:hAnsi="SimHei" w:eastAsia="SimHei" w:hint="eastAsia"/>
                <w:color w:val="A63A2B"/>
                <w:sz w:val="22"/>
              </w:rPr>
              <w:t>其他费用小计</w:t>
            </w:r>
          </w:p>
        </w:tc>
        <w:tc>
          <w:tcPr>
            <w:tcW w:type="dxa" w:w="2880"/>
            <w:shd w:fill="F8EFE9"/>
            <w:tcBorders>
              <w:top w:val="single" w:sz="6.0" w:color="C9C9C9"/>
              <w:right w:val="single" w:sz="6.0" w:color="C9C9C9"/>
              <w:bottom w:val="single" w:sz="6.0" w:color="C9C9C9"/>
              <w:left w:val="single" w:sz="6.0" w:color="C9C9C9"/>
            </w:tcBorders>
          </w:tcPr>
          <w:p>
            <w:r>
              <w:rPr>
                <w:color w:val="A63A2B"/>
              </w:rPr>
              <w:t>¥12,000–18,500</w:t>
            </w:r>
          </w:p>
        </w:tc>
      </w:tr>
    </w:tbl>
    <w:p>
      <w:r/>
    </w:p>
    <w:p>
      <w:pPr>
        <w:spacing w:line="384" w:lineRule="auto"/>
      </w:pPr>
      <w:r>
        <w:rPr>
          <w:rFonts w:ascii="SimSun" w:hAnsi="SimSun"/>
          <w:color w:val="222222"/>
          <w:sz w:val="24"/>
        </w:rPr>
        <w:t xml:space="preserve">3. </w:t>
      </w:r>
      <w:r>
        <w:rPr>
          <w:rFonts w:ascii="SimSun" w:hAnsi="SimSun"/>
          <w:color w:val="222222"/>
          <w:sz w:val="24"/>
        </w:rPr>
        <w:t>预算合计（预估）：奖品采购约</w:t>
      </w:r>
      <w:r>
        <w:rPr>
          <w:rFonts w:ascii="SimSun" w:hAnsi="SimSun"/>
          <w:color w:val="222222"/>
          <w:sz w:val="24"/>
        </w:rPr>
        <w:t xml:space="preserve"> ¥15,460</w:t>
      </w:r>
      <w:r>
        <w:rPr>
          <w:rFonts w:ascii="SimSun" w:hAnsi="SimSun"/>
          <w:color w:val="222222"/>
          <w:sz w:val="24"/>
        </w:rPr>
        <w:t>，加其他费用约</w:t>
      </w:r>
      <w:r>
        <w:rPr>
          <w:rFonts w:ascii="SimSun" w:hAnsi="SimSun"/>
          <w:color w:val="222222"/>
          <w:sz w:val="24"/>
        </w:rPr>
        <w:t xml:space="preserve"> ¥12,000–18,500</w:t>
      </w:r>
      <w:r>
        <w:rPr>
          <w:rFonts w:ascii="SimSun" w:hAnsi="SimSun"/>
          <w:color w:val="222222"/>
          <w:sz w:val="24"/>
        </w:rPr>
        <w:t>，合计约</w:t>
      </w:r>
      <w:r>
        <w:rPr>
          <w:rFonts w:ascii="SimSun" w:hAnsi="SimSun"/>
          <w:color w:val="222222"/>
          <w:sz w:val="24"/>
        </w:rPr>
        <w:t xml:space="preserve"> </w:t>
      </w:r>
      <w:r>
        <w:rPr>
          <w:rFonts w:ascii="SimSun" w:hAnsi="SimSun"/>
          <w:b/>
          <w:color w:val="222222"/>
          <w:sz w:val="24"/>
        </w:rPr>
        <w:t>¥27,460–33,960</w:t>
      </w:r>
      <w:r>
        <w:rPr>
          <w:rFonts w:ascii="SimSun" w:hAnsi="SimSun"/>
          <w:color w:val="222222"/>
          <w:sz w:val="24"/>
        </w:rPr>
        <w:t>，以实际报价为准。</w:t>
      </w:r>
      <w:r/>
    </w:p>
    <w:p>
      <w:pPr>
        <w:pStyle w:val="Heading2"/>
      </w:pPr>
      <w:r>
        <w:rPr>
          <w:rFonts w:ascii="SimHei" w:hAnsi="SimHei"/>
          <w:color w:val="A63A2B"/>
          <w:sz w:val="28"/>
        </w:rPr>
        <w:t>五、注意事项</w:t>
      </w:r>
      <w:r/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规则先行：奖级与对应点数提前公示，每桌设桌长</w:t>
      </w:r>
      <w:r>
        <w:rPr>
          <w:rFonts w:ascii="SimSun" w:hAnsi="SimSun"/>
          <w:color w:val="222222"/>
          <w:sz w:val="24"/>
        </w:rPr>
        <w:t xml:space="preserve"> / </w:t>
      </w:r>
      <w:r>
        <w:rPr>
          <w:rFonts w:ascii="SimSun" w:hAnsi="SimSun"/>
          <w:color w:val="222222"/>
          <w:sz w:val="24"/>
        </w:rPr>
        <w:t>裁判统一判奖口径。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分组均衡：按部门抽签混编，避免强弱失衡。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安全第一：场地动线、消防通道留足，散场有序引导。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预算审批：奖品与场地采购提前报批，留足采购周期。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备选方案：预留室内场地或改期预案，应对突发状况。</w:t>
      </w:r>
    </w:p>
    <w:p>
      <w:pPr>
        <w:pStyle w:val="ListNumber"/>
        <w:numPr>
          <w:ilvl w:val="0"/>
          <w:numId w:val="11"/>
        </w:numPr>
        <w:spacing w:line="384" w:lineRule="auto" w:before="40" w:after="40"/>
      </w:pPr>
      <w:r>
        <w:rPr>
          <w:rFonts w:ascii="SimSun" w:hAnsi="SimSun"/>
          <w:color w:val="222222"/>
          <w:sz w:val="24"/>
        </w:rPr>
        <w:t>宣传留痕：安排专人摄影，活动后发布内部推文及活动简报。</w:t>
      </w:r>
      <w:r/>
      <w:r/>
      <w:r/>
    </w:p>
    <w:sectPr w:rsidR="00FC693F" w:rsidRPr="0006063C" w:rsidSect="00034616">
      <w:pgSz w:w="11906" w:h="16838"/>
      <w:pgMar w:top="1440" w:right="1797" w:bottom="1440" w:left="179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26" w:lineRule="auto"/>
    </w:pPr>
    <w:rPr>
      <w:rFonts w:ascii="SimSun" w:hAnsi="SimSun" w:eastAsia="SimSun"/>
      <w:color w:val="222222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jc w:val="center"/>
      <w:outlineLvl w:val="0"/>
    </w:pPr>
    <w:rPr>
      <w:rFonts w:ascii="SimHei" w:hAnsi="SimHei" w:eastAsia="SimHei"/>
      <w:b/>
      <w:bCs/>
      <w:color w:val="A63A2B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="SimHei" w:hAnsi="SimHei" w:eastAsia="SimHei"/>
      <w:b/>
      <w:bCs/>
      <w:color w:val="A63A2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