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517EFB80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C6A4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517EFB80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C6A4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1-12 (Sept 8 - Dec 19, 2024)</w:t>
            </w:r>
          </w:p>
        </w:tc>
        <w:tc>
          <w:tcPr>
            <w:tcW w:w="1890" w:type="dxa"/>
            <w:vMerge w:val="restart"/>
            <w:vAlign w:val="center"/>
          </w:tcPr>
          <w:p>
            <w:r>
              <w:t>LO1: Prepare tools, materials and equipment</w:t>
              <w:br/>
              <w:t>LO2: Assemble desktop computers</w:t>
            </w:r>
          </w:p>
        </w:tc>
        <w:tc>
          <w:tcPr>
            <w:tcW w:w="1193" w:type="dxa"/>
            <w:vMerge w:val="restart"/>
          </w:tcPr>
          <w:p>
            <w:r>
              <w:t>40 hours</w:t>
            </w:r>
          </w:p>
        </w:tc>
        <w:tc>
          <w:tcPr>
            <w:tcW w:w="2497" w:type="dxa"/>
            <w:vAlign w:val="center"/>
          </w:tcPr>
          <w:p>
            <w:r>
              <w:t>IC1.1: Workplace preparation</w:t>
              <w:br/>
              <w:t>IC1.2: Tool identification</w:t>
              <w:br/>
              <w:t>IC2.1: Computer components</w:t>
              <w:br/>
              <w:t>IC2.2: Assembly procedures</w:t>
            </w: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>
              <w:t xml:space="preserve"> Identification of </w:t>
            </w:r>
            <w:proofErr w:type="spellStart"/>
            <w:r>
              <w:t>tools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and </w:t>
            </w:r>
            <w:proofErr w:type="spellStart"/>
            <w:r>
              <w:t>equipment</w:t>
            </w:r>
            <w:proofErr w:type="spellEnd"/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247133" w:rsidRDefault="00247133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hours</w:t>
            </w:r>
          </w:p>
        </w:tc>
        <w:tc>
          <w:tcPr>
            <w:tcW w:w="2497" w:type="dxa"/>
            <w:vAlign w:val="center"/>
          </w:tcPr>
          <w:p w14:paraId="662EF446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13-24 (Jan 5 - Apr 3, 2025)</w:t>
            </w:r>
          </w:p>
        </w:tc>
        <w:tc>
          <w:tcPr>
            <w:tcW w:w="1890" w:type="dxa"/>
            <w:vMerge w:val="restart"/>
          </w:tcPr>
          <w:p>
            <w:r>
              <w:t>LO3: Install operating systems</w:t>
              <w:br/>
              <w:t>LO4: Configure computer systems</w:t>
            </w:r>
          </w:p>
        </w:tc>
        <w:tc>
          <w:tcPr>
            <w:tcW w:w="1193" w:type="dxa"/>
            <w:vMerge w:val="restart"/>
          </w:tcPr>
          <w:p>
            <w:r>
              <w:t>40 hours</w:t>
            </w:r>
          </w:p>
        </w:tc>
        <w:tc>
          <w:tcPr>
            <w:tcW w:w="2497" w:type="dxa"/>
          </w:tcPr>
          <w:p>
            <w:r>
              <w:t>IC3.1: OS installation</w:t>
              <w:br/>
              <w:t>IC3.2: Driver installation</w:t>
              <w:br/>
              <w:t>IC4.1: BIOS configuration</w:t>
              <w:br/>
              <w:t>IC4.2: System optimization</w:t>
            </w: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2497E2B" w14:textId="77777777" w:rsidTr="00F44622">
        <w:trPr>
          <w:trHeight w:val="337"/>
        </w:trPr>
        <w:tc>
          <w:tcPr>
            <w:tcW w:w="967" w:type="dxa"/>
            <w:vMerge/>
          </w:tcPr>
          <w:p w14:paraId="4CFAE031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25-36 (Apr 20 - Jul 3, 2025)</w:t>
            </w:r>
          </w:p>
        </w:tc>
        <w:tc>
          <w:tcPr>
            <w:tcW w:w="1890" w:type="dxa"/>
            <w:vMerge w:val="restart"/>
            <w:vAlign w:val="center"/>
          </w:tcPr>
          <w:p>
            <w:r>
              <w:t>LO5: Troubleshoot hardware issues</w:t>
              <w:br/>
              <w:t>LO6: Maintain computer systems</w:t>
            </w:r>
          </w:p>
        </w:tc>
        <w:tc>
          <w:tcPr>
            <w:tcW w:w="1193" w:type="dxa"/>
            <w:vMerge w:val="restart"/>
          </w:tcPr>
          <w:p>
            <w:r>
              <w:t>40 hours</w:t>
            </w:r>
          </w:p>
        </w:tc>
        <w:tc>
          <w:tcPr>
            <w:tcW w:w="2497" w:type="dxa"/>
            <w:vAlign w:val="center"/>
          </w:tcPr>
          <w:p>
            <w:r>
              <w:t>IC5.1: Diagnostic procedures</w:t>
              <w:br/>
              <w:t>IC5.2: Component replacement</w:t>
              <w:br/>
              <w:t>IC6.1: Preventive maintenance</w:t>
              <w:br/>
              <w:t>IC6.2: Documentation</w:t>
            </w: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0332DC31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2</cp:revision>
  <dcterms:created xsi:type="dcterms:W3CDTF">2025-09-17T05:30:00Z</dcterms:created>
  <dcterms:modified xsi:type="dcterms:W3CDTF">2025-09-17T05:30:00Z</dcterms:modified>
</cp:coreProperties>
</file>