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  <w:br/>
              <w:t>Computer components, Assembly procedures, Safety precautions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  Discussion and brainstorming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 and discussion topics</w:t>
              <w:br/>
              <w:tab/>
              <w:t>• Poses thought-provoking questions</w:t>
              <w:br/>
              <w:tab/>
              <w:t>• Encourages participation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Prepares to share ideas</w:t>
              <w:br/>
              <w:tab/>
              <w:t>• Thinks about discussion questions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Trainer's activity:</w:t>
              <w:br/>
              <w:tab/>
              <w:t>• Facilitates discussion on Installing Motherboard and Power Supply</w:t>
              <w:br/>
              <w:tab/>
              <w:t>• Poses open-ended questions</w:t>
              <w:br/>
              <w:tab/>
              <w:t>• Encourages diverse viewpoints</w:t>
              <w:br/>
              <w:tab/>
              <w:t>• Records key points on board</w:t>
              <w:br/>
              <w:tab/>
              <w:t>• Guides discussion toward learning objectives</w:t>
              <w:br/>
              <w:tab/>
              <w:t>• Summarizes main ideas</w:t>
              <w:br/>
              <w:br/>
              <w:t>Learner's activity:</w:t>
              <w:br/>
              <w:tab/>
              <w:t>• Participates actively in discussion</w:t>
              <w:br/>
              <w:tab/>
              <w:t>• Shares ideas and experiences</w:t>
              <w:br/>
              <w:tab/>
              <w:t>• Listens to others' perspectives</w:t>
              <w:br/>
              <w:tab/>
              <w:t>• Asks thoughtful questions</w:t>
              <w:br/>
              <w:tab/>
              <w:t>• Builds on others' contributions</w:t>
              <w:br/>
              <w:tab/>
              <w:t>• Takes notes on key insights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Whiteboard</w:t>
              <w:br/>
              <w:t>Markers</w:t>
              <w:br/>
              <w:t>Discussion prompts</w:t>
              <w:br/>
              <w:t>Reference materials</w:t>
              <w:br/>
              <w:t>Note-taking materials</w:t>
              <w:br/>
              <w:t>Projector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• Gives learners assessment related to Installing Motherboard and Power Supply</w:t>
              <w:br/>
              <w:tab/>
              <w:t>• Evaluates understanding through questions</w:t>
              <w:br/>
              <w:tab/>
              <w:t>• Provides feedback</w:t>
              <w:br/>
              <w:br/>
              <w:t>Learner's activity:</w:t>
              <w:br/>
              <w:tab/>
              <w:t>• Receives assessment and answers questions</w:t>
              <w:br/>
              <w:tab/>
              <w:t>• Demonstrates understanding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assessment,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