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Водородиспользующие метаногенные археи в микробных сообществах многолетнемерзлых отложений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Цель работы состояла в исследовании распространения и разнообразия водородиспользующих метаноархей в микробных сообществах Арктики, изучение физиологических особенностей и адаптационного потенциала метаногенных автотрофных культур, выделенных из вечной мерзлоты.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Для достижения этой цели необходимо было решить следующие задачи:</w:t>
      </w:r>
    </w:p>
    <w:p>
      <w:pPr>
        <w:pStyle w:val="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- изучить культивируемое разнообразие прокариот в образцах ММО о. Западный Шпицберген;</w:t>
      </w:r>
    </w:p>
    <w:p>
      <w:pPr>
        <w:pStyle w:val="Normal"/>
        <w:spacing w:lineRule="auto" w:line="240" w:before="0" w:after="0"/>
        <w:rPr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- исследовать фенотипическую, хемотаксономическую и молекулярно-генетическую характеристику новых водородиспользующего метаногена, выделенного из ММО о. Западный Шпицберген;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- секвенировать, аннотировать и проанализировать геномы двух штаммов водородутилизирующих метаногенов, выделенных из ММО Арктики ранее;</w:t>
      </w:r>
    </w:p>
    <w:p>
      <w:pPr>
        <w:pStyle w:val="Normal"/>
        <w:pBdr/>
        <w:spacing w:lineRule="atLeast" w:line="57" w:before="159" w:after="159"/>
        <w:ind w:left="0" w:right="0" w:hanging="0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hd w:fill="FFFF00" w:val="clear"/>
        </w:rPr>
        <w:t xml:space="preserve">- исследование геномных механизмов адаптации </w:t>
      </w:r>
      <w:r>
        <w:rPr>
          <w:rFonts w:eastAsia="Times New Roman" w:cs="Times New Roman" w:ascii="Times New Roman" w:hAnsi="Times New Roman"/>
          <w:color w:val="000000"/>
          <w:sz w:val="28"/>
          <w:shd w:fill="FFFF00" w:val="clear"/>
        </w:rPr>
        <w:t>исследуемых метаногенов</w:t>
      </w:r>
      <w:r>
        <w:rPr>
          <w:rFonts w:eastAsia="Times New Roman" w:cs="Times New Roman" w:ascii="Times New Roman" w:hAnsi="Times New Roman"/>
          <w:i/>
          <w:color w:val="000000"/>
          <w:sz w:val="28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hd w:fill="FFFF00" w:val="clear"/>
        </w:rPr>
        <w:t>к условиям вечной мерзлоты.</w:t>
      </w:r>
    </w:p>
    <w:p>
      <w:pPr>
        <w:pStyle w:val="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- изучить некультивируемое разнообразие водородиспользующих метаногенных архей в постоянно холодных местах обитания, в том числе в вечной мерзлоте Арктики, с использованием доступных баз данных и данных метагеномов образцов ММО различного возраста и происхождения.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/>
        <w:spacing w:lineRule="atLeast" w:line="85" w:before="240" w:after="0"/>
        <w:ind w:left="0" w:right="0" w:hanging="0"/>
        <w:jc w:val="both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cs="Times New Roman" w:ascii="Times New Roman" w:hAnsi="Times New Roman"/>
          <w:sz w:val="28"/>
          <w:szCs w:val="28"/>
        </w:rPr>
        <w:t>ВЫ</w:t>
      </w:r>
      <w:r>
        <w:rPr>
          <w:rFonts w:cs="Times New Roman" w:ascii="Times New Roman" w:hAnsi="Times New Roman"/>
          <w:sz w:val="28"/>
          <w:szCs w:val="28"/>
        </w:rPr>
        <w:t>ВОДЫ:</w:t>
      </w:r>
    </w:p>
    <w:p>
      <w:pPr>
        <w:pStyle w:val="ListParagraph"/>
        <w:numPr>
          <w:ilvl w:val="0"/>
          <w:numId w:val="1"/>
        </w:numPr>
        <w:pBdr/>
        <w:spacing w:lineRule="atLeast" w:line="85" w:before="240" w:after="0"/>
        <w:ind w:left="0" w:right="0" w:firstLine="85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Изучен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 культ</w:t>
      </w:r>
      <w:r>
        <w:rPr>
          <w:rFonts w:cs="Times New Roman" w:ascii="Times New Roman" w:hAnsi="Times New Roman"/>
          <w:sz w:val="28"/>
          <w:szCs w:val="28"/>
        </w:rPr>
        <w:t>ивируемое разнообразие</w:t>
      </w:r>
      <w:r>
        <w:rPr>
          <w:rFonts w:eastAsia="Times New Roman" w:cs="Times New Roman" w:ascii="Times New Roman" w:hAnsi="Times New Roman"/>
          <w:color w:val="000000"/>
          <w:sz w:val="28"/>
        </w:rPr>
        <w:t xml:space="preserve"> анаэробных и аэробных прокариот в образцах многолетнемёрзлых отложений о. Западный Шпицберген. Численность аэробных органотрофов колебалась в широких пределах, от 1,61×10</w:t>
      </w:r>
      <w:r>
        <w:rPr>
          <w:rFonts w:eastAsia="Times New Roman" w:cs="Times New Roman" w:ascii="Times New Roman" w:hAnsi="Times New Roman"/>
          <w:color w:val="000000"/>
          <w:sz w:val="23"/>
          <w:vertAlign w:val="superscript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</w:rPr>
        <w:t xml:space="preserve"> до 7,0×10</w:t>
      </w:r>
      <w:r>
        <w:rPr>
          <w:rFonts w:eastAsia="Times New Roman" w:cs="Times New Roman" w:ascii="Times New Roman" w:hAnsi="Times New Roman"/>
          <w:color w:val="000000"/>
          <w:sz w:val="23"/>
          <w:vertAlign w:val="superscript"/>
        </w:rPr>
        <w:t>4</w:t>
      </w:r>
      <w:r>
        <w:rPr>
          <w:rFonts w:eastAsia="Times New Roman" w:cs="Times New Roman" w:ascii="Times New Roman" w:hAnsi="Times New Roman"/>
          <w:color w:val="000000"/>
          <w:sz w:val="28"/>
        </w:rPr>
        <w:t xml:space="preserve"> КОЕ/г при температуре 7-8</w:t>
      </w:r>
      <w:r>
        <w:rPr>
          <w:rFonts w:eastAsia="Times New Roman" w:cs="Times New Roman" w:ascii="Times New Roman" w:hAnsi="Times New Roman"/>
          <w:color w:val="000000"/>
          <w:sz w:val="23"/>
          <w:vertAlign w:val="superscript"/>
        </w:rPr>
        <w:t>o</w:t>
      </w:r>
      <w:r>
        <w:rPr>
          <w:rFonts w:eastAsia="Times New Roman" w:cs="Times New Roman" w:ascii="Times New Roman" w:hAnsi="Times New Roman"/>
          <w:color w:val="000000"/>
          <w:sz w:val="28"/>
        </w:rPr>
        <w:t>C и от 3,29×10</w:t>
      </w:r>
      <w:r>
        <w:rPr>
          <w:rFonts w:eastAsia="Times New Roman" w:cs="Times New Roman" w:ascii="Times New Roman" w:hAnsi="Times New Roman"/>
          <w:color w:val="000000"/>
          <w:sz w:val="23"/>
          <w:vertAlign w:val="superscript"/>
        </w:rPr>
        <w:t>1</w:t>
      </w:r>
      <w:r>
        <w:rPr>
          <w:rFonts w:eastAsia="Times New Roman" w:cs="Times New Roman" w:ascii="Times New Roman" w:hAnsi="Times New Roman"/>
          <w:color w:val="000000"/>
          <w:sz w:val="28"/>
        </w:rPr>
        <w:t xml:space="preserve"> до 4,62×10</w:t>
      </w:r>
      <w:r>
        <w:rPr>
          <w:rFonts w:eastAsia="Times New Roman" w:cs="Times New Roman" w:ascii="Times New Roman" w:hAnsi="Times New Roman"/>
          <w:color w:val="000000"/>
          <w:sz w:val="23"/>
          <w:vertAlign w:val="superscript"/>
        </w:rPr>
        <w:t>4</w:t>
      </w:r>
      <w:r>
        <w:rPr>
          <w:rFonts w:eastAsia="Times New Roman" w:cs="Times New Roman" w:ascii="Times New Roman" w:hAnsi="Times New Roman"/>
          <w:color w:val="000000"/>
          <w:sz w:val="28"/>
        </w:rPr>
        <w:t xml:space="preserve"> при 20</w:t>
      </w:r>
      <w:r>
        <w:rPr>
          <w:rFonts w:eastAsia="Times New Roman" w:cs="Times New Roman" w:ascii="Times New Roman" w:hAnsi="Times New Roman"/>
          <w:color w:val="000000"/>
          <w:sz w:val="23"/>
          <w:vertAlign w:val="superscript"/>
        </w:rPr>
        <w:t>o</w:t>
      </w:r>
      <w:r>
        <w:rPr>
          <w:rFonts w:eastAsia="Times New Roman" w:cs="Times New Roman" w:ascii="Times New Roman" w:hAnsi="Times New Roman"/>
          <w:color w:val="000000"/>
          <w:sz w:val="28"/>
        </w:rPr>
        <w:t>C, и была наибольшей в пробах 1 и 6 (2,89×10</w:t>
      </w:r>
      <w:r>
        <w:rPr>
          <w:rFonts w:eastAsia="Times New Roman" w:cs="Times New Roman" w:ascii="Times New Roman" w:hAnsi="Times New Roman"/>
          <w:color w:val="000000"/>
          <w:sz w:val="23"/>
          <w:vertAlign w:val="superscript"/>
        </w:rPr>
        <w:t>4</w:t>
      </w:r>
      <w:r>
        <w:rPr>
          <w:rFonts w:eastAsia="Times New Roman" w:cs="Times New Roman" w:ascii="Times New Roman" w:hAnsi="Times New Roman"/>
          <w:color w:val="000000"/>
          <w:sz w:val="28"/>
        </w:rPr>
        <w:t xml:space="preserve"> и 7,00×10</w:t>
      </w:r>
      <w:r>
        <w:rPr>
          <w:rFonts w:eastAsia="Times New Roman" w:cs="Times New Roman" w:ascii="Times New Roman" w:hAnsi="Times New Roman"/>
          <w:color w:val="000000"/>
          <w:sz w:val="23"/>
          <w:vertAlign w:val="superscript"/>
        </w:rPr>
        <w:t>4</w:t>
      </w:r>
      <w:r>
        <w:rPr>
          <w:rFonts w:eastAsia="Times New Roman" w:cs="Times New Roman" w:ascii="Times New Roman" w:hAnsi="Times New Roman"/>
          <w:color w:val="000000"/>
          <w:sz w:val="28"/>
        </w:rPr>
        <w:t xml:space="preserve"> КОЕ/г, соответственно). Анаэробные микроорганизмы присутствовали в количестве от 3,0×10</w:t>
      </w:r>
      <w:r>
        <w:rPr>
          <w:rFonts w:eastAsia="Times New Roman" w:cs="Times New Roman" w:ascii="Times New Roman" w:hAnsi="Times New Roman"/>
          <w:color w:val="000000"/>
          <w:sz w:val="28"/>
          <w:vertAlign w:val="superscript"/>
        </w:rPr>
        <w:t>1</w:t>
      </w: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</w:rPr>
        <w:t>до 2,2×10</w:t>
      </w:r>
      <w:r>
        <w:rPr>
          <w:rFonts w:eastAsia="Times New Roman" w:cs="Times New Roman" w:ascii="Times New Roman" w:hAnsi="Times New Roman"/>
          <w:color w:val="000000"/>
          <w:sz w:val="28"/>
          <w:vertAlign w:val="superscript"/>
        </w:rPr>
        <w:t>4</w:t>
      </w: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</w:rPr>
        <w:t>кл/г. Полученные данные о численности и распределении микроорганизмов в вечной мерзлоте и активном слое согласуются с данными предыдущих исследований.</w:t>
      </w:r>
    </w:p>
    <w:p>
      <w:pPr>
        <w:pStyle w:val="ListParagraph"/>
        <w:numPr>
          <w:ilvl w:val="0"/>
          <w:numId w:val="1"/>
        </w:numPr>
        <w:pBdr/>
        <w:spacing w:lineRule="atLeast" w:line="85" w:before="0" w:after="0"/>
        <w:ind w:left="0" w:right="0" w:firstLine="85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  <w:t xml:space="preserve">В процессе работы было выделено 60 штаммов аэробных психрофильных и психротолерантных бактерий. При использовании методов секвенирования нуклеотидных последовательностей гена 16S рРНК и МАЛДИ МС анализа были идентифицированы до рода 27 штаммов аэробных бактерий. Среди полученных изолятов обнаружены представители </w:t>
      </w:r>
      <w:r>
        <w:rPr>
          <w:rFonts w:eastAsia="Times New Roman" w:cs="Times New Roman" w:ascii="Times New Roman" w:hAnsi="Times New Roman"/>
          <w:i/>
          <w:color w:val="000000"/>
          <w:sz w:val="28"/>
        </w:rPr>
        <w:t xml:space="preserve">Actinobacteria </w:t>
      </w:r>
      <w:r>
        <w:rPr>
          <w:rFonts w:eastAsia="Times New Roman" w:cs="Times New Roman" w:ascii="Times New Roman" w:hAnsi="Times New Roman"/>
          <w:color w:val="000000"/>
          <w:sz w:val="28"/>
        </w:rPr>
        <w:t xml:space="preserve">(58%), </w:t>
      </w:r>
      <w:r>
        <w:rPr>
          <w:rFonts w:eastAsia="Times New Roman" w:cs="Times New Roman" w:ascii="Times New Roman" w:hAnsi="Times New Roman"/>
          <w:i/>
          <w:color w:val="000000"/>
          <w:sz w:val="28"/>
        </w:rPr>
        <w:t xml:space="preserve">Proteobacteria </w:t>
      </w:r>
      <w:r>
        <w:rPr>
          <w:rFonts w:eastAsia="Times New Roman" w:cs="Times New Roman" w:ascii="Times New Roman" w:hAnsi="Times New Roman"/>
          <w:color w:val="000000"/>
          <w:sz w:val="28"/>
        </w:rPr>
        <w:t xml:space="preserve">(23%) и </w:t>
      </w:r>
      <w:r>
        <w:rPr>
          <w:rFonts w:eastAsia="Times New Roman" w:cs="Times New Roman" w:ascii="Times New Roman" w:hAnsi="Times New Roman"/>
          <w:i/>
          <w:color w:val="000000"/>
          <w:sz w:val="28"/>
        </w:rPr>
        <w:t xml:space="preserve">Firmicutes </w:t>
      </w:r>
      <w:r>
        <w:rPr>
          <w:rFonts w:eastAsia="Times New Roman" w:cs="Times New Roman" w:ascii="Times New Roman" w:hAnsi="Times New Roman"/>
          <w:color w:val="000000"/>
          <w:sz w:val="28"/>
        </w:rPr>
        <w:t>(19%), некоторые из них филогенетически близки к ранее выделенным из ледников и пород о. Западный Шпицберген.</w:t>
      </w:r>
      <w:r>
        <w:rPr>
          <w:rFonts w:eastAsia="Times New Roman" w:cs="Times New Roman" w:ascii="Times New Roman" w:hAnsi="Times New Roman"/>
          <w:color w:val="000000"/>
          <w:sz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Впервые в исследованных образцах ММО были обнаружены метаногенные археи и бактерии, образующие ацетат из Н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и СО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pBdr/>
        <w:spacing w:lineRule="atLeast" w:line="85" w:before="0" w:after="0"/>
        <w:ind w:left="0" w:right="0" w:firstLine="85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Выделен и описан новый штамм метанообразующих архей, названный нами VT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perscript"/>
        </w:rPr>
        <w:t>T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. По результатам филогенетического анализа штамм был отнесён к роду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</w:rPr>
        <w:t>Methanobacterium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с ближайшим типовым видом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</w:rPr>
        <w:t>M. lacus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17A1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perscript"/>
        </w:rPr>
        <w:t>T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. </w:t>
      </w:r>
    </w:p>
    <w:p>
      <w:pPr>
        <w:pStyle w:val="ListParagraph"/>
        <w:numPr>
          <w:ilvl w:val="0"/>
          <w:numId w:val="1"/>
        </w:numPr>
        <w:pBdr/>
        <w:spacing w:lineRule="atLeast" w:line="85" w:before="0" w:after="0"/>
        <w:ind w:left="0" w:right="0" w:firstLine="85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</w:rPr>
        <w:t>Показано, что новый штамм обладает рядом существенных физиологических отличий от типовых штаммов ближайших видов.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Оптимальными условиями для роста являлись температура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perscript"/>
        </w:rPr>
        <w:t>o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C, pH 6,6, солёность 0,03-0,05 M. Единственным используемым субстратом для него являлась газовая смесь H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/CO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. </w:t>
      </w:r>
    </w:p>
    <w:p>
      <w:pPr>
        <w:pStyle w:val="ListParagraph"/>
        <w:numPr>
          <w:ilvl w:val="0"/>
          <w:numId w:val="1"/>
        </w:numPr>
        <w:pBdr/>
        <w:spacing w:lineRule="atLeast" w:line="85" w:before="0" w:after="0"/>
        <w:ind w:left="0" w:right="0" w:firstLine="85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Был секвенирован, собран и проанализирован геном нового штамма.  Анализ показал, что различия между ним и геномами ближайших валидированных видов существенны. Н</w:t>
      </w:r>
      <w:r>
        <w:rPr>
          <w:rFonts w:eastAsia="Times New Roman" w:cs="Times New Roman" w:ascii="Times New Roman" w:hAnsi="Times New Roman"/>
          <w:color w:val="000000"/>
          <w:sz w:val="28"/>
          <w:highlight w:val="white"/>
        </w:rPr>
        <w:t xml:space="preserve">а основании </w:t>
      </w:r>
      <w:r>
        <w:rPr>
          <w:rFonts w:cs="Times New Roman" w:ascii="Times New Roman" w:hAnsi="Times New Roman"/>
          <w:color w:val="000000"/>
          <w:sz w:val="28"/>
          <w:szCs w:val="28"/>
          <w:highlight w:val="white"/>
          <w:shd w:fill="FFFFFF" w:val="clear"/>
        </w:rPr>
        <w:t>фенотипических, хемотаксономических и молекулярно-генетических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 xml:space="preserve"> данных выделенный нами метаноген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был описан как представитель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нового вида метанообразующих архей, для которого предложено название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</w:rPr>
        <w:t>‘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</w:rPr>
        <w:t>Methanobacterium shpitsbergensis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</w:rPr>
        <w:t>’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sp. nov. с типовым штаммом VT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perscript"/>
        </w:rPr>
        <w:t>T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(=VKM B-3566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perscript"/>
        </w:rPr>
        <w:t>T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=JCM 39284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perscript"/>
        </w:rPr>
        <w:t>T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).</w:t>
      </w:r>
    </w:p>
    <w:p>
      <w:pPr>
        <w:pStyle w:val="ListParagraph"/>
        <w:numPr>
          <w:ilvl w:val="0"/>
          <w:numId w:val="1"/>
        </w:numPr>
        <w:pBdr/>
        <w:shd w:val="clear" w:color="FFFFFF" w:themeColor="background1" w:fill="FFFFFF" w:themeFill="background1"/>
        <w:spacing w:lineRule="atLeast" w:line="85" w:before="0" w:after="0"/>
        <w:ind w:left="0" w:right="0" w:firstLine="85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highlight w:val="none"/>
          <w14:ligatures w14:val="non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Были секвенирова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ны, аннотированы и проанализированы геномы двух штаммов водородутилизирующих метаногенов M2 и MK4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vertAlign w:val="superscript"/>
        </w:rPr>
        <w:t>T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, выделенных ранее из ММО Арктики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. Биоинформационный анализ геномных последовательностей показал, что штаммы, несмотря на фенотипические отличия, являются представителями одного вида. Это свидетельствует о том, что временной отрезок в 3 млн лет не может быть достаточным для изменения генотипа метаногенных архей, генерирующих метан из водорода и СО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vertAlign w:val="subscript"/>
        </w:rPr>
        <w:t>2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.</w:t>
      </w:r>
    </w:p>
    <w:p>
      <w:pPr>
        <w:pStyle w:val="ListParagraph"/>
        <w:numPr>
          <w:ilvl w:val="0"/>
          <w:numId w:val="1"/>
        </w:numPr>
        <w:pBdr/>
        <w:shd w:val="clear" w:color="FFFFFF" w:themeColor="background1" w:fill="FFFFFF" w:themeFill="background1"/>
        <w:spacing w:lineRule="atLeast" w:line="85" w:before="240" w:after="0"/>
        <w:ind w:left="0" w:right="0" w:firstLine="85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highlight w:val="none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sz w:val="28"/>
        </w:rPr>
        <w:t>Исследованы геномные механизмы адаптации метанообразующих архей рода</w:t>
      </w:r>
      <w:r>
        <w:rPr>
          <w:rFonts w:eastAsia="Times New Roman" w:cs="Times New Roman" w:ascii="Times New Roman" w:hAnsi="Times New Roman"/>
          <w:i/>
          <w:color w:val="000000"/>
          <w:sz w:val="28"/>
        </w:rPr>
        <w:t xml:space="preserve"> Methanobacterium </w:t>
      </w:r>
      <w:r>
        <w:rPr>
          <w:rFonts w:eastAsia="Times New Roman" w:cs="Times New Roman" w:ascii="Times New Roman" w:hAnsi="Times New Roman"/>
          <w:color w:val="000000"/>
          <w:sz w:val="28"/>
        </w:rPr>
        <w:t>к холодным условиям и условиям вечной мерзлоты.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Показано, что при переходе к более холодным условиям имеет место замещение кодонов на GC-бедные при кодировании лейцина, изолейцина, тирозина, аланина, серина. У более холодолюбивых штаммов кодируется больше изолейцина, лизина и аспарагина, присутствует общая тенденция к уменьшению количества закодированного глутамина, валина, лейцина и серина. </w:t>
      </w:r>
      <w:r>
        <w:rPr>
          <w:rFonts w:eastAsia="Times New Roman" w:cs="Times New Roman" w:ascii="Times New Roman" w:hAnsi="Times New Roman"/>
          <w:color w:val="000000"/>
          <w:sz w:val="28"/>
        </w:rPr>
        <w:t xml:space="preserve">В ходе анализа выявлена обратная взаимосвязь между оптимальной температурой культивирования и размером генома у близкородственных штаммов, что подтверждает </w:t>
      </w:r>
      <w:r>
        <w:rPr>
          <w:rFonts w:cs="Times New Roman" w:ascii="Times New Roman" w:hAnsi="Times New Roman"/>
          <w:color w:val="000000"/>
          <w:sz w:val="28"/>
          <w:szCs w:val="28"/>
          <w14:ligatures w14:val="none"/>
        </w:rPr>
        <w:t>отмеченные другими исследователями закономерности.</w:t>
      </w:r>
    </w:p>
    <w:p>
      <w:pPr>
        <w:pStyle w:val="ListParagraph"/>
        <w:numPr>
          <w:ilvl w:val="0"/>
          <w:numId w:val="1"/>
        </w:numPr>
        <w:pBdr/>
        <w:shd w:val="clear" w:color="FFFFFF" w:themeColor="background1" w:fill="FFFFFF" w:themeFill="background1"/>
        <w:spacing w:lineRule="atLeast" w:line="85" w:before="240" w:after="0"/>
        <w:ind w:left="0" w:right="0" w:firstLine="850"/>
        <w:contextualSpacing/>
        <w:jc w:val="both"/>
        <w:rPr>
          <w:rFonts w:ascii="Times New Roman" w:hAnsi="Times New Roman" w:cs="Times New Roman"/>
          <w:bCs w:val="false"/>
          <w:i w:val="false"/>
          <w:i w:val="false"/>
          <w:color w:val="000000"/>
          <w:sz w:val="28"/>
          <w:szCs w:val="28"/>
          <w:highlight w:val="none"/>
          <w14:ligatures w14:val="none"/>
        </w:rPr>
      </w:pPr>
      <w:r>
        <w:rPr>
          <w:rFonts w:cs="Times New Roman" w:ascii="Times New Roman" w:hAnsi="Times New Roman"/>
          <w:color w:val="000000"/>
          <w:sz w:val="28"/>
          <w:szCs w:val="28"/>
          <w14:ligatures w14:val="none"/>
        </w:rPr>
        <w:t xml:space="preserve">Проведён анализ встречаемости групп генов по различным базам данных у арктических штаммов. У арктических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14:ligatures w14:val="none"/>
        </w:rPr>
        <w:t xml:space="preserve">Methanobacterium 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  <w14:ligatures w14:val="none"/>
        </w:rPr>
        <w:t>наблюдается увеличение количества генов, связанных с механизмами проведения сигнала, транспортом и метаболизмом неорганических ионов и транспортом и метаболизмом липидов, и уменьшается количество генов, связанных с биогенезом клеточной стенки, транспортом и метаболизмом углеводов и контролем клеточного цикла.</w:t>
      </w:r>
    </w:p>
    <w:p>
      <w:pPr>
        <w:pStyle w:val="ListParagraph"/>
        <w:numPr>
          <w:ilvl w:val="0"/>
          <w:numId w:val="1"/>
        </w:numPr>
        <w:pBdr/>
        <w:shd w:val="clear" w:color="FFFFFF" w:themeColor="background1" w:fill="FFFFFF" w:themeFill="background1"/>
        <w:spacing w:lineRule="atLeast" w:line="85" w:before="240" w:after="0"/>
        <w:ind w:left="0" w:right="0" w:firstLine="85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highlight w:val="none"/>
          <w14:ligatures w14:val="none"/>
        </w:rPr>
      </w:pP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  <w14:ligatures w14:val="none"/>
        </w:rPr>
        <w:t xml:space="preserve">Общие для арктических метаноархей гены, не встречающиеся у их ближайших родственников, составляют чрезвычайно малую часть:  8 ортологов при стандартных параметрах поиска. </w:t>
      </w:r>
      <w:r>
        <w:rPr>
          <w:rFonts w:eastAsia="Times New Roman" w:cs="Times New Roman" w:ascii="Times New Roman" w:hAnsi="Times New Roman"/>
          <w:color w:val="000000"/>
          <w:sz w:val="28"/>
        </w:rPr>
        <w:t xml:space="preserve">Данный результат может говорить о том, что адаптации представителей </w:t>
      </w:r>
      <w:r>
        <w:rPr>
          <w:rFonts w:eastAsia="Times New Roman" w:cs="Times New Roman" w:ascii="Times New Roman" w:hAnsi="Times New Roman"/>
          <w:i/>
          <w:color w:val="000000"/>
          <w:sz w:val="28"/>
        </w:rPr>
        <w:t xml:space="preserve">Methanobacterium </w:t>
      </w:r>
      <w:r>
        <w:rPr>
          <w:rFonts w:eastAsia="Times New Roman" w:cs="Times New Roman" w:ascii="Times New Roman" w:hAnsi="Times New Roman"/>
          <w:color w:val="000000"/>
          <w:sz w:val="28"/>
        </w:rPr>
        <w:t xml:space="preserve">к обитанию в вечной мерзлоте на уровне генов индивидуальны. Присутствуют ортологичные флавин-редуктазы, нитроредуктазы и цистеин-гидролазы, заимствованные у разных групп бактерий, а также редко встречающиеся у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</w:rPr>
        <w:t>Methanobacterium</w:t>
      </w:r>
      <w:r>
        <w:rPr>
          <w:rFonts w:eastAsia="Times New Roman" w:cs="Times New Roman" w:ascii="Times New Roman" w:hAnsi="Times New Roman"/>
          <w:color w:val="000000"/>
          <w:sz w:val="28"/>
        </w:rPr>
        <w:t xml:space="preserve"> варианты SAM-зависимой метилтрансферазы I, вероятной каротиноид-1,2-гидратазы и 2 неизвестных белка.</w:t>
      </w:r>
    </w:p>
    <w:p>
      <w:pPr>
        <w:pStyle w:val="Normal"/>
        <w:pBdr/>
        <w:spacing w:lineRule="atLeast" w:line="85" w:before="240" w:after="0"/>
        <w:ind w:right="0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Calibri" w:hAnsi="Calibri" w:cs="Arial" w:asciiTheme="minorHAnsi" w:cstheme="minorBidi" w:hAnsiTheme="minorHAnsi" w:eastAsia="Calibri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-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">
    <w:name w:val="Символ сноски"/>
    <w:uiPriority w:val="99"/>
    <w:unhideWhenUsed/>
    <w:qFormat/>
    <w:rPr>
      <w:vertAlign w:val="superscript"/>
    </w:rPr>
  </w:style>
  <w:style w:type="character" w:styleId="Style1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2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3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4">
    <w:name w:val="Заголовок"/>
    <w:basedOn w:val="Normal"/>
    <w:next w:val="Style5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Style5">
    <w:name w:val="Body Text"/>
    <w:basedOn w:val="Normal"/>
    <w:pPr>
      <w:spacing w:lineRule="auto" w:line="276" w:before="0" w:after="140"/>
    </w:pPr>
    <w:rPr/>
  </w:style>
  <w:style w:type="paragraph" w:styleId="Style6">
    <w:name w:val="List"/>
    <w:basedOn w:val="Style5"/>
    <w:pPr/>
    <w:rPr>
      <w:rFonts w:cs="Noto Sans Devanagari"/>
    </w:rPr>
  </w:style>
  <w:style w:type="paragraph" w:styleId="Style7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8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  <w14:ligatures w14:val="standardContextual"/>
    </w:rPr>
  </w:style>
  <w:style w:type="paragraph" w:styleId="Style9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0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3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4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15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Style16">
    <w:name w:val="Index Heading"/>
    <w:basedOn w:val="Style4"/>
    <w:pPr/>
    <w:rPr/>
  </w:style>
  <w:style w:type="paragraph" w:styleId="Style17">
    <w:name w:val="TOC Heading"/>
    <w:uiPriority w:val="39"/>
    <w:unhideWhenUsed/>
    <w:pPr>
      <w:widowControl/>
      <w:bidi w:val="0"/>
      <w:spacing w:lineRule="auto" w:line="259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  <w14:ligatures w14:val="standardContextual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LibreOffice/7.5.0.3$Linux_X86_64 LibreOffice_project/c21113d003cd3efa8c53188764377a8272d9d6de</Application>
  <AppVersion>15.0000</AppVersion>
  <Pages>3</Pages>
  <Words>665</Words>
  <Characters>4839</Characters>
  <CharactersWithSpaces>5482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2023-03-20T04:31:00Z</dcterms:created>
  <dc:creator>Виктория Щербакова</dc:creator>
  <dc:description/>
  <dc:language>ru-RU</dc:language>
  <cp:lastModifiedBy/>
  <dcterms:modified xsi:type="dcterms:W3CDTF">2023-03-26T01:05:29Z</dcterms:modified>
  <cp:revision>4</cp:revision>
  <dc:subject/>
  <dc:title/>
</cp:coreProperties>
</file>