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026"/>
        <w:gridCol w:w="1500"/>
      </w:tblGrid>
      <w:tr w14:paraId="0351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68299A40"/>
        </w:tc>
        <w:tc>
          <w:tcPr>
            <w:tcW w:w="6026" w:type="dxa"/>
            <w:tcBorders>
              <w:top w:val="nil"/>
              <w:left w:val="nil"/>
              <w:bottom w:val="single" w:color="000000" w:sz="2" w:space="0"/>
              <w:right w:val="nil"/>
            </w:tcBorders>
            <w:vAlign w:val="center"/>
          </w:tcPr>
          <w:p w14:paraId="3D4ECA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Univerzitet u Novom Sadu</w:t>
            </w:r>
          </w:p>
          <w:p w14:paraId="482208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Tehnički fakultet »Mihajlo Pupin«</w:t>
            </w:r>
          </w:p>
          <w:p w14:paraId="4E27211C">
            <w:pPr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Zrenjanin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7758DC63"/>
        </w:tc>
      </w:tr>
    </w:tbl>
    <w:p w14:paraId="7B190E9F"/>
    <w:p w14:paraId="3FADB2CA"/>
    <w:p w14:paraId="225C3E70">
      <w:pPr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>Školska 2025/26 godina</w:t>
      </w:r>
    </w:p>
    <w:p w14:paraId="18DABCC2"/>
    <w:p w14:paraId="227B554B">
      <w:pPr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>Nastavni predmet: Računarski simulacioni procesi</w:t>
      </w:r>
    </w:p>
    <w:p w14:paraId="184E57B5"/>
    <w:p w14:paraId="078EE318"/>
    <w:p w14:paraId="4E3C5404">
      <w:pPr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SEMINARSKI RAD</w:t>
      </w:r>
    </w:p>
    <w:p w14:paraId="466DBCD6"/>
    <w:p w14:paraId="16F3D4CB">
      <w:pPr>
        <w:jc w:val="center"/>
      </w:pPr>
      <w:r>
        <w:rPr>
          <w:rFonts w:ascii="Arial" w:hAnsi="Arial" w:eastAsia="Arial" w:cs="Arial"/>
          <w:sz w:val="24"/>
          <w:szCs w:val="24"/>
        </w:rPr>
        <w:t>Tema: Simulacija sistema</w:t>
      </w:r>
      <w:r>
        <w:rPr>
          <w:rFonts w:hint="default" w:cs="Arial"/>
          <w:sz w:val="24"/>
          <w:szCs w:val="24"/>
          <w:lang w:val="en-US"/>
        </w:rPr>
        <w:t xml:space="preserve"> rada</w:t>
      </w:r>
      <w:r>
        <w:rPr>
          <w:rFonts w:ascii="Arial" w:hAnsi="Arial" w:eastAsia="Arial" w:cs="Arial"/>
          <w:sz w:val="24"/>
          <w:szCs w:val="24"/>
        </w:rPr>
        <w:t xml:space="preserve"> baterije i punšača pod opterećenjem</w:t>
      </w:r>
    </w:p>
    <w:p w14:paraId="525D3849"/>
    <w:p w14:paraId="29A0BFD1"/>
    <w:p w14:paraId="5F18550F"/>
    <w:p w14:paraId="633930AF"/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81B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77D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Predmetni nastavnik:</w:t>
            </w:r>
          </w:p>
          <w:p w14:paraId="565B3E51">
            <w:r>
              <w:rPr>
                <w:rFonts w:ascii="Arial" w:hAnsi="Arial" w:eastAsia="Arial" w:cs="Arial"/>
                <w:sz w:val="22"/>
                <w:szCs w:val="22"/>
              </w:rPr>
              <w:t>Prof. Dr. Marjana Pardanjac</w:t>
            </w:r>
          </w:p>
          <w:p w14:paraId="57608CC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Predmetni asistent:</w:t>
            </w:r>
          </w:p>
          <w:p w14:paraId="49FF3379">
            <w:r>
              <w:rPr>
                <w:rFonts w:ascii="Arial" w:hAnsi="Arial" w:eastAsia="Arial" w:cs="Arial"/>
                <w:sz w:val="22"/>
                <w:szCs w:val="22"/>
              </w:rPr>
              <w:t>MSc Katarina Vignjevć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FA1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Student:</w:t>
            </w:r>
          </w:p>
          <w:p w14:paraId="30DCE10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Vasilije Tomic IT 27/22</w:t>
            </w:r>
          </w:p>
        </w:tc>
      </w:tr>
    </w:tbl>
    <w:p w14:paraId="0BB4D9F7"/>
    <w:p w14:paraId="12671C82"/>
    <w:p w14:paraId="55B9DA94"/>
    <w:p w14:paraId="77C7913B">
      <w:pPr>
        <w:jc w:val="center"/>
      </w:pPr>
      <w:r>
        <w:rPr>
          <w:rFonts w:ascii="Arial" w:hAnsi="Arial" w:eastAsia="Arial" w:cs="Arial"/>
          <w:sz w:val="22"/>
          <w:szCs w:val="22"/>
        </w:rPr>
        <w:t>Zrenjanin, 2026. godina</w:t>
      </w:r>
    </w:p>
    <w:p w14:paraId="2E8D47A2">
      <w:r>
        <w:br w:type="page"/>
      </w:r>
    </w:p>
    <w:sdt>
      <w:sdtPr>
        <w:alias w:val="Sadržaj"/>
        <w:id w:val="147483417"/>
      </w:sdtPr>
      <w:sdtContent>
        <w:p w14:paraId="626D5BA2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5372A05">
          <w:r>
            <w:fldChar w:fldCharType="end"/>
          </w:r>
        </w:p>
      </w:sdtContent>
    </w:sdt>
    <w:sdt>
      <w:sdtPr>
        <w:rPr>
          <w:rFonts w:cs="Times New Roman" w:eastAsiaTheme="minorHAnsi"/>
          <w:b w:val="0"/>
          <w:sz w:val="24"/>
          <w:szCs w:val="22"/>
          <w:lang w:val="sr-Latn-RS"/>
        </w:rPr>
        <w:id w:val="1572847144"/>
        <w:docPartObj>
          <w:docPartGallery w:val="Table of Contents"/>
          <w:docPartUnique/>
        </w:docPartObj>
      </w:sdtPr>
      <w:sdtEndPr>
        <w:rPr>
          <w:rFonts w:cs="Times New Roman" w:eastAsiaTheme="minorHAnsi"/>
          <w:b w:val="0"/>
          <w:bCs/>
          <w:sz w:val="24"/>
          <w:szCs w:val="22"/>
          <w:lang w:val="sr-Latn-RS"/>
        </w:rPr>
      </w:sdtEndPr>
      <w:sdtContent>
        <w:p w14:paraId="0DE1B395">
          <w:pPr>
            <w:pStyle w:val="21"/>
            <w:rPr>
              <w:rFonts w:cs="Times New Roman"/>
              <w:sz w:val="28"/>
              <w:szCs w:val="28"/>
              <w:lang w:val="sr-Latn-RS"/>
            </w:rPr>
          </w:pPr>
          <w:r>
            <w:rPr>
              <w:rFonts w:cs="Times New Roman"/>
              <w:sz w:val="28"/>
              <w:szCs w:val="28"/>
              <w:lang w:val="sr-Latn-RS"/>
            </w:rPr>
            <w:t>Sadržaj</w:t>
          </w:r>
        </w:p>
        <w:p w14:paraId="753A2542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rPr>
              <w:b/>
              <w:bCs/>
              <w:lang w:val="sr-Latn-RS"/>
            </w:rPr>
            <w:fldChar w:fldCharType="begin"/>
          </w:r>
          <w:r>
            <w:rPr>
              <w:b/>
              <w:bCs/>
              <w:lang w:val="sr-Latn-RS"/>
            </w:rPr>
            <w:instrText xml:space="preserve"> TOC \o "1-3" \h \z \u </w:instrText>
          </w:r>
          <w:r>
            <w:rPr>
              <w:b/>
              <w:bCs/>
              <w:lang w:val="sr-Latn-RS"/>
            </w:rPr>
            <w:fldChar w:fldCharType="separate"/>
          </w:r>
          <w:r>
            <w:fldChar w:fldCharType="begin"/>
          </w:r>
          <w:r>
            <w:instrText xml:space="preserve"> HYPERLINK \l "_Toc226891284" </w:instrText>
          </w:r>
          <w:r>
            <w:fldChar w:fldCharType="separate"/>
          </w:r>
          <w:r>
            <w:rPr>
              <w:rStyle w:val="14"/>
              <w:lang w:val="sr-Latn-RS"/>
            </w:rPr>
            <w:t>1.</w:t>
          </w:r>
          <w:r>
            <w:rPr>
              <w:rStyle w:val="14"/>
              <w:bCs/>
              <w:lang w:val="sr-Latn-RS"/>
            </w:rPr>
            <w:t xml:space="preserve"> Uvod</w:t>
          </w:r>
          <w:r>
            <w:tab/>
          </w:r>
          <w:r>
            <w:rPr>
              <w:rFonts w:hint="default"/>
              <w:lang w:val="en-US"/>
            </w:rPr>
            <w:t>3</w:t>
          </w:r>
          <w:r>
            <w:fldChar w:fldCharType="end"/>
          </w:r>
        </w:p>
        <w:p w14:paraId="52B44897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"_Toc226891285" </w:instrText>
          </w:r>
          <w:r>
            <w:fldChar w:fldCharType="separate"/>
          </w:r>
          <w:r>
            <w:rPr>
              <w:rStyle w:val="14"/>
              <w:lang w:val="sr-Latn-RS"/>
            </w:rPr>
            <w:t>2. Elementi modela i njihova uloga</w:t>
          </w:r>
          <w:r>
            <w:tab/>
          </w:r>
          <w:r>
            <w:fldChar w:fldCharType="begin"/>
          </w:r>
          <w:r>
            <w:instrText xml:space="preserve"> PAGEREF _Toc226891285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51AD2F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"_Toc226891286" </w:instrText>
          </w:r>
          <w:r>
            <w:fldChar w:fldCharType="separate"/>
          </w:r>
          <w:r>
            <w:rPr>
              <w:rStyle w:val="14"/>
              <w:lang w:val="sr-Latn-RS"/>
            </w:rPr>
            <w:t>3. Opis toka simulacije</w:t>
          </w:r>
          <w:r>
            <w:tab/>
          </w:r>
          <w:r>
            <w:rPr>
              <w:rFonts w:hint="default"/>
              <w:lang w:val="en-US"/>
            </w:rPr>
            <w:t>3</w:t>
          </w:r>
          <w:r>
            <w:fldChar w:fldCharType="end"/>
          </w:r>
        </w:p>
        <w:p w14:paraId="7D6DC63A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"_Toc226891287" </w:instrText>
          </w:r>
          <w:r>
            <w:fldChar w:fldCharType="separate"/>
          </w:r>
          <w:r>
            <w:rPr>
              <w:rStyle w:val="14"/>
              <w:lang w:val="sr-Latn-RS"/>
            </w:rPr>
            <w:t>4. Izgradnja simulacije</w:t>
          </w:r>
          <w:r>
            <w:tab/>
          </w:r>
          <w:r>
            <w:rPr>
              <w:rFonts w:hint="default"/>
              <w:lang w:val="en-US"/>
            </w:rPr>
            <w:t>4</w:t>
          </w:r>
          <w:r>
            <w:fldChar w:fldCharType="end"/>
          </w:r>
        </w:p>
        <w:p w14:paraId="775A9D52">
          <w:pPr>
            <w:pStyle w:val="17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"_Toc226891288" </w:instrText>
          </w:r>
          <w:r>
            <w:fldChar w:fldCharType="separate"/>
          </w:r>
          <w:r>
            <w:rPr>
              <w:rStyle w:val="14"/>
              <w:lang w:val="sr-Latn-RS"/>
            </w:rPr>
            <w:t>4.1 Postavljanje blokova</w:t>
          </w:r>
          <w:r>
            <w:tab/>
          </w:r>
          <w:r>
            <w:rPr>
              <w:rFonts w:hint="default"/>
              <w:lang w:val="en-US"/>
            </w:rPr>
            <w:t>4</w:t>
          </w:r>
          <w:r>
            <w:fldChar w:fldCharType="end"/>
          </w:r>
        </w:p>
        <w:p w14:paraId="6A525589">
          <w:pPr>
            <w:pStyle w:val="17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"_Toc226891289" </w:instrText>
          </w:r>
          <w:r>
            <w:fldChar w:fldCharType="separate"/>
          </w:r>
          <w:r>
            <w:rPr>
              <w:rStyle w:val="14"/>
              <w:lang w:val="sr-Latn-RS"/>
            </w:rPr>
            <w:t>4.2 Povezivanje blokova u simulaciji</w:t>
          </w:r>
          <w:r>
            <w:tab/>
          </w:r>
          <w:r>
            <w:rPr>
              <w:rFonts w:hint="default"/>
              <w:lang w:val="en-US"/>
            </w:rPr>
            <w:t>4</w:t>
          </w:r>
          <w:r>
            <w:fldChar w:fldCharType="end"/>
          </w:r>
        </w:p>
        <w:p w14:paraId="73A8679F">
          <w:pPr>
            <w:pStyle w:val="17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"_Toc226891290" </w:instrText>
          </w:r>
          <w:r>
            <w:fldChar w:fldCharType="separate"/>
          </w:r>
          <w:r>
            <w:rPr>
              <w:rStyle w:val="14"/>
              <w:lang w:val="sr-Latn-RS"/>
            </w:rPr>
            <w:t>4.3. Vrednosti blokova u simulaciji</w:t>
          </w:r>
          <w:r>
            <w:tab/>
          </w:r>
          <w:r>
            <w:rPr>
              <w:rFonts w:hint="default"/>
              <w:lang w:val="en-US"/>
            </w:rPr>
            <w:t>5</w:t>
          </w:r>
          <w:r>
            <w:fldChar w:fldCharType="end"/>
          </w:r>
        </w:p>
        <w:p w14:paraId="1E9C2C76">
          <w:pPr>
            <w:pStyle w:val="17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"_Toc226891291" </w:instrText>
          </w:r>
          <w:r>
            <w:fldChar w:fldCharType="separate"/>
          </w:r>
          <w:r>
            <w:rPr>
              <w:rStyle w:val="14"/>
              <w:lang w:val="sr-Latn-RS"/>
            </w:rPr>
            <w:t>4.4. Podsistem</w:t>
          </w:r>
          <w:r>
            <w:tab/>
          </w:r>
          <w:r>
            <w:rPr>
              <w:rFonts w:hint="default"/>
              <w:lang w:val="en-US"/>
            </w:rPr>
            <w:t>6</w:t>
          </w:r>
          <w:r>
            <w:fldChar w:fldCharType="end"/>
          </w:r>
        </w:p>
        <w:p w14:paraId="68625B58">
          <w:pPr>
            <w:pStyle w:val="17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"_Toc226891292" </w:instrText>
          </w:r>
          <w:r>
            <w:fldChar w:fldCharType="separate"/>
          </w:r>
          <w:r>
            <w:rPr>
              <w:rStyle w:val="14"/>
              <w:lang w:val="sr-Latn-RS"/>
            </w:rPr>
            <w:t>4.5. Dodavanje komentara</w:t>
          </w:r>
          <w:r>
            <w:tab/>
          </w:r>
          <w:r>
            <w:rPr>
              <w:rFonts w:hint="default"/>
              <w:lang w:val="en-US"/>
            </w:rPr>
            <w:t>7</w:t>
          </w:r>
          <w:r>
            <w:fldChar w:fldCharType="end"/>
          </w:r>
        </w:p>
        <w:p w14:paraId="4B5F0C57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"_Toc226891294" </w:instrText>
          </w:r>
          <w:r>
            <w:fldChar w:fldCharType="separate"/>
          </w:r>
          <w:r>
            <w:rPr>
              <w:rStyle w:val="14"/>
              <w:lang w:val="sr-Latn-RS"/>
            </w:rPr>
            <w:t>5. Finalni dijagram simulacije</w:t>
          </w:r>
          <w:r>
            <w:tab/>
          </w:r>
          <w:r>
            <w:rPr>
              <w:rFonts w:hint="default"/>
              <w:lang w:val="en-US"/>
            </w:rPr>
            <w:t>8</w:t>
          </w:r>
          <w:r>
            <w:fldChar w:fldCharType="end"/>
          </w:r>
        </w:p>
        <w:p w14:paraId="658B7837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"_Toc226891297" </w:instrText>
          </w:r>
          <w:r>
            <w:fldChar w:fldCharType="separate"/>
          </w:r>
          <w:r>
            <w:rPr>
              <w:rStyle w:val="14"/>
              <w:lang w:val="sr-Latn-RS"/>
            </w:rPr>
            <w:t>6. Poređenje rezultata</w:t>
          </w:r>
          <w:r>
            <w:tab/>
          </w:r>
          <w:r>
            <w:rPr>
              <w:rFonts w:hint="default"/>
              <w:lang w:val="en-US"/>
            </w:rPr>
            <w:t>8</w:t>
          </w:r>
          <w:r>
            <w:fldChar w:fldCharType="end"/>
          </w:r>
        </w:p>
        <w:p w14:paraId="328FB8AA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"_Toc226891298" </w:instrText>
          </w:r>
          <w:r>
            <w:fldChar w:fldCharType="separate"/>
          </w:r>
          <w:r>
            <w:rPr>
              <w:rStyle w:val="14"/>
              <w:lang w:val="sr-Latn-RS"/>
            </w:rPr>
            <w:t>7. Zaključak</w:t>
          </w:r>
          <w:r>
            <w:tab/>
          </w:r>
          <w:r>
            <w:rPr>
              <w:rFonts w:hint="default"/>
              <w:lang w:val="en-US"/>
            </w:rPr>
            <w:t>9</w:t>
          </w:r>
          <w:r>
            <w:fldChar w:fldCharType="end"/>
          </w:r>
        </w:p>
        <w:p w14:paraId="4EAC0DB3">
          <w:pPr>
            <w:pStyle w:val="16"/>
            <w:tabs>
              <w:tab w:val="right" w:leader="dot" w:pos="8496"/>
            </w:tabs>
            <w:rPr>
              <w:rFonts w:asciiTheme="minorHAnsi" w:hAnsiTheme="minorHAnsi" w:eastAsiaTheme="minor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"_Toc226891299" </w:instrText>
          </w:r>
          <w:r>
            <w:fldChar w:fldCharType="separate"/>
          </w:r>
          <w:r>
            <w:rPr>
              <w:rStyle w:val="14"/>
              <w:lang w:val="sr-Latn-RS"/>
            </w:rPr>
            <w:t>Literatura</w:t>
          </w:r>
          <w:r>
            <w:tab/>
          </w:r>
          <w:r>
            <w:rPr>
              <w:rFonts w:hint="default"/>
              <w:lang w:val="en-US"/>
            </w:rPr>
            <w:t>9</w:t>
          </w:r>
          <w:r>
            <w:fldChar w:fldCharType="end"/>
          </w:r>
        </w:p>
        <w:p w14:paraId="56ABD6A7">
          <w:pPr>
            <w:rPr>
              <w:rFonts w:cs="Times New Roman" w:eastAsiaTheme="minorHAnsi"/>
              <w:b w:val="0"/>
              <w:bCs/>
              <w:sz w:val="24"/>
              <w:szCs w:val="22"/>
              <w:lang w:val="sr-Latn-RS"/>
            </w:rPr>
          </w:pPr>
          <w:r>
            <w:rPr>
              <w:b/>
              <w:bCs/>
              <w:lang w:val="sr-Latn-RS"/>
            </w:rPr>
            <w:fldChar w:fldCharType="end"/>
          </w:r>
        </w:p>
      </w:sdtContent>
    </w:sdt>
    <w:p w14:paraId="660BB702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682D590C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62837D98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69A6832C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2871C975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7ADC9F42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653AF8E4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4D17A66A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5C3D9772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1812A088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5F1BF605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1FDB775A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2873F0E7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1CA6DF98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36C763F1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01F98380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29D672F1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1D81EF4B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49DC089A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0D143602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6D1310A6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76CBB361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7932CA0C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12133772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382A80DE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55F58C5A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77E82929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</w:p>
    <w:p w14:paraId="2B01ECD3">
      <w:pPr>
        <w:rPr>
          <w:rFonts w:cs="Times New Roman" w:eastAsiaTheme="minorHAnsi"/>
          <w:b w:val="0"/>
          <w:bCs/>
          <w:sz w:val="24"/>
          <w:szCs w:val="22"/>
          <w:lang w:val="sr-Latn-RS"/>
        </w:rPr>
      </w:pPr>
      <w:bookmarkStart w:id="0" w:name="_GoBack"/>
      <w:bookmarkEnd w:id="0"/>
    </w:p>
    <w:p w14:paraId="5D4A556D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1. Uvod</w:t>
      </w:r>
    </w:p>
    <w:p w14:paraId="20334938">
      <w:pPr>
        <w:spacing w:after="120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 xml:space="preserve">U savremenim elektronskim sistemima, upravljanje energijom je jedan od ključnih izazova. Baterije se široko koriste kao izvor napajanja u prenosnim uređajima, električnim vozilima i sistemima za rezervno napajanje. Međutim, baterija ne radi u izolaciji - uz nju uvek postoji punjač koji reguliše </w:t>
      </w:r>
      <w:r>
        <w:rPr>
          <w:rFonts w:hint="default" w:cs="Arial"/>
          <w:sz w:val="22"/>
          <w:szCs w:val="22"/>
          <w:lang w:val="en-US"/>
        </w:rPr>
        <w:t>njeno stanje.</w:t>
      </w:r>
    </w:p>
    <w:p w14:paraId="45795076">
      <w:pPr>
        <w:spacing w:after="120"/>
      </w:pPr>
      <w:r>
        <w:rPr>
          <w:rFonts w:ascii="Arial" w:hAnsi="Arial" w:eastAsia="Arial" w:cs="Arial"/>
          <w:sz w:val="22"/>
          <w:szCs w:val="22"/>
        </w:rPr>
        <w:t>Ovaj rad fokusira se na simulaciju sistema baterije i punjača pod promenljivim opterećenjem. Modeluju se dva ključna scenarija:</w:t>
      </w:r>
    </w:p>
    <w:p w14:paraId="7C32BB9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Scenario 1 – Baterija opstaje: punjač pruža dovoljno struje da kompenzuje opterećenje, i baterija se polako puni ili ostaje stabilna.</w:t>
      </w:r>
    </w:p>
    <w:p w14:paraId="0E46AA17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Scenario 2 – Baterija se prazni do nule: opterećenje premašuje kapacitet punjača i baterija se potpuno isprazni.</w:t>
      </w:r>
    </w:p>
    <w:p w14:paraId="0DFC5436">
      <w:pPr>
        <w:spacing w:after="120"/>
      </w:pPr>
      <w:r>
        <w:rPr>
          <w:rFonts w:ascii="Arial" w:hAnsi="Arial" w:eastAsia="Arial" w:cs="Arial"/>
          <w:sz w:val="22"/>
          <w:szCs w:val="22"/>
        </w:rPr>
        <w:t>Model i vizualizacija procesa napravljeni su u softverskom paketu Scilab, korišćenjem grafičkog editora Xcos za modelovanje sistema.</w:t>
      </w:r>
    </w:p>
    <w:p w14:paraId="248427B1"/>
    <w:p w14:paraId="568A6F3A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2. Elementi modela i njihova uloga</w:t>
      </w:r>
    </w:p>
    <w:p w14:paraId="5E21759D">
      <w:pPr>
        <w:spacing w:after="120"/>
      </w:pPr>
      <w:r>
        <w:rPr>
          <w:rFonts w:ascii="Arial" w:hAnsi="Arial" w:eastAsia="Arial" w:cs="Arial"/>
          <w:sz w:val="22"/>
          <w:szCs w:val="22"/>
        </w:rPr>
        <w:t>Glavna šema simulacije sastoji se od sledećih Xcos blokova:</w:t>
      </w:r>
    </w:p>
    <w:p w14:paraId="6704069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CONST</w:t>
      </w:r>
      <w:r>
        <w:rPr>
          <w:rFonts w:hint="default" w:cs="Arial"/>
          <w:b/>
          <w:bCs/>
          <w:sz w:val="22"/>
          <w:szCs w:val="22"/>
          <w:lang w:val="en-US"/>
        </w:rPr>
        <w:t>:opterecenje baterije pri mirovanju</w:t>
      </w:r>
      <w:r>
        <w:rPr>
          <w:rFonts w:ascii="Arial" w:hAnsi="Arial" w:eastAsia="Arial" w:cs="Arial"/>
          <w:sz w:val="22"/>
          <w:szCs w:val="22"/>
        </w:rPr>
        <w:t>.</w:t>
      </w:r>
    </w:p>
    <w:p w14:paraId="5E9A23D7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RAND_m (Generator opterećenja): </w:t>
      </w:r>
      <w:r>
        <w:rPr>
          <w:rFonts w:ascii="Arial" w:hAnsi="Arial" w:eastAsia="Arial" w:cs="Arial"/>
          <w:sz w:val="22"/>
          <w:szCs w:val="22"/>
        </w:rPr>
        <w:t>Simulira realno promenljivo opterećenje u opsegu vrednosti, npr. 0 do 40.</w:t>
      </w:r>
    </w:p>
    <w:p w14:paraId="736F28F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SUMMATION: </w:t>
      </w:r>
      <w:r>
        <w:rPr>
          <w:rFonts w:ascii="Arial" w:hAnsi="Arial" w:eastAsia="Arial" w:cs="Arial"/>
          <w:sz w:val="22"/>
          <w:szCs w:val="22"/>
        </w:rPr>
        <w:t>Izračunava razliku između struje punjača i opterećenja – net promena nivoa baterije.</w:t>
      </w:r>
    </w:p>
    <w:p w14:paraId="6D2EC121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INTEGRAL_m: </w:t>
      </w:r>
      <w:r>
        <w:rPr>
          <w:rFonts w:ascii="Arial" w:hAnsi="Arial" w:eastAsia="Arial" w:cs="Arial"/>
          <w:sz w:val="22"/>
          <w:szCs w:val="22"/>
        </w:rPr>
        <w:t>Integriše promenu i daje trenutni nivo napunjenosti baterije.</w:t>
      </w:r>
    </w:p>
    <w:p w14:paraId="5DB760D6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SATURATION: </w:t>
      </w:r>
      <w:r>
        <w:rPr>
          <w:rFonts w:ascii="Arial" w:hAnsi="Arial" w:eastAsia="Arial" w:cs="Arial"/>
          <w:sz w:val="22"/>
          <w:szCs w:val="22"/>
        </w:rPr>
        <w:t>Ograničava nivo baterije na opseg 0 do 100%.</w:t>
      </w:r>
    </w:p>
    <w:p w14:paraId="0DE126F1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CSCOPE (Osciloskop): </w:t>
      </w:r>
      <w:r>
        <w:rPr>
          <w:rFonts w:ascii="Arial" w:hAnsi="Arial" w:eastAsia="Arial" w:cs="Arial"/>
          <w:sz w:val="22"/>
          <w:szCs w:val="22"/>
        </w:rPr>
        <w:t>Prikazuje grafik nivoa baterije u vremenu.</w:t>
      </w:r>
    </w:p>
    <w:p w14:paraId="0B9D0316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TOWS_c: </w:t>
      </w:r>
      <w:r>
        <w:rPr>
          <w:rFonts w:ascii="Arial" w:hAnsi="Arial" w:eastAsia="Arial" w:cs="Arial"/>
          <w:sz w:val="22"/>
          <w:szCs w:val="22"/>
        </w:rPr>
        <w:t>Pamti podatke simulacije u Workspace-u za kasniju analizu.</w:t>
      </w:r>
    </w:p>
    <w:p w14:paraId="241CF6E1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CLOCK_c: </w:t>
      </w:r>
      <w:r>
        <w:rPr>
          <w:rFonts w:ascii="Arial" w:hAnsi="Arial" w:eastAsia="Arial" w:cs="Arial"/>
          <w:sz w:val="22"/>
          <w:szCs w:val="22"/>
        </w:rPr>
        <w:t>Obezbeđuje vremensku bazu za sinhronizaciju rada RAND_m bloka i osciloskopa.</w:t>
      </w:r>
    </w:p>
    <w:p w14:paraId="68405767">
      <w:pPr>
        <w:pStyle w:val="18"/>
        <w:numPr>
          <w:numId w:val="0"/>
        </w:numPr>
        <w:spacing w:after="80"/>
        <w:rPr>
          <w:rFonts w:hint="default"/>
          <w:lang w:val="en-US"/>
        </w:rPr>
      </w:pPr>
      <w:r>
        <w:rPr>
          <w:rFonts w:hint="default"/>
          <w:lang w:val="en-US"/>
        </w:rPr>
        <w:t>Unutar superbloka:</w:t>
      </w:r>
    </w:p>
    <w:p w14:paraId="3FAF8C28">
      <w:pPr>
        <w:pStyle w:val="18"/>
        <w:numPr>
          <w:ilvl w:val="0"/>
          <w:numId w:val="2"/>
        </w:numPr>
        <w:rPr>
          <w:b/>
          <w:bCs/>
          <w:lang w:val="sr-Latn-RS"/>
        </w:rPr>
      </w:pPr>
      <w:r>
        <w:rPr>
          <w:b/>
          <w:bCs/>
          <w:lang w:val="sr-Latn-RS"/>
        </w:rPr>
        <w:t xml:space="preserve">IN_f (Ulaz 1): </w:t>
      </w:r>
      <w:r>
        <w:rPr>
          <w:lang w:val="sr-Latn-RS"/>
        </w:rPr>
        <w:t>Prima signal o trenutno</w:t>
      </w:r>
      <w:r>
        <w:rPr>
          <w:rFonts w:hint="default"/>
          <w:lang w:val="en-US"/>
        </w:rPr>
        <w:t>m stanju baterije.</w:t>
      </w:r>
    </w:p>
    <w:p w14:paraId="4CA0AEFA">
      <w:pPr>
        <w:pStyle w:val="18"/>
        <w:numPr>
          <w:ilvl w:val="0"/>
          <w:numId w:val="2"/>
        </w:numPr>
        <w:rPr>
          <w:b/>
          <w:bCs/>
          <w:lang w:val="sr-Latn-RS"/>
        </w:rPr>
      </w:pPr>
      <w:r>
        <w:rPr>
          <w:b/>
          <w:bCs/>
          <w:lang w:val="sr-Latn-RS"/>
        </w:rPr>
        <w:t xml:space="preserve">CONST_m (100): </w:t>
      </w:r>
      <w:r>
        <w:rPr>
          <w:rFonts w:hint="default"/>
          <w:b/>
          <w:bCs/>
          <w:lang w:val="en-US"/>
        </w:rPr>
        <w:t>maksimalna snaga punjaca</w:t>
      </w:r>
      <w:r>
        <w:rPr>
          <w:lang w:val="sr-Latn-RS"/>
        </w:rPr>
        <w:t>.</w:t>
      </w:r>
    </w:p>
    <w:p w14:paraId="4B657B7F">
      <w:pPr>
        <w:pStyle w:val="18"/>
        <w:numPr>
          <w:ilvl w:val="0"/>
          <w:numId w:val="2"/>
        </w:numPr>
        <w:rPr>
          <w:b/>
          <w:bCs/>
          <w:lang w:val="sr-Latn-RS"/>
        </w:rPr>
      </w:pPr>
      <w:r>
        <w:rPr>
          <w:b/>
          <w:bCs/>
          <w:lang w:val="sr-Latn-RS"/>
        </w:rPr>
        <w:t xml:space="preserve">CONST_m (0): </w:t>
      </w:r>
      <w:r>
        <w:rPr>
          <w:rFonts w:hint="default"/>
          <w:b/>
          <w:bCs/>
          <w:lang w:val="en-US"/>
        </w:rPr>
        <w:t>mirovanje baterije</w:t>
      </w:r>
      <w:r>
        <w:rPr>
          <w:lang w:val="sr-Latn-RS"/>
        </w:rPr>
        <w:t>.</w:t>
      </w:r>
    </w:p>
    <w:p w14:paraId="0F3F8657">
      <w:pPr>
        <w:pStyle w:val="18"/>
        <w:numPr>
          <w:ilvl w:val="0"/>
          <w:numId w:val="2"/>
        </w:numPr>
        <w:rPr>
          <w:b/>
          <w:bCs/>
          <w:lang w:val="sr-Latn-RS"/>
        </w:rPr>
      </w:pPr>
      <w:r>
        <w:rPr>
          <w:b/>
          <w:bCs/>
          <w:lang w:val="sr-Latn-RS"/>
        </w:rPr>
        <w:t xml:space="preserve">SWITCH2_m (Dynamic): </w:t>
      </w:r>
      <w:r>
        <w:rPr>
          <w:lang w:val="sr-Latn-RS"/>
        </w:rPr>
        <w:t>Prekidač koji na osnovu ulaza (ulaz 1) bira između brzine 100 ili 0.</w:t>
      </w:r>
    </w:p>
    <w:p w14:paraId="13116ADC">
      <w:pPr>
        <w:pStyle w:val="18"/>
        <w:numPr>
          <w:ilvl w:val="0"/>
          <w:numId w:val="2"/>
        </w:numPr>
        <w:rPr>
          <w:b/>
          <w:bCs/>
          <w:lang w:val="sr-Latn-RS"/>
        </w:rPr>
      </w:pPr>
      <w:r>
        <w:rPr>
          <w:b/>
          <w:bCs/>
          <w:lang w:val="sr-Latn-RS"/>
        </w:rPr>
        <w:t xml:space="preserve">OUT_f (Izlaz 1): </w:t>
      </w:r>
      <w:r>
        <w:rPr>
          <w:lang w:val="sr-Latn-RS"/>
        </w:rPr>
        <w:t xml:space="preserve">Šalje </w:t>
      </w:r>
      <w:r>
        <w:rPr>
          <w:rFonts w:hint="default"/>
          <w:lang w:val="en-US"/>
        </w:rPr>
        <w:t>brzinu punjenja baterije nazad u glavnu semu</w:t>
      </w:r>
      <w:r>
        <w:rPr>
          <w:lang w:val="sr-Latn-RS"/>
        </w:rPr>
        <w:t>.</w:t>
      </w:r>
    </w:p>
    <w:p w14:paraId="4FD71AB0">
      <w:pPr>
        <w:pStyle w:val="18"/>
        <w:numPr>
          <w:numId w:val="0"/>
        </w:numPr>
        <w:spacing w:after="80"/>
        <w:rPr>
          <w:rFonts w:hint="default"/>
          <w:lang w:val="en-US"/>
        </w:rPr>
      </w:pPr>
    </w:p>
    <w:p w14:paraId="21D57D2A"/>
    <w:p w14:paraId="13DE94EC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3. Opis toka simulacije</w:t>
      </w:r>
    </w:p>
    <w:p w14:paraId="6B7F88EA">
      <w:pPr>
        <w:spacing w:after="120"/>
      </w:pPr>
      <w:r>
        <w:rPr>
          <w:rFonts w:ascii="Arial" w:hAnsi="Arial" w:eastAsia="Arial" w:cs="Arial"/>
          <w:sz w:val="22"/>
          <w:szCs w:val="22"/>
        </w:rPr>
        <w:t>Simulacija modeluje dinamiku baterije tokom vremena. Punjač konstantno ubacuje energiju u sistem, dok opterećenje (koje varira nasumično) troši tu energiju.</w:t>
      </w:r>
    </w:p>
    <w:p w14:paraId="265A1249">
      <w:pPr>
        <w:spacing w:after="120"/>
      </w:pPr>
      <w:r>
        <w:rPr>
          <w:rFonts w:ascii="Arial" w:hAnsi="Arial" w:eastAsia="Arial" w:cs="Arial"/>
          <w:sz w:val="22"/>
          <w:szCs w:val="22"/>
        </w:rPr>
        <w:t>Ključna povratna sprega: na osnovu trenutnog nivoa baterije i razlike između punjača i opterećenja, INTEGRAL_m blok akumulira promenu i daje realni nivo napunjenosti. SATURATION blok osigurava da nivo ne može preći 100% niti pasti ispod 0%.</w:t>
      </w:r>
    </w:p>
    <w:p w14:paraId="259950DF">
      <w:pPr>
        <w:spacing w:after="120"/>
      </w:pPr>
      <w:r>
        <w:rPr>
          <w:rFonts w:ascii="Arial" w:hAnsi="Arial" w:eastAsia="Arial" w:cs="Arial"/>
          <w:sz w:val="22"/>
          <w:szCs w:val="22"/>
        </w:rPr>
        <w:t>U zavisnosti od parametara:</w:t>
      </w:r>
    </w:p>
    <w:p w14:paraId="0D04226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Scenario 1: </w:t>
      </w:r>
      <w:r>
        <w:rPr>
          <w:rFonts w:ascii="Arial" w:hAnsi="Arial" w:eastAsia="Arial" w:cs="Arial"/>
          <w:sz w:val="22"/>
          <w:szCs w:val="22"/>
        </w:rPr>
        <w:t>Ako je struja punjača veća od prosečnog opterećenja, baterija se polako puni i sistem je stabilan.</w:t>
      </w:r>
    </w:p>
    <w:p w14:paraId="2676AA0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Scenario 2: </w:t>
      </w:r>
      <w:r>
        <w:rPr>
          <w:rFonts w:ascii="Arial" w:hAnsi="Arial" w:eastAsia="Arial" w:cs="Arial"/>
          <w:sz w:val="22"/>
          <w:szCs w:val="22"/>
        </w:rPr>
        <w:t>Ako opterećenje konstantno premašuje punjač, nivo baterije pada dok ne dostigne 0%, što simulira potpuno pražnjenje.</w:t>
      </w:r>
    </w:p>
    <w:p w14:paraId="5DD408C0"/>
    <w:p w14:paraId="56DFC544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4. Izgradnja simulacije</w:t>
      </w:r>
    </w:p>
    <w:p w14:paraId="1501384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4.1 Postavljanje blokova</w:t>
      </w:r>
    </w:p>
    <w:p w14:paraId="79462F1B">
      <w:pPr>
        <w:spacing w:after="120"/>
      </w:pPr>
      <w:r>
        <w:rPr>
          <w:rFonts w:ascii="Arial" w:hAnsi="Arial" w:eastAsia="Arial" w:cs="Arial"/>
          <w:sz w:val="22"/>
          <w:szCs w:val="22"/>
        </w:rPr>
        <w:t>Proces se započinje otvaranjem novog Xcos prozora uz pomoć komande xcos u Scilab konzoli. Nakon toga, otvaraju se dva prozora: Palette Browser (biblioteka blokova) i radna površina (workspace).</w:t>
      </w:r>
    </w:p>
    <w:p w14:paraId="1FC32849">
      <w:pPr>
        <w:spacing w:after="120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5401310" cy="2890520"/>
            <wp:effectExtent l="0" t="0" r="889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315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4.2 Povezivanje blokova u simulaciji</w:t>
      </w:r>
    </w:p>
    <w:p w14:paraId="11A18A07">
      <w:pPr>
        <w:spacing w:after="120"/>
      </w:pPr>
      <w:r>
        <w:rPr>
          <w:rFonts w:ascii="Arial" w:hAnsi="Arial" w:eastAsia="Arial" w:cs="Arial"/>
          <w:sz w:val="22"/>
          <w:szCs w:val="22"/>
        </w:rPr>
        <w:t>Nakon što su svi potrebni blokovi postavljeni na radnu površinu, pristupa se njihovom međusobnom povezivanju. U Xcos-u je važno razlikovati dve vrste veza:</w:t>
      </w:r>
    </w:p>
    <w:p w14:paraId="3F4F1E7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Plavi portovi: </w:t>
      </w:r>
      <w:r>
        <w:rPr>
          <w:rFonts w:ascii="Arial" w:hAnsi="Arial" w:eastAsia="Arial" w:cs="Arial"/>
          <w:sz w:val="22"/>
          <w:szCs w:val="22"/>
        </w:rPr>
        <w:t>Nalaze se sa strana blokova i služe za prenos kontinualnih ili diskretnih signala (npr. nivo napunjenosti baterije, struja punjača, opterećenje).</w:t>
      </w:r>
    </w:p>
    <w:p w14:paraId="1A2E99D0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Crveni portovi: </w:t>
      </w:r>
      <w:r>
        <w:rPr>
          <w:rFonts w:ascii="Arial" w:hAnsi="Arial" w:eastAsia="Arial" w:cs="Arial"/>
          <w:sz w:val="22"/>
          <w:szCs w:val="22"/>
        </w:rPr>
        <w:t>Nalaze se na vrhu i dnu blokova. Prenose signale takta iz CLOCK_c bloka.</w:t>
      </w:r>
    </w:p>
    <w:p w14:paraId="2296474F">
      <w:pPr>
        <w:spacing w:after="12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Povezivanje se vrši jednostavnim klikom na izlazni port jednog bloka i prevlačenjem linije do ulaznog porta drugog bloka.</w:t>
      </w:r>
    </w:p>
    <w:p w14:paraId="3F588C48">
      <w:pPr>
        <w:spacing w:after="120"/>
      </w:pPr>
      <w:r>
        <w:drawing>
          <wp:inline distT="0" distB="0" distL="114300" distR="114300">
            <wp:extent cx="5726430" cy="347472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530C">
      <w:pPr>
        <w:spacing w:after="120"/>
        <w:rPr>
          <w:rFonts w:hint="default"/>
          <w:lang w:val="en-US"/>
        </w:rPr>
      </w:pPr>
      <w:r>
        <w:rPr>
          <w:rFonts w:hint="default"/>
          <w:lang w:val="en-US"/>
        </w:rPr>
        <w:t>-Sistem superblocka.</w:t>
      </w:r>
    </w:p>
    <w:p w14:paraId="3BF7A9CD">
      <w:pPr>
        <w:spacing w:after="120"/>
        <w:rPr>
          <w:rFonts w:hint="default"/>
          <w:lang w:val="en-US"/>
        </w:rPr>
      </w:pPr>
      <w:r>
        <w:drawing>
          <wp:inline distT="0" distB="0" distL="114300" distR="114300">
            <wp:extent cx="3133725" cy="216217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6D71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4.3 Vrednosti blokova u simulaciji</w:t>
      </w:r>
    </w:p>
    <w:p w14:paraId="3C1F4C2E">
      <w:pPr>
        <w:spacing w:after="120"/>
      </w:pPr>
      <w:r>
        <w:rPr>
          <w:rFonts w:ascii="Arial" w:hAnsi="Arial" w:eastAsia="Arial" w:cs="Arial"/>
          <w:sz w:val="22"/>
          <w:szCs w:val="22"/>
        </w:rPr>
        <w:t>Pre pokretanja simulacije, neophodno je precizno definisati operativne vrednosti za svaki blok:</w:t>
      </w:r>
    </w:p>
    <w:p w14:paraId="3497E984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CONST: </w:t>
      </w:r>
      <w:r>
        <w:rPr>
          <w:rFonts w:hint="default" w:cs="Arial"/>
          <w:b/>
          <w:bCs/>
          <w:sz w:val="22"/>
          <w:szCs w:val="22"/>
          <w:lang w:val="en-US"/>
        </w:rPr>
        <w:t>5 potrosnja u stanju mirovanja</w:t>
      </w:r>
      <w:r>
        <w:rPr>
          <w:rFonts w:ascii="Arial" w:hAnsi="Arial" w:eastAsia="Arial" w:cs="Arial"/>
          <w:sz w:val="22"/>
          <w:szCs w:val="22"/>
        </w:rPr>
        <w:t>.</w:t>
      </w:r>
    </w:p>
    <w:p w14:paraId="2A18FDB8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RAND_m: </w:t>
      </w:r>
      <w:r>
        <w:rPr>
          <w:rFonts w:ascii="Arial" w:hAnsi="Arial" w:eastAsia="Arial" w:cs="Arial"/>
          <w:sz w:val="22"/>
          <w:szCs w:val="22"/>
        </w:rPr>
        <w:t>(A) = 0, (B) = 40 (simulira opterećenje u opsegu 0-40W).</w:t>
      </w:r>
    </w:p>
    <w:p w14:paraId="355ECE47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CLOCK_c: </w:t>
      </w:r>
      <w:r>
        <w:rPr>
          <w:rFonts w:ascii="Arial" w:hAnsi="Arial" w:eastAsia="Arial" w:cs="Arial"/>
          <w:sz w:val="22"/>
          <w:szCs w:val="22"/>
        </w:rPr>
        <w:t>Period = 0.1, Initialization time = 0.1.</w:t>
      </w:r>
    </w:p>
    <w:p w14:paraId="5502AB5D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SATURATION: </w:t>
      </w:r>
      <w:r>
        <w:rPr>
          <w:rFonts w:ascii="Arial" w:hAnsi="Arial" w:eastAsia="Arial" w:cs="Arial"/>
          <w:sz w:val="22"/>
          <w:szCs w:val="22"/>
        </w:rPr>
        <w:t>Upper limit = 100, Lower limit = 0 (nivo baterije 0-100%).</w:t>
      </w:r>
    </w:p>
    <w:p w14:paraId="0D28E5B1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SUMMATION: </w:t>
      </w:r>
      <w:r>
        <w:rPr>
          <w:rFonts w:ascii="Arial" w:hAnsi="Arial" w:eastAsia="Arial" w:cs="Arial"/>
          <w:sz w:val="22"/>
          <w:szCs w:val="22"/>
        </w:rPr>
        <w:t>Promena predznaka u [1; -1] kako bi se oduzelo opterećenje od punjača.</w:t>
      </w:r>
    </w:p>
    <w:p w14:paraId="4A79733F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TOWS_c (To Workspace): </w:t>
      </w:r>
      <w:r>
        <w:rPr>
          <w:rFonts w:ascii="Arial" w:hAnsi="Arial" w:eastAsia="Arial" w:cs="Arial"/>
          <w:sz w:val="22"/>
          <w:szCs w:val="22"/>
        </w:rPr>
        <w:t>Buffer size = 100000 za nesmetano snimanje svakog koraka simulacije.</w:t>
      </w:r>
    </w:p>
    <w:p w14:paraId="4BBD044F">
      <w:pPr>
        <w:pStyle w:val="18"/>
        <w:numPr>
          <w:numId w:val="0"/>
        </w:numPr>
        <w:spacing w:after="80"/>
        <w:rPr>
          <w:rFonts w:ascii="Arial" w:hAnsi="Arial" w:eastAsia="Arial" w:cs="Arial"/>
          <w:sz w:val="22"/>
          <w:szCs w:val="22"/>
        </w:rPr>
      </w:pPr>
    </w:p>
    <w:p w14:paraId="373A2B2A">
      <w:pPr>
        <w:pStyle w:val="18"/>
        <w:numPr>
          <w:numId w:val="0"/>
        </w:numPr>
        <w:spacing w:after="80"/>
        <w:rPr>
          <w:rFonts w:ascii="Arial" w:hAnsi="Arial" w:eastAsia="Arial" w:cs="Arial"/>
          <w:sz w:val="22"/>
          <w:szCs w:val="22"/>
        </w:rPr>
      </w:pPr>
    </w:p>
    <w:p w14:paraId="516B5955">
      <w:pPr>
        <w:pStyle w:val="3"/>
        <w:rPr>
          <w:rFonts w:hint="default" w:cs="Arial"/>
          <w:b/>
          <w:bCs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4.4 </w:t>
      </w:r>
      <w:r>
        <w:rPr>
          <w:rFonts w:hint="default" w:cs="Arial"/>
          <w:b/>
          <w:bCs/>
          <w:sz w:val="24"/>
          <w:szCs w:val="24"/>
          <w:lang w:val="en-US"/>
        </w:rPr>
        <w:t>Pod sistem (superblock)</w:t>
      </w:r>
    </w:p>
    <w:p w14:paraId="144313E6">
      <w:pPr>
        <w:rPr>
          <w:rFonts w:hint="default" w:cs="Arial"/>
          <w:b w:val="0"/>
          <w:bCs w:val="0"/>
          <w:sz w:val="24"/>
          <w:szCs w:val="24"/>
          <w:lang w:val="en-US"/>
        </w:rPr>
      </w:pPr>
      <w:r>
        <w:rPr>
          <w:rFonts w:hint="default" w:cs="Arial"/>
          <w:b w:val="0"/>
          <w:bCs w:val="0"/>
          <w:sz w:val="24"/>
          <w:szCs w:val="24"/>
          <w:lang w:val="en-US"/>
        </w:rPr>
        <w:t>-Za podesavanje superblocka potrebno je postaviti superblock I povezati ga kao na slici.nakon toga klikom na super block otvara se novi prozor u kojem se postavljaju sledeci blokovi I parametri:</w:t>
      </w:r>
    </w:p>
    <w:p w14:paraId="72DD7511">
      <w:pPr>
        <w:rPr>
          <w:rFonts w:hint="default" w:cs="Arial"/>
          <w:b w:val="0"/>
          <w:bCs w:val="0"/>
          <w:sz w:val="24"/>
          <w:szCs w:val="24"/>
          <w:lang w:val="en-US"/>
        </w:rPr>
      </w:pPr>
      <w:r>
        <w:rPr>
          <w:rFonts w:hint="default" w:cs="Arial"/>
          <w:b/>
          <w:bCs/>
          <w:sz w:val="24"/>
          <w:szCs w:val="24"/>
          <w:lang w:val="en-US"/>
        </w:rPr>
        <w:t>-Const(0)</w:t>
      </w:r>
      <w:r>
        <w:rPr>
          <w:rFonts w:hint="default" w:cs="Arial"/>
          <w:b w:val="0"/>
          <w:bCs w:val="0"/>
          <w:sz w:val="24"/>
          <w:szCs w:val="24"/>
          <w:lang w:val="en-US"/>
        </w:rPr>
        <w:t>:stanje mirovanja postavimo na 0.</w:t>
      </w:r>
    </w:p>
    <w:p w14:paraId="66BD0734">
      <w:pPr>
        <w:rPr>
          <w:rFonts w:hint="default" w:cs="Arial"/>
          <w:b w:val="0"/>
          <w:bCs w:val="0"/>
          <w:sz w:val="24"/>
          <w:szCs w:val="24"/>
          <w:lang w:val="en-US"/>
        </w:rPr>
      </w:pPr>
      <w:r>
        <w:rPr>
          <w:rFonts w:hint="default" w:cs="Arial"/>
          <w:b/>
          <w:bCs/>
          <w:sz w:val="24"/>
          <w:szCs w:val="24"/>
          <w:lang w:val="en-US"/>
        </w:rPr>
        <w:t>-Const(100)</w:t>
      </w:r>
      <w:r>
        <w:rPr>
          <w:rFonts w:hint="default" w:cs="Arial"/>
          <w:b w:val="0"/>
          <w:bCs w:val="0"/>
          <w:sz w:val="24"/>
          <w:szCs w:val="24"/>
          <w:lang w:val="en-US"/>
        </w:rPr>
        <w:t>:maksimalno punjenje punjacaca,postavljamo na 100.</w:t>
      </w:r>
    </w:p>
    <w:p w14:paraId="69F16666">
      <w:pPr>
        <w:rPr>
          <w:rFonts w:hint="default" w:cs="Arial"/>
          <w:b w:val="0"/>
          <w:bCs w:val="0"/>
          <w:sz w:val="24"/>
          <w:szCs w:val="24"/>
          <w:lang w:val="en-US"/>
        </w:rPr>
      </w:pPr>
      <w:r>
        <w:rPr>
          <w:rFonts w:hint="default" w:cs="Arial"/>
          <w:b/>
          <w:bCs/>
          <w:sz w:val="24"/>
          <w:szCs w:val="24"/>
          <w:lang w:val="en-US"/>
        </w:rPr>
        <w:t>-Switch:</w:t>
      </w:r>
      <w:r>
        <w:rPr>
          <w:rFonts w:hint="default" w:cs="Arial"/>
          <w:b w:val="0"/>
          <w:bCs w:val="0"/>
          <w:sz w:val="24"/>
          <w:szCs w:val="24"/>
          <w:lang w:val="en-US"/>
        </w:rPr>
        <w:t>Stavljamo na 50 i u2&gt;a.</w:t>
      </w:r>
    </w:p>
    <w:p w14:paraId="3A31E9C3">
      <w:r>
        <w:drawing>
          <wp:inline distT="0" distB="0" distL="114300" distR="114300">
            <wp:extent cx="3133725" cy="2162175"/>
            <wp:effectExtent l="0" t="0" r="952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22FE"/>
    <w:p w14:paraId="2CF513AA"/>
    <w:p w14:paraId="6BC7F9E6"/>
    <w:p w14:paraId="445FA240"/>
    <w:p w14:paraId="4E8DD926"/>
    <w:p w14:paraId="6ECB86D2"/>
    <w:p w14:paraId="6CFAB185"/>
    <w:p w14:paraId="127CACC7"/>
    <w:p w14:paraId="5C0063A8"/>
    <w:p w14:paraId="79654722"/>
    <w:p w14:paraId="52EB494C"/>
    <w:p w14:paraId="08976694"/>
    <w:p w14:paraId="25B5CE69"/>
    <w:p w14:paraId="60D47391"/>
    <w:p w14:paraId="41B7476D"/>
    <w:p w14:paraId="12901BB5"/>
    <w:p w14:paraId="63D0C47E"/>
    <w:p w14:paraId="5DB7BE88"/>
    <w:p w14:paraId="348D53C7"/>
    <w:p w14:paraId="618036F5"/>
    <w:p w14:paraId="672FE6F4"/>
    <w:p w14:paraId="01C73645"/>
    <w:p w14:paraId="2C87FFD9"/>
    <w:p w14:paraId="390A8869"/>
    <w:p w14:paraId="71499CB5"/>
    <w:p w14:paraId="69CB66C7"/>
    <w:p w14:paraId="4ABA2889"/>
    <w:p w14:paraId="5984154A"/>
    <w:p w14:paraId="421A91DE"/>
    <w:p w14:paraId="151FA384"/>
    <w:p w14:paraId="1692789E"/>
    <w:p w14:paraId="0E05F1A7"/>
    <w:p w14:paraId="781C018C"/>
    <w:p w14:paraId="6650C85E">
      <w:pPr>
        <w:rPr>
          <w:rFonts w:hint="default"/>
          <w:lang w:val="en-US"/>
        </w:rPr>
      </w:pPr>
    </w:p>
    <w:p w14:paraId="0352F0B7">
      <w:pPr>
        <w:rPr>
          <w:rFonts w:hint="default" w:cs="Arial"/>
          <w:b/>
          <w:bCs/>
          <w:sz w:val="24"/>
          <w:szCs w:val="24"/>
          <w:lang w:val="en-US"/>
        </w:rPr>
      </w:pPr>
    </w:p>
    <w:p w14:paraId="1ED992D9">
      <w:pPr>
        <w:rPr>
          <w:rFonts w:hint="default" w:cs="Arial"/>
          <w:b/>
          <w:bCs/>
          <w:sz w:val="24"/>
          <w:szCs w:val="24"/>
          <w:lang w:val="en-US"/>
        </w:rPr>
      </w:pPr>
      <w:r>
        <w:rPr>
          <w:rFonts w:hint="default" w:cs="Arial"/>
          <w:b/>
          <w:bCs/>
          <w:sz w:val="24"/>
          <w:szCs w:val="24"/>
          <w:lang w:val="en-US"/>
        </w:rPr>
        <w:t>4.5 Dodavanje komentara.</w:t>
      </w:r>
    </w:p>
    <w:p w14:paraId="7F8F9053">
      <w:pPr>
        <w:rPr>
          <w:b/>
          <w:bCs/>
          <w:lang w:val="sr-Latn-RS"/>
        </w:rPr>
      </w:pPr>
      <w:r>
        <w:rPr>
          <w:b/>
          <w:bCs/>
          <w:lang w:val="sr-Latn-RS"/>
        </w:rPr>
        <w:t>Postupak dodavanja komentara na blokove:</w:t>
      </w:r>
    </w:p>
    <w:p w14:paraId="41A0BA96">
      <w:pPr>
        <w:numPr>
          <w:ilvl w:val="0"/>
          <w:numId w:val="3"/>
        </w:numPr>
        <w:rPr>
          <w:lang w:val="sr-Latn-RS"/>
        </w:rPr>
      </w:pPr>
      <w:r>
        <w:rPr>
          <w:b/>
          <w:bCs/>
          <w:lang w:val="sr-Latn-RS"/>
        </w:rPr>
        <w:t>Selekcija:</w:t>
      </w:r>
      <w:r>
        <w:rPr>
          <w:lang w:val="sr-Latn-RS"/>
        </w:rPr>
        <w:t xml:space="preserve"> Klikće se desni klik na željeni blok.</w:t>
      </w:r>
    </w:p>
    <w:p w14:paraId="4E22DED6">
      <w:pPr>
        <w:numPr>
          <w:ilvl w:val="0"/>
          <w:numId w:val="3"/>
        </w:numPr>
        <w:rPr>
          <w:lang w:val="sr-Latn-RS"/>
        </w:rPr>
      </w:pPr>
      <w:r>
        <w:rPr>
          <w:b/>
          <w:bCs/>
          <w:lang w:val="sr-Latn-RS"/>
        </w:rPr>
        <w:t>Navigacija:</w:t>
      </w:r>
      <w:r>
        <w:rPr>
          <w:lang w:val="sr-Latn-RS"/>
        </w:rPr>
        <w:t xml:space="preserve"> Iz padajućeg menija odabira se opcija </w:t>
      </w:r>
      <w:r>
        <w:rPr>
          <w:b/>
          <w:bCs/>
          <w:lang w:val="sr-Latn-RS"/>
        </w:rPr>
        <w:t>Format</w:t>
      </w:r>
      <w:r>
        <w:rPr>
          <w:lang w:val="sr-Latn-RS"/>
        </w:rPr>
        <w:t xml:space="preserve">, a zatim </w:t>
      </w:r>
      <w:r>
        <w:rPr>
          <w:b/>
          <w:bCs/>
          <w:lang w:val="sr-Latn-RS"/>
        </w:rPr>
        <w:t>Edit</w:t>
      </w:r>
      <w:r>
        <w:rPr>
          <w:lang w:val="sr-Latn-RS"/>
        </w:rPr>
        <w:t>.</w:t>
      </w:r>
    </w:p>
    <w:p w14:paraId="2ACBA97C">
      <w:pPr>
        <w:numPr>
          <w:ilvl w:val="0"/>
          <w:numId w:val="3"/>
        </w:numPr>
        <w:rPr>
          <w:lang w:val="sr-Latn-RS"/>
        </w:rPr>
      </w:pPr>
      <w:r>
        <w:rPr>
          <w:b/>
          <w:bCs/>
          <w:lang w:val="sr-Latn-RS"/>
        </w:rPr>
        <w:t>Unos teksta:</w:t>
      </w:r>
      <w:r>
        <w:rPr>
          <w:lang w:val="sr-Latn-RS"/>
        </w:rPr>
        <w:t xml:space="preserve"> U polje za unos upisuje se naziv ili kratak opis funkcije bloka </w:t>
      </w:r>
    </w:p>
    <w:p w14:paraId="66E040A1">
      <w:r>
        <w:drawing>
          <wp:inline distT="0" distB="0" distL="114300" distR="114300">
            <wp:extent cx="4903470" cy="3860800"/>
            <wp:effectExtent l="0" t="0" r="11430" b="635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4430" cy="3664585"/>
            <wp:effectExtent l="0" t="0" r="7620" b="1206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731F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5. Finalni dijagram simulacije</w:t>
      </w:r>
    </w:p>
    <w:p w14:paraId="58457B03">
      <w:pPr>
        <w:spacing w:after="120"/>
      </w:pPr>
      <w:r>
        <w:rPr>
          <w:rFonts w:ascii="Arial" w:hAnsi="Arial" w:eastAsia="Arial" w:cs="Arial"/>
          <w:sz w:val="22"/>
          <w:szCs w:val="22"/>
        </w:rPr>
        <w:t>Finalni dijagram prikazuje sve blokove međusobno povezane u funkcionalnu celinu. Levi deo šeme generiše ulazne signale (punjač i opterećenje), centralni deo vrši integraciju i saturaciju, a desni deo vizualizuje i čuva rezultate.</w:t>
      </w:r>
    </w:p>
    <w:p w14:paraId="3B565017">
      <w:pPr>
        <w:pStyle w:val="2"/>
      </w:pPr>
      <w:r>
        <w:drawing>
          <wp:inline distT="0" distB="0" distL="114300" distR="114300">
            <wp:extent cx="5726430" cy="347472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6B3F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-Superblock:</w:t>
      </w:r>
    </w:p>
    <w:p w14:paraId="475C4737">
      <w:pPr>
        <w:rPr>
          <w:rFonts w:hint="default"/>
          <w:lang w:val="en-US"/>
        </w:rPr>
      </w:pPr>
      <w:r>
        <w:drawing>
          <wp:inline distT="0" distB="0" distL="114300" distR="114300">
            <wp:extent cx="2952750" cy="179070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BC92">
      <w:pPr>
        <w:rPr>
          <w:rFonts w:hint="default"/>
          <w:lang w:val="en-US"/>
        </w:rPr>
      </w:pPr>
    </w:p>
    <w:p w14:paraId="0297D287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6. Poređenje rezultata</w:t>
      </w:r>
    </w:p>
    <w:p w14:paraId="1954058B">
      <w:pPr>
        <w:spacing w:after="120"/>
      </w:pPr>
      <w:r>
        <w:rPr>
          <w:rFonts w:ascii="Arial" w:hAnsi="Arial" w:eastAsia="Arial" w:cs="Arial"/>
          <w:sz w:val="22"/>
          <w:szCs w:val="22"/>
        </w:rPr>
        <w:t>U cilju validacije modela, izvršeno je poređenje dva scenarija:</w:t>
      </w:r>
    </w:p>
    <w:p w14:paraId="1166647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 Scenario 1 - Baterija opstaje (punjač &gt; opterećenje)</w:t>
      </w:r>
    </w:p>
    <w:p w14:paraId="7C0345D0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 U ovom scenariju, punjač u proseku pruža više energije nego što opterećenje troši. Rezultat na grafiku pokazuje stabilan ili rastući nivo baterije koji se zadržava iznad 0%.</w:t>
      </w:r>
    </w:p>
    <w:p w14:paraId="77168B08">
      <w:pPr>
        <w:spacing w:before="120" w:after="12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[Slika 10. Prikaz rezultata Scenarija 1 - baterija preživljava]</w:t>
      </w:r>
    </w:p>
    <w:p w14:paraId="48D44588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 Scenario 2 - Baterija se prazni (opterećenje &gt; punjač)</w:t>
      </w:r>
    </w:p>
    <w:p w14:paraId="208ACC40">
      <w:pPr>
        <w:spacing w:after="120"/>
        <w:rPr>
          <w:rFonts w:hint="default" w:cs="Arial"/>
          <w:sz w:val="22"/>
          <w:szCs w:val="22"/>
          <w:lang w:val="en-US"/>
        </w:rPr>
      </w:pPr>
      <w:r>
        <w:rPr>
          <w:rFonts w:ascii="Arial" w:hAnsi="Arial" w:eastAsia="Arial" w:cs="Arial"/>
          <w:sz w:val="22"/>
          <w:szCs w:val="22"/>
        </w:rPr>
        <w:t xml:space="preserve"> Ovde opterećenje redovno premašuje kapacitet punjača. Nivo baterije opada dok ne dostigne 0%, nakon čega SATURATION blok zadržava vrednost na nuli - baterija je mrtva.</w:t>
      </w:r>
      <w:r>
        <w:rPr>
          <w:rFonts w:hint="default" w:cs="Arial"/>
          <w:sz w:val="22"/>
          <w:szCs w:val="22"/>
          <w:lang w:val="en-US"/>
        </w:rPr>
        <w:t>(nazalost ovaj scenario je jako redak tako da je najverovatnije potrebno ponoviti simulaciju vise puta da bi se dobio ovaj scenario ,ali je teorijski moguc).</w:t>
      </w:r>
    </w:p>
    <w:p w14:paraId="2DD7508A">
      <w:pPr>
        <w:spacing w:after="120"/>
        <w:rPr>
          <w:rFonts w:hint="default" w:cs="Arial"/>
          <w:sz w:val="22"/>
          <w:szCs w:val="22"/>
          <w:lang w:val="en-US"/>
        </w:rPr>
      </w:pPr>
    </w:p>
    <w:p w14:paraId="5B4B89E0">
      <w:pPr>
        <w:spacing w:after="120"/>
        <w:rPr>
          <w:rFonts w:hint="default" w:cs="Arial"/>
          <w:sz w:val="22"/>
          <w:szCs w:val="22"/>
          <w:lang w:val="en-US"/>
        </w:rPr>
      </w:pPr>
    </w:p>
    <w:p w14:paraId="3E9D02A2">
      <w:pPr>
        <w:spacing w:after="120"/>
        <w:rPr>
          <w:rFonts w:hint="default" w:cs="Arial"/>
          <w:sz w:val="22"/>
          <w:szCs w:val="22"/>
          <w:lang w:val="en-US"/>
        </w:rPr>
      </w:pPr>
    </w:p>
    <w:p w14:paraId="58C69F9C">
      <w:pPr>
        <w:spacing w:after="120"/>
        <w:rPr>
          <w:rFonts w:hint="default" w:cs="Arial"/>
          <w:sz w:val="22"/>
          <w:szCs w:val="22"/>
          <w:lang w:val="en-US"/>
        </w:rPr>
      </w:pPr>
    </w:p>
    <w:p w14:paraId="644C9097">
      <w:pPr>
        <w:spacing w:after="120"/>
        <w:rPr>
          <w:rFonts w:hint="default" w:cs="Arial"/>
          <w:sz w:val="22"/>
          <w:szCs w:val="22"/>
          <w:lang w:val="en-US"/>
        </w:rPr>
      </w:pPr>
    </w:p>
    <w:p w14:paraId="143CC9D4">
      <w:pPr>
        <w:spacing w:after="120"/>
        <w:rPr>
          <w:rFonts w:hint="default" w:cs="Arial"/>
          <w:sz w:val="22"/>
          <w:szCs w:val="22"/>
          <w:lang w:val="en-US"/>
        </w:rPr>
      </w:pPr>
    </w:p>
    <w:p w14:paraId="58590364">
      <w:pPr>
        <w:spacing w:after="120"/>
        <w:rPr>
          <w:rFonts w:hint="default" w:cs="Arial"/>
          <w:sz w:val="22"/>
          <w:szCs w:val="22"/>
          <w:lang w:val="en-US"/>
        </w:rPr>
      </w:pPr>
    </w:p>
    <w:p w14:paraId="1A4B7E1F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7. Zaključak</w:t>
      </w:r>
    </w:p>
    <w:p w14:paraId="7FD0E9D9">
      <w:pPr>
        <w:spacing w:after="120"/>
      </w:pPr>
      <w:r>
        <w:rPr>
          <w:rFonts w:ascii="Arial" w:hAnsi="Arial" w:eastAsia="Arial" w:cs="Arial"/>
          <w:sz w:val="22"/>
          <w:szCs w:val="22"/>
        </w:rPr>
        <w:t>Kroz izradu ovog seminarskog rada uspešno je modelovan sistem baterije i punjača pod promenljivim opterećenjem korišćenjem softvera Scilab/Xcos. Simulacija je pokazala ključnu ulogu balansa između kapaciteta punjača i energetskog opterećenja.</w:t>
      </w:r>
    </w:p>
    <w:p w14:paraId="5C8BDB90">
      <w:pPr>
        <w:spacing w:after="120"/>
      </w:pPr>
      <w:r>
        <w:rPr>
          <w:rFonts w:ascii="Arial" w:hAnsi="Arial" w:eastAsia="Arial" w:cs="Arial"/>
          <w:sz w:val="22"/>
          <w:szCs w:val="22"/>
        </w:rPr>
        <w:t>Glavni zaključci analize su:</w:t>
      </w:r>
    </w:p>
    <w:p w14:paraId="4FCEE149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Stohastičko opterećenje: </w:t>
      </w:r>
      <w:r>
        <w:rPr>
          <w:rFonts w:ascii="Arial" w:hAnsi="Arial" w:eastAsia="Arial" w:cs="Arial"/>
          <w:sz w:val="22"/>
          <w:szCs w:val="22"/>
        </w:rPr>
        <w:t>Uvođenje nasumičnog opterećenja putem RAND_m bloka realistično modeluje nestabilne energetske zahteve u stvarnim sistemima.</w:t>
      </w:r>
    </w:p>
    <w:p w14:paraId="44981AE7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Limitacija resursa: </w:t>
      </w:r>
      <w:r>
        <w:rPr>
          <w:rFonts w:ascii="Arial" w:hAnsi="Arial" w:eastAsia="Arial" w:cs="Arial"/>
          <w:sz w:val="22"/>
          <w:szCs w:val="22"/>
        </w:rPr>
        <w:t>Korišćenjem SATURATION bloka definisana je fizička granica kapaciteta baterije. Grafički rezultati su potvrdili da sistem ostaje funkcionalan samo dok se nivo baterije nalazi između 0% i 100%.</w:t>
      </w:r>
    </w:p>
    <w:p w14:paraId="7830038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Analiza scenarija: </w:t>
      </w:r>
      <w:r>
        <w:rPr>
          <w:rFonts w:ascii="Arial" w:hAnsi="Arial" w:eastAsia="Arial" w:cs="Arial"/>
          <w:sz w:val="22"/>
          <w:szCs w:val="22"/>
        </w:rPr>
        <w:t>Dva scenarija jasno ilustruju prag između stabilnog sistema (punjač &gt; opterećenje) i sistema koji pada (opterećenje &gt; punjač), što je od suštinskog značaja za projektovanje sistema napajanja.</w:t>
      </w:r>
    </w:p>
    <w:p w14:paraId="74C679E3">
      <w:pPr>
        <w:spacing w:after="120"/>
      </w:pPr>
      <w:r>
        <w:rPr>
          <w:rFonts w:ascii="Arial" w:hAnsi="Arial" w:eastAsia="Arial" w:cs="Arial"/>
          <w:sz w:val="22"/>
          <w:szCs w:val="22"/>
        </w:rPr>
        <w:t>Ovaj model može poslužiti kao osnova za dalje istraživanje, uključujući dodavanje inteligentnog upravljanja punjačem (npr. MPPT algoritma), simulaciju degradacije baterije ili modelovanje sistema sa više izvora energije (solarna ploča + punjač).</w:t>
      </w:r>
    </w:p>
    <w:p w14:paraId="061A517D"/>
    <w:p w14:paraId="3B8B16FD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Literatura</w:t>
      </w:r>
    </w:p>
    <w:p w14:paraId="23CF56E5">
      <w:pPr>
        <w:spacing w:after="80"/>
      </w:pPr>
      <w:r>
        <w:rPr>
          <w:rFonts w:ascii="Arial" w:hAnsi="Arial" w:eastAsia="Arial" w:cs="Arial"/>
          <w:sz w:val="22"/>
          <w:szCs w:val="22"/>
        </w:rPr>
        <w:t xml:space="preserve">- Scilab dokumentacija - </w:t>
      </w:r>
      <w:r>
        <w:fldChar w:fldCharType="begin"/>
      </w:r>
      <w:r>
        <w:instrText xml:space="preserve"> HYPERLINK "https://help.scilab.org"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https://help.scilab.org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p w14:paraId="5496DEDA">
      <w:pPr>
        <w:spacing w:after="80"/>
      </w:pPr>
      <w:r>
        <w:rPr>
          <w:rFonts w:ascii="Arial" w:hAnsi="Arial" w:eastAsia="Arial" w:cs="Arial"/>
          <w:sz w:val="22"/>
          <w:szCs w:val="22"/>
        </w:rPr>
        <w:t xml:space="preserve">- Xcos dokumentacija - </w:t>
      </w:r>
      <w:r>
        <w:fldChar w:fldCharType="begin"/>
      </w:r>
      <w:r>
        <w:instrText xml:space="preserve"> HYPERLINK "https://www.scilab.org/software/xcos"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https://www.scilab.org/software/xcos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p w14:paraId="38B8E535">
      <w:pPr>
        <w:spacing w:after="120"/>
      </w:pPr>
      <w:r>
        <w:rPr>
          <w:rFonts w:ascii="Arial" w:hAnsi="Arial" w:eastAsia="Arial" w:cs="Arial"/>
          <w:sz w:val="22"/>
          <w:szCs w:val="22"/>
        </w:rPr>
        <w:t>- Mohan, N., Undeland, T. M., &amp; Robbins, W. P. (2003). Power Electronics: Converters, Applications, and Design. John Wiley &amp; Sons.</w:t>
      </w:r>
    </w:p>
    <w:p w14:paraId="1BC6366D">
      <w:pPr>
        <w:spacing w:after="120"/>
      </w:pPr>
      <w:r>
        <w:rPr>
          <w:rFonts w:ascii="Arial" w:hAnsi="Arial" w:eastAsia="Arial" w:cs="Arial"/>
          <w:sz w:val="22"/>
          <w:szCs w:val="22"/>
        </w:rPr>
        <w:t>- Linden, D., &amp; Reddy, T. B. (2002). Handbook of Batteries (3rd ed.). McGraw-Hill.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C5629"/>
    <w:multiLevelType w:val="singleLevel"/>
    <w:tmpl w:val="021C5629"/>
    <w:lvl w:ilvl="0" w:tentative="0">
      <w:start w:val="1"/>
      <w:numFmt w:val="bullet"/>
      <w:lvlText w:val="-"/>
      <w:lvlJc w:val="left"/>
      <w:pPr>
        <w:ind w:left="720" w:hanging="360"/>
      </w:pPr>
    </w:lvl>
  </w:abstractNum>
  <w:abstractNum w:abstractNumId="1">
    <w:nsid w:val="1C3E3B36"/>
    <w:multiLevelType w:val="multilevel"/>
    <w:tmpl w:val="1C3E3B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EC7C23"/>
    <w:multiLevelType w:val="multilevel"/>
    <w:tmpl w:val="6BEC7C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B7F60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basedOn w:val="8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toc 1"/>
    <w:basedOn w:val="1"/>
    <w:next w:val="1"/>
    <w:unhideWhenUsed/>
    <w:qFormat/>
    <w:uiPriority w:val="39"/>
    <w:pPr>
      <w:spacing w:after="100"/>
    </w:pPr>
  </w:style>
  <w:style w:type="paragraph" w:styleId="17">
    <w:name w:val="toc 2"/>
    <w:basedOn w:val="1"/>
    <w:next w:val="1"/>
    <w:unhideWhenUsed/>
    <w:qFormat/>
    <w:uiPriority w:val="39"/>
    <w:pPr>
      <w:spacing w:after="100"/>
      <w:ind w:left="240"/>
    </w:pPr>
  </w:style>
  <w:style w:type="paragraph" w:styleId="18">
    <w:name w:val="List Paragraph"/>
    <w:basedOn w:val="1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  <w:style w:type="paragraph" w:customStyle="1" w:styleId="21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1099</Words>
  <Characters>6762</Characters>
  <TotalTime>3</TotalTime>
  <ScaleCrop>false</ScaleCrop>
  <LinksUpToDate>false</LinksUpToDate>
  <CharactersWithSpaces>7765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2026-05-15T09:27:00Z</dcterms:created>
  <dc:creator>Un-named</dc:creator>
  <cp:lastModifiedBy>DRCRNJA</cp:lastModifiedBy>
  <dcterms:modified xsi:type="dcterms:W3CDTF">2026-05-17T13:57:43Z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eyJoZGlkIjoiNGFlZTk0Y2Y1NjdlMTA4MDdmNGQ1NmU1ZGZlMDI3NjYiLCJ1c2VySWQiOiIzNzI4NzMzNTEzODI4In0=</vt:lpwstr>
  </property>
  <property fmtid="{D5CDD505-2E9C-101B-9397-08002B2CF9AE}" pid="3" name="KSOProductBuildVer">
    <vt:lpwstr>1033-12.1.0.26372</vt:lpwstr>
  </property>
  <property fmtid="{D5CDD505-2E9C-101B-9397-08002B2CF9AE}" pid="4" name="ICV">
    <vt:lpwstr>A96BF4B9A4854908995870814027A301_12</vt:lpwstr>
  </property>
</Properties>
</file>