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A5F"/>
          <w:sz w:val="48"/>
        </w:rPr>
        <w:t>ONE Forecasting Portal — Phase 1</w:t>
      </w:r>
    </w:p>
    <w:p>
      <w:pPr>
        <w:spacing w:before="80"/>
        <w:jc w:val="center"/>
      </w:pPr>
      <w:r>
        <w:rPr>
          <w:color w:val="2E74B5"/>
          <w:sz w:val="26"/>
        </w:rPr>
        <w:t>What the System Does — Reference Summary</w:t>
      </w:r>
    </w:p>
    <w:p>
      <w:pPr>
        <w:spacing w:before="400"/>
        <w:jc w:val="center"/>
      </w:pPr>
      <w:r>
        <w:rPr>
          <w:color w:val="595959"/>
          <w:sz w:val="19"/>
        </w:rPr>
        <w:t>2026-08-04</w:t>
      </w:r>
    </w:p>
    <w:p/>
    <w:p>
      <w:pPr>
        <w:pStyle w:val="Heading1"/>
      </w:pPr>
      <w:r>
        <w:t>1. Purpose</w:t>
      </w:r>
    </w:p>
    <w:p>
      <w:r>
        <w:t>Phase 1 is a demand-forecasting and buying-advisory tool for PC parts procurement at サードワーブ. It replaces manual spreadsheet forecasting with an automated system that reads the company’s existing planning and stock files, produces a forecast and an order suggestion for every part, and gives buyers a dashboard to review, adjust, and track accuracy over time. A human always makes the final call — the system suggests, it does not order automatically and never writes back into SAP.</w:t>
      </w:r>
    </w:p>
    <w:p>
      <w:pPr>
        <w:pStyle w:val="Heading1"/>
      </w:pPr>
      <w:r>
        <w:t>2. What the System Actually Does</w:t>
      </w:r>
    </w:p>
    <w:p>
      <w:pPr>
        <w:pStyle w:val="Heading2"/>
      </w:pPr>
      <w:r>
        <w:t>Step 1 — Pulls in data automatically</w:t>
      </w:r>
    </w:p>
    <w:p>
      <w:r>
        <w:t>Each week the system reads the current planning files and stock files from the shared NAS drive — no manual copy/paste. This includes:</w:t>
      </w:r>
    </w:p>
    <w:p>
      <w:pPr>
        <w:pStyle w:val="ListBullet"/>
      </w:pPr>
      <w:r>
        <w:t>The ONE 部品予測/部品マスター planning files (17 files, ~534 parts: CPU, motherboard, VGA, memory, storage, case, PSU, etc.)</w:t>
      </w:r>
    </w:p>
    <w:p>
      <w:pPr>
        <w:pStyle w:val="ListBullet"/>
      </w:pPr>
      <w:r>
        <w:t>The weekly SAP stock extract (current on-hand inventory per part)</w:t>
      </w:r>
    </w:p>
    <w:p>
      <w:pPr>
        <w:pStyle w:val="ListBullet"/>
      </w:pPr>
      <w:r>
        <w:t>The sales-plan files from 企画部 (Planning Dept.)</w:t>
      </w:r>
    </w:p>
    <w:p>
      <w:r>
        <w:t>It matches up every part across these different files (they don’t all use the same names) and flags anything that doesn’t reconcile.</w:t>
      </w:r>
    </w:p>
    <w:p>
      <w:pPr>
        <w:pStyle w:val="Heading2"/>
      </w:pPr>
      <w:r>
        <w:t>Step 2 — Generates a forecast for every part</w:t>
      </w:r>
    </w:p>
    <w:p>
      <w:r>
        <w:t>For the parts 企画部 plans directly (CPU, motherboard, VGA, case), the system calculates a 12-month demand forecast automatically — no manual model tuning. It tests a few different forecasting approaches against each part’s own recent history and picks whichever one actually would have predicted that part best, then reports how accurate it expects to be, both overall and for next month specifically (the number that matters most for the next order).</w:t>
      </w:r>
    </w:p>
    <w:p>
      <w:r>
        <w:t>For everything else purchasing buys (RAM, PSU, cables, mouse/keyboard, fans, SSD/HDD, OS licenses, packaging, etc.), the system derives demand from the planned CPU/MB/VGA/case volumes above, using compatibility and attach-rate rules — e.g., "each case sold needs one of these fan kits."</w:t>
      </w:r>
    </w:p>
    <w:p>
      <w:pPr>
        <w:pStyle w:val="Heading2"/>
      </w:pPr>
      <w:r>
        <w:t>Step 3 — Checks part compatibility</w:t>
      </w:r>
    </w:p>
    <w:p>
      <w:r>
        <w:t>The system keeps a set of compatibility rules (which cases fit which motherboards, which PSUs pair with which builds, etc.). When it isn’t sure about a new rule, it can draft a suggestion using AI, but a human always has to confirm or reject it before it takes effect.</w:t>
      </w:r>
    </w:p>
    <w:p>
      <w:pPr>
        <w:pStyle w:val="Heading2"/>
      </w:pPr>
      <w:r>
        <w:t>Step 4 — Suggests what to order</w:t>
      </w:r>
    </w:p>
    <w:p>
      <w:r>
        <w:t>Combining the forecast with current stock, the system suggests an order quantity per part. Buyers see this on a dashboard, can accept it, or manually adjust it — every adjustment is logged with who made it and why, so the system can later show how often and how much humans override its numbers.</w:t>
      </w:r>
    </w:p>
    <w:p>
      <w:r>
        <w:t>The suggestion does not account for purchase orders already in transit, so buyers still need to check their own PO tracker before ordering.</w:t>
      </w:r>
    </w:p>
    <w:p>
      <w:pPr>
        <w:pStyle w:val="Heading2"/>
      </w:pPr>
      <w:r>
        <w:t>Step 5 — Tracks its own accuracy</w:t>
      </w:r>
    </w:p>
    <w:p>
      <w:r>
        <w:t>After the fact, the system compares its forecasts to what actually happened, and also compares itself against what the human planners predicted historically, so leadership can see whether the automated forecast is actually more accurate than the manual process it replaces.</w:t>
      </w:r>
    </w:p>
    <w:p>
      <w:pPr>
        <w:pStyle w:val="Heading2"/>
      </w:pPr>
      <w:r>
        <w:t>Step 6 — Flags problems</w:t>
      </w:r>
    </w:p>
    <w:p>
      <w:r>
        <w:t>The system runs a set of automatic checks and surfaces the results as reports and notifications, for example:</w:t>
      </w:r>
    </w:p>
    <w:p>
      <w:pPr>
        <w:pStyle w:val="ListBullet"/>
      </w:pPr>
      <w:r>
        <w:t>Mismatches between take-or-pay purchase commitments and actual plans</w:t>
      </w:r>
    </w:p>
    <w:p>
      <w:pPr>
        <w:pStyle w:val="ListBullet"/>
      </w:pPr>
      <w:r>
        <w:t>Parts where source files disagree or a match couldn’t be found</w:t>
      </w:r>
    </w:p>
    <w:p>
      <w:pPr>
        <w:pStyle w:val="ListBullet"/>
      </w:pPr>
      <w:r>
        <w:t>Parts that look like candidates for discontinuation (declining demand, excess stock)</w:t>
      </w:r>
    </w:p>
    <w:p>
      <w:pPr>
        <w:pStyle w:val="ListBullet"/>
      </w:pPr>
      <w:r>
        <w:t>Parts nobody has been assigned to own/monitor</w:t>
      </w:r>
    </w:p>
    <w:p>
      <w:pPr>
        <w:pStyle w:val="Heading1"/>
      </w:pPr>
      <w:r>
        <w:t>3. What Buyers/Planners See (Dashboard Pages)</w:t>
      </w:r>
    </w:p>
    <w:tbl>
      <w:tblPr>
        <w:tblStyle w:val="TableGrid"/>
        <w:tblW w:type="auto" w:w="0"/>
        <w:jc w:val="left"/>
        <w:tblLook w:firstColumn="1" w:firstRow="1" w:lastColumn="0" w:lastRow="0" w:noHBand="0" w:noVBand="1" w:val="04A0"/>
      </w:tblPr>
      <w:tblGrid>
        <w:gridCol w:w="4320"/>
        <w:gridCol w:w="4320"/>
      </w:tblGrid>
      <w:tr>
        <w:tc>
          <w:tcPr>
            <w:tcW w:type="dxa" w:w="2304"/>
            <w:shd w:val="clear" w:color="auto" w:fill="2E74B5"/>
          </w:tcPr>
          <w:p>
            <w:r/>
            <w:r>
              <w:rPr>
                <w:b/>
                <w:color w:val="FFFFFF"/>
                <w:sz w:val="20"/>
              </w:rPr>
              <w:t>Page</w:t>
            </w:r>
          </w:p>
        </w:tc>
        <w:tc>
          <w:tcPr>
            <w:tcW w:type="dxa" w:w="6768"/>
            <w:shd w:val="clear" w:color="auto" w:fill="2E74B5"/>
          </w:tcPr>
          <w:p>
            <w:r/>
            <w:r>
              <w:rPr>
                <w:b/>
                <w:color w:val="FFFFFF"/>
                <w:sz w:val="20"/>
              </w:rPr>
              <w:t>What it’s for</w:t>
            </w:r>
          </w:p>
        </w:tc>
      </w:tr>
      <w:tr>
        <w:tc>
          <w:tcPr>
            <w:tcW w:type="dxa" w:w="2304"/>
          </w:tcPr>
          <w:p>
            <w:r/>
            <w:r>
              <w:rPr>
                <w:sz w:val="20"/>
              </w:rPr>
              <w:t>Dashboard</w:t>
            </w:r>
          </w:p>
        </w:tc>
        <w:tc>
          <w:tcPr>
            <w:tcW w:type="dxa" w:w="6768"/>
          </w:tcPr>
          <w:p>
            <w:r/>
            <w:r>
              <w:rPr>
                <w:sz w:val="20"/>
              </w:rPr>
              <w:t>At-a-glance summary across all parts</w:t>
            </w:r>
          </w:p>
        </w:tc>
      </w:tr>
      <w:tr>
        <w:tc>
          <w:tcPr>
            <w:tcW w:type="dxa" w:w="2304"/>
          </w:tcPr>
          <w:p>
            <w:r/>
            <w:r>
              <w:rPr>
                <w:sz w:val="20"/>
              </w:rPr>
              <w:t>Forecast</w:t>
            </w:r>
          </w:p>
        </w:tc>
        <w:tc>
          <w:tcPr>
            <w:tcW w:type="dxa" w:w="6768"/>
          </w:tcPr>
          <w:p>
            <w:r/>
            <w:r>
              <w:rPr>
                <w:sz w:val="20"/>
              </w:rPr>
              <w:t>Per-part forecast detail and history</w:t>
            </w:r>
          </w:p>
        </w:tc>
      </w:tr>
      <w:tr>
        <w:tc>
          <w:tcPr>
            <w:tcW w:type="dxa" w:w="2304"/>
          </w:tcPr>
          <w:p>
            <w:r/>
            <w:r>
              <w:rPr>
                <w:sz w:val="20"/>
              </w:rPr>
              <w:t>Adjustments</w:t>
            </w:r>
          </w:p>
        </w:tc>
        <w:tc>
          <w:tcPr>
            <w:tcW w:type="dxa" w:w="6768"/>
          </w:tcPr>
          <w:p>
            <w:r/>
            <w:r>
              <w:rPr>
                <w:sz w:val="20"/>
              </w:rPr>
              <w:t>Review/make manual overrides to a forecast or order suggestion</w:t>
            </w:r>
          </w:p>
        </w:tc>
      </w:tr>
      <w:tr>
        <w:tc>
          <w:tcPr>
            <w:tcW w:type="dxa" w:w="2304"/>
          </w:tcPr>
          <w:p>
            <w:r/>
            <w:r>
              <w:rPr>
                <w:sz w:val="20"/>
              </w:rPr>
              <w:t>CompatReview</w:t>
            </w:r>
          </w:p>
        </w:tc>
        <w:tc>
          <w:tcPr>
            <w:tcW w:type="dxa" w:w="6768"/>
          </w:tcPr>
          <w:p>
            <w:r/>
            <w:r>
              <w:rPr>
                <w:sz w:val="20"/>
              </w:rPr>
              <w:t>Confirm or reject compatibility rules (including AI-drafted ones)</w:t>
            </w:r>
          </w:p>
        </w:tc>
      </w:tr>
      <w:tr>
        <w:tc>
          <w:tcPr>
            <w:tcW w:type="dxa" w:w="2304"/>
          </w:tcPr>
          <w:p>
            <w:r/>
            <w:r>
              <w:rPr>
                <w:sz w:val="20"/>
              </w:rPr>
              <w:t>Mismatch</w:t>
            </w:r>
          </w:p>
        </w:tc>
        <w:tc>
          <w:tcPr>
            <w:tcW w:type="dxa" w:w="6768"/>
          </w:tcPr>
          <w:p>
            <w:r/>
            <w:r>
              <w:rPr>
                <w:sz w:val="20"/>
              </w:rPr>
              <w:t>Take-or-pay commitment vs. plan mismatches</w:t>
            </w:r>
          </w:p>
        </w:tc>
      </w:tr>
      <w:tr>
        <w:tc>
          <w:tcPr>
            <w:tcW w:type="dxa" w:w="2304"/>
          </w:tcPr>
          <w:p>
            <w:r/>
            <w:r>
              <w:rPr>
                <w:sz w:val="20"/>
              </w:rPr>
              <w:t>Accuracy</w:t>
            </w:r>
          </w:p>
        </w:tc>
        <w:tc>
          <w:tcPr>
            <w:tcW w:type="dxa" w:w="6768"/>
          </w:tcPr>
          <w:p>
            <w:r/>
            <w:r>
              <w:rPr>
                <w:sz w:val="20"/>
              </w:rPr>
              <w:t>How accurate the forecast has been, vs. the old manual process</w:t>
            </w:r>
          </w:p>
        </w:tc>
      </w:tr>
      <w:tr>
        <w:tc>
          <w:tcPr>
            <w:tcW w:type="dxa" w:w="2304"/>
          </w:tcPr>
          <w:p>
            <w:r/>
            <w:r>
              <w:rPr>
                <w:sz w:val="20"/>
              </w:rPr>
              <w:t>Notifications</w:t>
            </w:r>
          </w:p>
        </w:tc>
        <w:tc>
          <w:tcPr>
            <w:tcW w:type="dxa" w:w="6768"/>
          </w:tcPr>
          <w:p>
            <w:r/>
            <w:r>
              <w:rPr>
                <w:sz w:val="20"/>
              </w:rPr>
              <w:t>Flags and alerts needing attention</w:t>
            </w:r>
          </w:p>
        </w:tc>
      </w:tr>
    </w:tbl>
    <w:p/>
    <w:p>
      <w:r>
        <w:t>The dashboard is in Japanese and English, and access is controlled by company sign-in (Microsoft/Entra ID) — only people the company has assigned to the app can log in.</w:t>
      </w:r>
    </w:p>
    <w:p>
      <w:pPr>
        <w:pStyle w:val="Heading1"/>
      </w:pPr>
      <w:r>
        <w:t>4. What It Deliberately Does Not Do</w:t>
      </w:r>
    </w:p>
    <w:p>
      <w:pPr>
        <w:pStyle w:val="ListBullet"/>
      </w:pPr>
      <w:r>
        <w:t>No SAP write-back — the system only reads from SAP, never writes to it.</w:t>
      </w:r>
    </w:p>
    <w:p>
      <w:pPr>
        <w:pStyle w:val="ListBullet"/>
      </w:pPr>
      <w:r>
        <w:t>No machine-learning "black box" — forecasts use transparent statistical methods that are backtested, not opaque AI predictions, so results are explainable.</w:t>
      </w:r>
    </w:p>
    <w:p>
      <w:pPr>
        <w:pStyle w:val="ListBullet"/>
      </w:pPr>
      <w:r>
        <w:t>No automatic ordering — every order is a human decision; the system only suggests.</w:t>
      </w:r>
    </w:p>
    <w:p>
      <w:pPr>
        <w:pStyle w:val="ListBullet"/>
      </w:pPr>
      <w:r>
        <w:t>No in-transit PO tracking — buyers still need their own PO tracker for what’s already on order.</w:t>
      </w:r>
    </w:p>
    <w:p>
      <w:pPr>
        <w:pStyle w:val="Heading1"/>
      </w:pPr>
      <w:r>
        <w:t>5. Where This Fits</w:t>
      </w:r>
    </w:p>
    <w:p>
      <w:r>
        <w:t>An earlier proof of concept (spreadsheet consolidation/reconciliation automation) was retired once this Phase 1 system replaced it. Phase 1 is the current, active product; later phases (per the project plan) are expected to build on this foundation — e.g., formal role-based permissions beyond simple sign-in, which is not yet implemented.</w:t>
      </w:r>
    </w:p>
    <w:p/>
    <w:p>
      <w:pPr>
        <w:jc w:val="center"/>
      </w:pPr>
      <w:r>
        <w:rPr>
          <w:i/>
          <w:color w:val="595959"/>
          <w:sz w:val="18"/>
        </w:rPr>
        <w:t>Summary reference — generated 2026-08-04.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