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Reunião do P.I ­ 14/03/2016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Presentes:</w:t>
        <w:br w:type="textWrapping"/>
        <w:t xml:space="preserve">Alan Camargo, Camila Corá, Haluane de Cássia e Pedro Ribeiro.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Discutidos:</w:t>
        <w:br w:type="textWrapping"/>
        <w:t xml:space="preserve">Início do wireframe do Web funcionário, correção dos requisitos e regras, continuação da correção do caso de uso.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Trabalho feito:</w:t>
        <w:br w:type="textWrapping"/>
        <w:t xml:space="preserve">Continuação dos wireframes, correção e revisão dos requisitos e regras, atualização do caso de uso.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