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0C1FF1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硬边情况下点的法线有多个，即周围面的法线，软边情况下点的法线为周围面的法线根据面积的加权平均。法线分为正法线和负法线，负法线所在的那一侧面不接收光照，节约计算时间</w:t>
      </w:r>
    </w:p>
    <w:p w14:paraId="35CF2C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网格(mesh)：模型的几何结构，只包括点和面</w:t>
      </w:r>
    </w:p>
    <w:p w14:paraId="64953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纹理(texture)：模型表面的纹路</w:t>
      </w:r>
    </w:p>
    <w:p w14:paraId="422738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纹理图(map)：一张图片(RGB/RGBA)，以左下角为原点</w:t>
      </w:r>
    </w:p>
    <w:p w14:paraId="7950FD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map)：模型每个顶点都有对应的纹理图坐标UV(u,v)，模型渲染时根据UV将图片贴到模型上，模型表面可能是凹凸不平的，贴图的过程会对图像进行拉伸处理</w:t>
      </w:r>
    </w:p>
    <w:p w14:paraId="40B5AF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纹理图集(texture atlas)：一种图片技术</w:t>
      </w:r>
    </w:p>
    <w:p w14:paraId="38419B9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材质(material)：是一个数据集，给渲染器提供数据和光照算法，材质包括纹理贴图等</w:t>
      </w:r>
    </w:p>
    <w:p w14:paraId="30FFEF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着色器(shader)：控制GPU显示的程序</w:t>
      </w:r>
    </w:p>
    <w:p w14:paraId="1707B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模型文件：文件类型有很多种，一通常为网格部分(obj、fly)和材质部分(mtl)</w:t>
      </w:r>
    </w:p>
    <w:p w14:paraId="5A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.mtl文件：包含模型的材质信息</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bookmarkStart w:id="0" w:name="_GoBack"/>
      <w:bookmarkEnd w:id="0"/>
    </w:p>
    <w:p w14:paraId="310D3F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1DFA04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2D451F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v：内容为v x y z，(x,y,z)为顶点坐标</w:t>
      </w:r>
    </w:p>
    <w:p w14:paraId="0D27A5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vt：内容为vt u v w(通常w默认为0会省略)，(u,v)为顶点的纹理图片坐标</w:t>
      </w:r>
    </w:p>
    <w:p w14:paraId="621C45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vn：内容为vn x y z，(x,y,z)为顶点的法线坐标</w:t>
      </w:r>
    </w:p>
    <w:p w14:paraId="19E8A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f：内容为v1/vt1/vn1 v2/vt2/vn2...，内容形式不固定，面的组成</w:t>
      </w:r>
    </w:p>
    <w:p w14:paraId="22F04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g：组名称(可没有)，逻辑上将1或多个面划分为一组</w:t>
      </w:r>
    </w:p>
    <w:p w14:paraId="201B60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数据</w:t>
      </w:r>
      <w:r>
        <w:rPr>
          <w:rFonts w:hint="eastAsia" w:ascii="宋体" w:hAnsi="宋体" w:eastAsia="宋体" w:cs="宋体"/>
          <w:b/>
          <w:bCs/>
          <w:i w:val="0"/>
          <w:sz w:val="24"/>
          <w:szCs w:val="24"/>
          <w:lang w:val="en-US" w:eastAsia="zh-CN"/>
        </w:rPr>
        <w:t>格式</w:t>
      </w:r>
    </w:p>
    <w:p w14:paraId="43C5B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w:t>
      </w:r>
    </w:p>
    <w:p w14:paraId="438296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647EDF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46A3C1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082FE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48D2E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68C796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obj文件格式</w:t>
      </w:r>
      <w:r>
        <w:rPr>
          <w:rFonts w:hint="eastAsia" w:ascii="宋体" w:hAnsi="宋体" w:cs="宋体"/>
          <w:b/>
          <w:bCs/>
          <w:i w:val="0"/>
          <w:sz w:val="24"/>
          <w:szCs w:val="24"/>
          <w:lang w:val="en-US" w:eastAsia="zh-CN"/>
        </w:rPr>
        <w:t>：</w:t>
      </w:r>
    </w:p>
    <w:p w14:paraId="0DDDCD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用txt格式打开后有很多v开头、vt开头、vn开头、f开头等的行</w:t>
      </w:r>
    </w:p>
    <w:p w14:paraId="42738E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v：内容为v x y z，(x,y,z)为顶点坐标</w:t>
      </w:r>
    </w:p>
    <w:p w14:paraId="2D6FCFC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vt：内容为vt u v w，通常w默认为0会省略，顶点纹理坐标</w:t>
      </w:r>
    </w:p>
    <w:p w14:paraId="63CDE0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vn：内容为vn x y z，(x,y,z)为顶点法向量坐标</w:t>
      </w:r>
    </w:p>
    <w:p w14:paraId="25DCE5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f：内容为v1/vt1/vn1 v2/vt2/vn2...，内容形式不固定，面的组成</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74E3A0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3049D2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42A83F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44</Pages>
  <Words>26376</Words>
  <Characters>40706</Characters>
  <Lines>0</Lines>
  <Paragraphs>0</Paragraphs>
  <TotalTime>6</TotalTime>
  <ScaleCrop>false</ScaleCrop>
  <LinksUpToDate>false</LinksUpToDate>
  <CharactersWithSpaces>41062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2024-08-01T15:28:32Z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