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421E33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w:t>
      </w:r>
    </w:p>
    <w:p w14:paraId="5AED4E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map)：即贴图(map)，充满纹理的图片，左下角为原点。纹理贴图是材质烘焙后的结果，通过纹理贴图着色的方式可以大幅节约存储空间和渲染时间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74314C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的区域，贴图时可能会做拉伸变化。UV坐标数值在0-1，因此运算时纹理贴图的坐标也压缩到0-1，如果UV坐标超过1比如(1.1,0.5)，则通常会把其当做(0.1,0.5)</w:t>
      </w:r>
    </w:p>
    <w:p w14:paraId="1FD89E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UV展开图：UV展开图是一个透明的框架，悬浮在纹理贴图上，如果模型没有纹理贴图，则背景是透明的。如果UV图和纹理贴图不对应(UV坐标不对应)则物体的颜色会乱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74D138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1EAFDD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obj：常见的格式，可以用txt文本打开查看，优点是支持各种类型的网格，缺点是没有统一的规范，纹理等需要引用mtl文件，支持的颜色较少会导致模型颜色变化</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bookmarkStart w:id="0" w:name="_GoBack"/>
      <w:bookmarkEnd w:id="0"/>
    </w:p>
    <w:p w14:paraId="310D3F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1DFA04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2D451F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v：内容为v x y z，(x,y,z)为顶点坐标</w:t>
      </w:r>
    </w:p>
    <w:p w14:paraId="0D27A5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vt：内容为vt u v w(通常w默认为0会省略)，(u,v)为顶点的纹理图片坐标</w:t>
      </w:r>
    </w:p>
    <w:p w14:paraId="621C45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vn：内容为vn x y z，(x,y,z)为顶点的法线坐标</w:t>
      </w:r>
    </w:p>
    <w:p w14:paraId="19E8A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f：内容为v1/vt1/vn1 v2/vt2/vn2...，内容形式不固定，面的组成</w:t>
      </w:r>
    </w:p>
    <w:p w14:paraId="22F04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g：组名称(可没有)，逻辑上将1或多个面划分为一组</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27200</Words>
  <Characters>41690</Characters>
  <Lines>0</Lines>
  <Paragraphs>0</Paragraphs>
  <TotalTime>11</TotalTime>
  <ScaleCrop>false</ScaleCrop>
  <LinksUpToDate>false</LinksUpToDate>
  <CharactersWithSpaces>42058</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2024-08-22T04:14:26Z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