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材质(material)：模型表面的外观特性，比如颜色、反射率、光泽度等。一个模型可能有多个材质，分别管理不同的区域，每个材质可能是点着色或者纹理着色(需要纹理贴图)</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w:t>
      </w:r>
      <w:bookmarkStart w:id="0" w:name="_GoBack"/>
      <w:bookmarkEnd w:id="0"/>
      <w:r>
        <w:rPr>
          <w:rFonts w:hint="eastAsia" w:ascii="宋体" w:hAnsi="宋体" w:cs="宋体"/>
          <w:b w:val="0"/>
          <w:bCs w:val="0"/>
          <w:i w:val="0"/>
          <w:sz w:val="24"/>
          <w:szCs w:val="24"/>
          <w:lang w:val="en-US" w:eastAsia="zh-CN"/>
        </w:rPr>
        <w:t>、顶点着色、混合着色。贴图着色是把纹理贴图贴到模型上；顶点着色是给每个顶点一个颜色，点间面的颜色取决于点的颜色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6DE29C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材质球：贴图与模型的媒介。建模软件中先给材质球上贴图或颜色，然后应用到模型</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27438</Words>
  <Characters>42240</Characters>
  <Lines>0</Lines>
  <Paragraphs>0</Paragraphs>
  <TotalTime>94</TotalTime>
  <ScaleCrop>false</ScaleCrop>
  <LinksUpToDate>false</LinksUpToDate>
  <CharactersWithSpaces>42611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2025-03-09T14:43:57Z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