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421E33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材质(material)：模型表面的外观特性，比如颜色、反射率、光泽度等，一个模型可能有多个材质，分别管理不同的区域</w:t>
      </w:r>
    </w:p>
    <w:p w14:paraId="5AED4E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纹理贴图(texture map)：即贴图(map)，充满纹理的图片，左下角为原点。纹理贴图是材质烘焙后的结果，通过纹理贴图着色的方式可以大幅节约存储空间和渲染时间</w:t>
      </w:r>
    </w:p>
    <w:p w14:paraId="532FDAC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纹理(texture)：纹路图案，只是一个抽象概念，比如木头的木纹</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w:t>
      </w:r>
      <w:bookmarkStart w:id="0" w:name="_GoBack"/>
      <w:bookmarkEnd w:id="0"/>
      <w:r>
        <w:rPr>
          <w:rFonts w:hint="eastAsia" w:ascii="宋体" w:hAnsi="宋体" w:cs="宋体"/>
          <w:b w:val="0"/>
          <w:bCs w:val="0"/>
          <w:i w:val="0"/>
          <w:sz w:val="24"/>
          <w:szCs w:val="24"/>
          <w:lang w:val="en-US" w:eastAsia="zh-CN"/>
        </w:rPr>
        <w:t>面的颜色取决于点的颜色</w:t>
      </w:r>
    </w:p>
    <w:p w14:paraId="74D138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ply：在stl的基础上支持索引面和颜色</w:t>
      </w:r>
    </w:p>
    <w:p w14:paraId="510763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obj：常见的格式，可以用txt文本打开查看，优点是支持各种类型的网格，缺点是没有统一的规范、使用纹理需要mtl文件(可能有纹理贴图)。obj文件中要指定mtl文件位置，mtl文件中包含材质信息，有纹理贴图时需指定其位置，可以用txt方式打开编辑</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ghtf：文件内容与glb一致，只是将文件和纹理分开存储</w:t>
      </w:r>
    </w:p>
    <w:p w14:paraId="3E84A88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obj文件：</w:t>
      </w:r>
    </w:p>
    <w:p w14:paraId="310D3F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用txt格式打开后有很多v开头、vt开头、vn开头、f开头等的行</w:t>
      </w:r>
    </w:p>
    <w:p w14:paraId="1DFA04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mtllib 名称.mtl：指定模型渲染使用的材质文件</w:t>
      </w:r>
    </w:p>
    <w:p w14:paraId="2D451F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v：内容为v x y z，(x,y,z)为顶点坐标</w:t>
      </w:r>
    </w:p>
    <w:p w14:paraId="0D27A5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vt：内容为vt u v w(通常w默认为0会省略)，(u,v)为顶点的纹理图片坐标</w:t>
      </w:r>
    </w:p>
    <w:p w14:paraId="621C45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vn：内容为vn x y z，(x,y,z)为顶点的法线坐标</w:t>
      </w:r>
    </w:p>
    <w:p w14:paraId="19E8A5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f：内容为v1/vt1/vn1 v2/vt2/vn2...，内容形式不固定，面的组成</w:t>
      </w:r>
    </w:p>
    <w:p w14:paraId="22F04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g：组名称(可没有)，逻辑上将1或多个面划分为一组</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bCs/>
          <w:i w:val="0"/>
          <w:sz w:val="24"/>
          <w:szCs w:val="24"/>
          <w:lang w:val="en-US" w:eastAsia="zh-CN"/>
        </w:rPr>
        <w:t>mtl</w:t>
      </w:r>
      <w:r>
        <w:rPr>
          <w:rFonts w:hint="eastAsia" w:ascii="宋体" w:hAnsi="宋体" w:cs="宋体"/>
          <w:b/>
          <w:bCs/>
          <w:i w:val="0"/>
          <w:sz w:val="24"/>
          <w:szCs w:val="24"/>
          <w:lang w:val="en-US" w:eastAsia="zh-CN"/>
        </w:rPr>
        <w:t>文件：</w:t>
      </w:r>
    </w:p>
    <w:p w14:paraId="7DB20D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可以用txt格式打开，里面有很多行</w:t>
      </w:r>
    </w:p>
    <w:p w14:paraId="108E4C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newmtl 名称：定义mtl文件名称</w:t>
      </w:r>
    </w:p>
    <w:p w14:paraId="186DAC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Ka：环境光</w:t>
      </w:r>
    </w:p>
    <w:p w14:paraId="052873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Ks：镜面光</w:t>
      </w:r>
    </w:p>
    <w:p w14:paraId="155D85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Ni：折射率(0.001-10)，为1时光通过物体不弯曲，玻璃折射率为1.5</w:t>
      </w:r>
    </w:p>
    <w:p w14:paraId="4BBE0E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Ns：反射指数(0-1000)，值越高则反射高光越密集</w:t>
      </w:r>
    </w:p>
    <w:p w14:paraId="368ADB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27EE5"/>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2E2DC9"/>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27043</Words>
  <Characters>41644</Characters>
  <Lines>0</Lines>
  <Paragraphs>0</Paragraphs>
  <TotalTime>0</TotalTime>
  <ScaleCrop>false</ScaleCrop>
  <LinksUpToDate>false</LinksUpToDate>
  <CharactersWithSpaces>42002</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2024-08-28T04:54:51Z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1C728637D3B1418A876B0719D64018FD</vt:lpwstr>
  </property>
</Properties>
</file>