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0877A2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5B80FD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70D092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4F544E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1B2CD7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41460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_ in range(len(step_list)):</w:t>
      </w:r>
    </w:p>
    <w:p w14:paraId="09D9E3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11D432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3A2BC5E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74FDF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1</w:t>
      </w:r>
    </w:p>
    <w:p w14:paraId="12262B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5A63B5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52B48A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49B9B4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15568B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bookmarkStart w:id="0" w:name="_GoBack"/>
      <w:bookmarkEnd w:id="0"/>
    </w:p>
    <w:p w14:paraId="6FBA37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或只对离目标近的点搜索，不同优先的规则适用于不同的情况。比如只对离目标近的点搜索，能快速找到局部最优解，但遇到U型障碍时不是全局最优解。在BFS基础上用优先队列替换原列表，只寻找优先度高的几个方向，python中使用heapq库</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既考虑当前到目标点的距离(最佳优先)，又考虑当前到原点的距离(广度优先)，也是通过优先队列来实现。与最佳优先搜索的区别是会遍历优先队列中的所有方向</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0249849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10892"/>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6735</Words>
  <Characters>8558</Characters>
  <Lines>0</Lines>
  <Paragraphs>0</Paragraphs>
  <TotalTime>0</TotalTime>
  <ScaleCrop>false</ScaleCrop>
  <LinksUpToDate>false</LinksUpToDate>
  <CharactersWithSpaces>8972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2025-03-19T04:09:11Z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