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通常为r的两倍；lora_droput防止过拟合；inference_mode=False；task_type=peft.TaskType.CAUSAL_LM；target_modules为其他调节参数，通常'q_proj'和'v_proj'比较重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bookmarkStart w:id="0" w:name="_GoBack"/>
      <w:bookmarkEnd w:id="0"/>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2024-02-07T15:27:14Z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