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model=HuggingFaceEmbeddings(model_name)：加载文本块编码模型。text2vec-base-chinese模型下载：https://huggingface.co/shibing624/text2vec-base-chinese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node_list=split.get_nodes_from_documents(document_list)：划分文本块(node对象)。node会继承它原属于的document的metadata，同时会给出一个id_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model=HuggingFaceEmbedding(model_name)：加载文本块编码模型。text2vec-base-chinese模型下载：https://huggingface.co/shibing624/text2vec-base-chinese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特征数据库(又叫索引index)以node文本块方式存储。feature_database.docstore.docs中可以看到所有的node文本块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feature_database.insert_nodes(new_node_list)：添加新的文本块，注意如果文本块的id_一致则不会添加或覆盖</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4</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2024-02-29T13:26:36Z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