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bookmarkStart w:id="0" w:name="_GoBack"/>
      <w:bookmarkEnd w:id="0"/>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torch.nn.Linear(in_features,out_features)：全连接层。输入(batch,in_features)，输出(batch,out_features)。多变量预测时可(batch,dim,in_features)，输出(batch,dim,out_features)，此时各dim之间是没有交互的，但共用一个linear权重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di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tokenizer.decode(dict['input_ids'][i],skip_special_tokens=False)：解码为句子(一次只能解码一句)，会带上[CLS]、[SEP]标识。skip_special_tokens=True忽略特殊字符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generation_config使用文档：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"https://huggingface.co/docs/transformers/generation_strategies#default-text-generation-configuration"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https://huggingface.co/docs/transformers/generation_strategies#default-text-generation-configuration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generation_config参数文档：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"https://huggingface.co/docs/transformers/v4.35.0/en/main_classes/text_generation"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https://huggingface.co/docs/transformers/v4.35.0/en/main_classes/text_generation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num_beams=1,temperature=0.2,top_k=40,top_p=0.9,repetition_penalty=1.1)：控制模型生成内容的配置。max_new_tokens为最大生成字词数(不包括提示词内容)；do_sample为是否使用采样，默认False；num_beams为搜索次数，默认1为不搜索；temperature为影响下一个词的概率，默认1；top_k为最高概率的词保留的数量，默认50；top_p&lt;1时只保留概率大于top_p的词，默认1；repetition_penalty为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model=transformers.LlamaForCausalLM.from_pretrained(model_path,load_in_4bit=False,load_in_8bit=False,low_cpu_mem_usage=True)：加载模型。load_in_4bit和load_in_8bit根据情况定；low_cpu_mem_usage常为True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text_deal=template.format(prompt=prompt,instruction=text)：在输入中加入提示词模版。template=('[INST] &lt;&lt;SYS&gt;&gt;\n{prompt}\n&lt;&lt;/SYS&gt;&gt;\n\n{instruction} [/INST])，prompt='You are a helpful assistant. 你是一个乐于助人的助手。'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text_dict=tokenizer(text_deal, 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2023-11-09T14:22:46Z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