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w:t>
      </w:r>
      <w:bookmarkStart w:id="0" w:name="_GoBack"/>
      <w:bookmarkEnd w:id="0"/>
      <w:r>
        <w:rPr>
          <w:rFonts w:hint="eastAsia" w:ascii="宋体" w:hAnsi="宋体" w:cs="宋体"/>
          <w:b w:val="0"/>
          <w:bCs w:val="0"/>
          <w:sz w:val="24"/>
          <w:szCs w:val="24"/>
          <w:lang w:val="en-US" w:eastAsia="zh-CN"/>
        </w:rPr>
        <w:t>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122</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2024-01-03T15:42:49Z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