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静态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dict_.pop(key)：移除字典中键为key的元素，返回值为key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cs="宋体"/>
          <w:b w:val="0"/>
          <w:bCs w:val="0"/>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类名(继承的类):：定义一个类。(继承的类)可以不加。在类中可以添加内部变量、内置函数、自定义函数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还可以在A=类(...)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继承的类：加入继承类B后，定义的子类A可以直接获得父类B中定义的函数、B中直接写入的内部变量(不包括__init__中的，需要额外操作)，省去了冗余的代码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super().__init__()</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self.value=value：类的内置初始化函数。__init__中可以使用self.value=value来定义内部变量。super().__init__()可不加，加入时才会获得继承类的__init__中定义的内部变量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torch_geometric.nn.GCNConv(in_channels,out_channels)：定义图卷积层。in_channels为输入通道数，out_channels为输出通道数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B1FBE"/>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2023-12-20T15:36:23Z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