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w:t>
      </w:r>
      <w:r>
        <w:rPr>
          <w:rFonts w:hint="eastAsia" w:ascii="宋体" w:hAnsi="宋体" w:cs="宋体"/>
          <w:b w:val="0"/>
          <w:bCs w:val="0"/>
          <w:sz w:val="24"/>
          <w:szCs w:val="24"/>
          <w:lang w:val="en-US" w:eastAsia="zh-CN"/>
        </w:rPr>
        <w:t>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w:t>
      </w:r>
      <w:r>
        <w:rPr>
          <w:rFonts w:hint="eastAsia" w:ascii="宋体" w:hAnsi="宋体" w:cs="宋体"/>
          <w:b w:val="0"/>
          <w:bCs w:val="0"/>
          <w:sz w:val="24"/>
          <w:szCs w:val="24"/>
          <w:lang w:val="en-US" w:eastAsia="zh-CN"/>
        </w:rPr>
        <w:t>提示</w:t>
      </w:r>
      <w:r>
        <w:rPr>
          <w:rFonts w:hint="eastAsia" w:ascii="宋体" w:hAnsi="宋体" w:eastAsia="宋体" w:cs="宋体"/>
          <w:b w:val="0"/>
          <w:bCs w:val="0"/>
          <w:sz w:val="24"/>
          <w:szCs w:val="24"/>
          <w:lang w:val="en-US" w:eastAsia="zh-CN"/>
        </w:rPr>
        <w:t>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[/INST]'：多轮对话时追加的历史信息模版(3个空格)。answer为上一轮去格式后的回答，instruction为下一轮的输入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text=text+template_add.format(answer=answer,instruction=instruction)：多轮对话时要追加历史信息。template_add除answer和instruction外的编码后长度为10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 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label=[-100...,标签词索引,2,-100...]：除标签和结束符之外的地方都为-100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API接口与网页版的GPT有一定区别，通常网页版的效果更好、回答更长。使用API时适当调整系统提示后效果会更好，比如[你的回答要丰富和全面，回答中的小标题要带**号]</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w:t>
      </w:r>
      <w:r>
        <w:rPr>
          <w:rFonts w:hint="eastAsia" w:ascii="宋体" w:hAnsi="宋体" w:cs="宋体"/>
          <w:b w:val="0"/>
          <w:bCs w:val="0"/>
          <w:sz w:val="24"/>
          <w:szCs w:val="24"/>
          <w:lang w:val="en-US" w:eastAsia="zh-CN"/>
        </w:rPr>
        <w:t>通常</w:t>
      </w:r>
      <w:r>
        <w:rPr>
          <w:rFonts w:hint="default" w:ascii="宋体" w:hAnsi="宋体" w:cs="宋体"/>
          <w:b w:val="0"/>
          <w:bCs w:val="0"/>
          <w:sz w:val="24"/>
          <w:szCs w:val="24"/>
          <w:lang w:val="en-US" w:eastAsia="zh-CN"/>
        </w:rPr>
        <w:t>回答中的换行处为\n\n，偶尔会出现\n \n</w:t>
      </w:r>
      <w:r>
        <w:rPr>
          <w:rFonts w:hint="eastAsia" w:ascii="宋体" w:hAnsi="宋体" w:cs="宋体"/>
          <w:b w:val="0"/>
          <w:bCs w:val="0"/>
          <w:sz w:val="24"/>
          <w:szCs w:val="24"/>
          <w:lang w:val="en-US" w:eastAsia="zh-CN"/>
        </w:rPr>
        <w:t>。模型的输出还需进行一定的处理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2024-01-16T12:51:57Z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