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generation_config=transformers.GenerationConfig(eos_token_id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"https://github.com/baichuan-inc/Baichuan2"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https://github.com/baichuan-inc/Baichuan2</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"https://github.com/QwenLM/Qwen"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https://github.com/QwenLM/Qwen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template='&lt;|im_start|&gt;system</w:t>
      </w: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input_ids=torch.tensor(prompt_encode+output_encode+[151645]+[198],dtype=torch.int64)：模型输入。max_length为输入长度限制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官方文档：</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"https://huggingface.co/docs/peft/index"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https://huggingface.co/docs/peft/index</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"https://github.com/Dao-AILab/flash-attention"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https://github.com/Dao-AILab/flash-attention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"https://js.langchain.com.cn/docs/"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https://js.langchain.com.cn/docs/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model=HuggingFaceEmbeddings(model_name)：加载文本块编码模型。text2vec-base-chinese模型下载：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"https://huggingface.co/shibing624/text2vec-base-chinese"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https://huggingface.co/shibing624/text2vec-base-chinese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"https://docs.llamaindex.ai/en/stable/"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https://docs.llamaindex.ai/en/stable/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model=HuggingFaceEmbedding(model_name,device)：加载文本块编码模型。text2vec-base-chinese模型下载：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"https://huggingface.co/shibing624/text2vec-base-chinese"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https://huggingface.co/shibing624/text2vec-base-chinese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bookmarkStart w:id="0" w:name="_GoBack"/>
      <w:r>
        <w:rPr>
          <w:rFonts w:hint="eastAsia" w:ascii="宋体" w:hAnsi="宋体" w:eastAsia="宋体" w:cs="宋体"/>
          <w:b/>
          <w:bCs/>
          <w:sz w:val="24"/>
          <w:szCs w:val="24"/>
          <w:lang w:val="en-US" w:eastAsia="zh-CN"/>
        </w:rPr>
        <w:t>from llama_index.core import StorageContext, load_index_from_storage</w:t>
      </w:r>
    </w:p>
    <w:bookmarkEnd w:id="0"/>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search=feature_database.as_retriever(similarity_top_k=2)：配置搜索器。(similarity_top_k为返回最相似的个数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result_list=search.retrieve(input_text)：搜索知识库。input_text为要搜索的内容。result_list[0].score为相似度，result_list[0].text为内容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官方API：</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"https://www.gradio.app/guides/quickstart"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https://www.gradio.app/guides/quickstart</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14D62"/>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03C8A"/>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2024-03-04T04:18:58Z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