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先进行softmax归一化再进行交叉熵损失。单标签时不能使用，因为不能进行softmax。使用函数时，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model=transformers.LlamaForCausalLM.from_pretrained(model_path,load_in_4bit=False,load_in_8bit=False,low_cpu_mem_usage=True)：加载模型。load_in_4bit和load_in_8bit根据情况定；low_cpu_mem_usage常为True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text_deal=template.format(prompt=prompt,instruction=text)：在输入中加入提示词模版。template=('[INST] &lt;&lt;SYS&gt;&gt;\n{prompt}\n&lt;&lt;/SYS&gt;&gt;\n\n{instruction} [/INST])，prompt='You are a helpful assistant. 你是一个乐于助人的助手。'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text_dict=tokenizer(text_deal, 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2023-11-09T10:38:29Z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