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bookmarkStart w:id="0" w:name="_GoBack"/>
      <w:bookmarkEnd w:id="0"/>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的内容可通过自定义来实现更精细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text=gradio.Textbox(placeholder,label,lines=1)：定义文本输入/输出框。placeholder为框中显示值；label为框上方的提示，默认值为fn参数名；lines为框的高度。不同的输入和输出要分开定义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number=gradio.Number(value,label,precision=None)：定义数字输入/输出框。value为框中显示值；label为框上方的提示，默认值为fn参数名；precision=0时输入数字的类型会转为整数。不同的输入和输出要分开定义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option=gradio.components.Radio(['A',1,1.0],label)：定义输入选项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chatbot=gradio.Chatbot()：定义输出聊天框。return数据为[[用户输入,模型输出]...]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state=gradio.State(value)：定义页面缓存记录历史信息，刷新网页后失效。inputs=['state']，outputs=['state']，函数中的参数首次使用value的值，后续使用上次return的值，return的值不会显示到页面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 as gradio_app: // 内容：高级配置。页面默认按照内容的写入顺序从上到下排序。配置好后使用gradio_app.launch启动服务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button.click(fn,inputs,outputs)：设置点击按钮的操作，与gradio.Interface类似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2024-02-18T15:33:29Z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