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torch.nn.BatchNorm1d(in_,track_running_stats=True)：批归一化层。in_为输入的维度；track_running_stats=True时会根据所有训练数据进行归一化，False时只会根据当前输入数据，如果训练数据差别比较大时建议设为False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可以指定自定义的编码器和解码器，否则用默认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rc,tgt,tgt_mask,src_key_padding_mask,tgt_key_padding_mask)：使用网络。src和tgt为编码器和解码器的输入，形如(batch,n,size)；tgt_mask为解码器的掩码矩阵；src_key_padding_mask和tgt_key_padding_mask为编解码器的掩码向量。输出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_,eps=1e-05,momentum=0.1,track_running_stats=True)：批归一化层。in_为输入的维度；eps为防止分母为零的小值，推荐0.001；momentum为原均值和标准差的占比，推荐0.03，new=(1-momentum)*new+momentum*last。track_running_stats=True时会根据所有训练数据进行归一化，False时只会根据当前输入批量数据，如果数据本身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官网：</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"https://tushare.pro/" </w:instrText>
      </w:r>
      <w:r>
        <w:rPr>
          <w:rFonts w:hint="eastAsia" w:ascii="宋体" w:hAnsi="宋体" w:cs="宋体"/>
          <w:sz w:val="24"/>
          <w:szCs w:val="24"/>
          <w:lang w:val="en-US" w:eastAsia="zh-CN"/>
        </w:rPr>
        <w:fldChar w:fldCharType="separate"/>
      </w:r>
      <w:r>
        <w:rPr>
          <w:rStyle w:val="7"/>
          <w:rFonts w:hint="eastAsia" w:ascii="宋体" w:hAnsi="宋体" w:cs="宋体"/>
          <w:sz w:val="24"/>
          <w:szCs w:val="24"/>
          <w:lang w:val="en-US" w:eastAsia="zh-CN"/>
        </w:rPr>
        <w:t>https://tushare.pro/</w:t>
      </w:r>
      <w:r>
        <w:rPr>
          <w:rFonts w:hint="eastAsia" w:ascii="宋体" w:hAnsi="宋体" w:cs="宋体"/>
          <w:sz w:val="24"/>
          <w:szCs w:val="24"/>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tushare.set_token('...</w:t>
      </w:r>
      <w:bookmarkStart w:id="0" w:name="_GoBack"/>
      <w:bookmarkEnd w:id="0"/>
      <w:r>
        <w:rPr>
          <w:rFonts w:hint="eastAsia" w:ascii="宋体" w:hAnsi="宋体" w:cs="宋体"/>
          <w:sz w:val="24"/>
          <w:szCs w:val="24"/>
          <w:lang w:val="en-US" w:eastAsia="zh-CN"/>
        </w:rPr>
        <w:t>')：设置密钥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2024-03-13T17:11:54Z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