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w:t>
      </w:r>
      <w:r>
        <w:rPr>
          <w:rFonts w:hint="eastAsia" w:ascii="宋体" w:hAnsi="宋体" w:cs="宋体"/>
          <w:b w:val="0"/>
          <w:bCs w:val="0"/>
          <w:sz w:val="24"/>
          <w:szCs w:val="24"/>
          <w:shd w:val="clear" w:color="auto" w:fill="auto"/>
          <w:lang w:val="en-US" w:eastAsia="zh-CN"/>
        </w:rPr>
        <w:t>：按索引从小到大排序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)：按列从小到大排序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w:t>
      </w:r>
      <w:bookmarkStart w:id="0" w:name="_GoBack"/>
      <w:r>
        <w:rPr>
          <w:rFonts w:hint="eastAsia" w:ascii="宋体" w:hAnsi="宋体" w:eastAsia="宋体" w:cs="宋体"/>
          <w:b w:val="0"/>
          <w:bCs w:val="0"/>
          <w:sz w:val="24"/>
          <w:szCs w:val="24"/>
          <w:shd w:val="clear" w:color="auto" w:fill="auto"/>
          <w:lang w:val="en-US" w:eastAsia="zh-CN"/>
        </w:rPr>
        <w:t>使用字体时</w:t>
      </w:r>
      <w:bookmarkEnd w:id="0"/>
      <w:r>
        <w:rPr>
          <w:rFonts w:hint="eastAsia" w:ascii="宋体" w:hAnsi="宋体" w:eastAsia="宋体" w:cs="宋体"/>
          <w:b w:val="0"/>
          <w:bCs w:val="0"/>
          <w:sz w:val="24"/>
          <w:szCs w:val="24"/>
          <w:shd w:val="clear" w:color="auto" w:fill="auto"/>
          <w:lang w:val="en-US" w:eastAsia="zh-CN"/>
        </w:rPr>
        <w:t>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"https://github.com/ymcui/Chinese-LLaMA-Alpaca-2"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https://github.com/ymcui/Chinese-LLaMA-Alpaca-2</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160</TotalTime>
  <ScaleCrop>false</ScaleCrop>
  <LinksUpToDate>false</LinksUpToDate>
  <CharactersWithSpaces>67467</CharactersWithSpaces>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2024-04-06T17:01:57Z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2052-12.1.0.16417</vt:lpwstr>
  </property>
</Properties>
</file>