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bookmarkStart w:id="0" w:name="_GoBack"/>
      <w:bookmarkEnd w:id="0"/>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2024-02-23T04:12:59Z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