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generation_config=transformers.GenerationConfig(eos_token_id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w:t>
      </w: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result=tokenizer.decode(pred[0])：解码。此时result内容为：输入+回答</w:t>
      </w:r>
      <w:r>
        <w:rPr>
          <w:rFonts w:hint="eastAsia" w:ascii="宋体" w:hAnsi="宋体" w:cs="宋体"/>
          <w:b w:val="0"/>
          <w:bCs w:val="0"/>
          <w:sz w:val="24"/>
          <w:szCs w:val="24"/>
          <w:lang w:val="en-US" w:eastAsia="zh-CN"/>
        </w:rPr>
        <w:t>+结束符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官方文档：</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"https://huggingface.co/docs/peft/index"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https://huggingface.co/docs/peft/index</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"https://github.com/Dao-AILab/flash-attention"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https://github.com/Dao-AILab/flash-attention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"https://js.langchain.com.cn/docs/"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https://js.langchain.com.cn/docs/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model=HuggingFaceEmbeddings(model_name)：加载文本块编码模型。text2vec-base-chinese模型下载：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"https://docs.llamaindex.ai/en/stable/"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https://docs.llamaindex.ai/en/stable/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model=HuggingFaceEmbedding(model_name,device)：加载文本块编码模型。text2vec-base-chinese模型下载：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"https://huggingface.co/shibing624/text2vec-base-chinese"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https://huggingface.co/shibing624/text2vec-base-chinese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官方API：</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"https://www.gradio.app/guides/quickstart"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https://www.gradio.app/guides/quickstart</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14D62"/>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2024-03-05T14:13:48Z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