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bookmarkStart w:id="0" w:name="_GoBack"/>
      <w:r>
        <w:rPr>
          <w:rFonts w:hint="eastAsia" w:ascii="宋体" w:hAnsi="宋体" w:eastAsia="宋体" w:cs="宋体"/>
          <w:b/>
          <w:bCs/>
          <w:sz w:val="24"/>
          <w:szCs w:val="24"/>
          <w:shd w:val="clear" w:color="auto" w:fill="auto"/>
          <w:lang w:val="en-US" w:eastAsia="zh-CN"/>
        </w:rPr>
        <w:t>import easytrader</w:t>
      </w:r>
    </w:p>
    <w:bookmarkEnd w:id="0"/>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"https://github.com/shidenggui/easytrader"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https://github.com/shidenggui/easytrader</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通过模拟按键的方式可以用代码操作同花顺客户端等交易软件，实现自动化交易</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89</Pages>
  <Words>45865</Words>
  <Characters>117218</Characters>
  <Paragraphs>106</Paragraphs>
  <TotalTime>49</TotalTime>
  <ScaleCrop>false</ScaleCrop>
  <LinksUpToDate>false</LinksUpToDate>
  <CharactersWithSpaces>118210</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2024-06-11T13:02:20Z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