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45AB5">
      <w:pPr>
        <w:pStyle w:val="63"/>
        <w:tabs>
          <w:tab w:val="left" w:pos="7200"/>
        </w:tabs>
        <w:spacing w:after="120"/>
        <w:rPr>
          <w:sz w:val="32"/>
          <w:szCs w:val="32"/>
          <w:highlight w:val="yellow"/>
        </w:rPr>
      </w:pPr>
      <w:bookmarkStart w:id="2552" w:name="_GoBack"/>
      <w:bookmarkEnd w:id="2552"/>
      <w:r>
        <w:t>3GPP TSG-RAN WG1 Meeting #120</w:t>
      </w:r>
      <w:r>
        <w:tab/>
      </w:r>
      <w:r>
        <w:rPr>
          <w:sz w:val="32"/>
          <w:szCs w:val="32"/>
        </w:rPr>
        <w:t>Tdoc R1-2500060</w:t>
      </w:r>
    </w:p>
    <w:p w14:paraId="6377BC9F">
      <w:pPr>
        <w:pStyle w:val="63"/>
      </w:pPr>
      <w:r>
        <w:rPr>
          <w:bCs/>
        </w:rPr>
        <w:t xml:space="preserve">Athens, Greece, </w:t>
      </w:r>
      <w:r>
        <w:t xml:space="preserve">February  </w:t>
      </w:r>
      <w:r>
        <w:rPr>
          <w:bCs/>
        </w:rPr>
        <w:t>17</w:t>
      </w:r>
      <w:r>
        <w:rPr>
          <w:bCs/>
          <w:vertAlign w:val="superscript"/>
        </w:rPr>
        <w:t>th</w:t>
      </w:r>
      <w:r>
        <w:rPr>
          <w:bCs/>
        </w:rPr>
        <w:t xml:space="preserve"> – 21</w:t>
      </w:r>
      <w:r>
        <w:rPr>
          <w:bCs/>
          <w:vertAlign w:val="superscript"/>
        </w:rPr>
        <w:t>nd</w:t>
      </w:r>
      <w:r>
        <w:t>, 2025</w:t>
      </w:r>
    </w:p>
    <w:p w14:paraId="5CC8B96E">
      <w:pPr>
        <w:pStyle w:val="63"/>
        <w:spacing w:after="0"/>
      </w:pPr>
      <w:r>
        <w:t>Agenda Item:</w:t>
      </w:r>
      <w:r>
        <w:tab/>
      </w:r>
      <w:r>
        <w:t>9.1.2</w:t>
      </w:r>
    </w:p>
    <w:p w14:paraId="1B7E9B36">
      <w:pPr>
        <w:pStyle w:val="63"/>
        <w:spacing w:after="0"/>
      </w:pPr>
      <w:r>
        <w:t>Source:</w:t>
      </w:r>
      <w:r>
        <w:tab/>
      </w:r>
      <w:r>
        <w:t>Ericsson</w:t>
      </w:r>
    </w:p>
    <w:p w14:paraId="63152FD2">
      <w:pPr>
        <w:pStyle w:val="63"/>
        <w:spacing w:after="0"/>
      </w:pPr>
      <w:r>
        <w:t>Title:</w:t>
      </w:r>
      <w:r>
        <w:tab/>
      </w:r>
      <w:r>
        <w:t>AI/ML for Positioning Accuracy Enhancement</w:t>
      </w:r>
    </w:p>
    <w:p w14:paraId="1155B603">
      <w:pPr>
        <w:pStyle w:val="63"/>
        <w:spacing w:after="0"/>
      </w:pPr>
      <w:r>
        <w:t>Document for:</w:t>
      </w:r>
      <w:r>
        <w:tab/>
      </w:r>
      <w:r>
        <w:t>Discussion, Decision</w:t>
      </w:r>
    </w:p>
    <w:p w14:paraId="0FF17435">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TOC \o "1-4" \h \z \u </w:instrText>
      </w:r>
      <w:r>
        <w:fldChar w:fldCharType="separate"/>
      </w:r>
      <w:r>
        <w:fldChar w:fldCharType="begin"/>
      </w:r>
      <w:r>
        <w:instrText xml:space="preserve"> HYPERLINK \l "_Toc189845005" </w:instrText>
      </w:r>
      <w:r>
        <w:fldChar w:fldCharType="separate"/>
      </w:r>
      <w:r>
        <w:rPr>
          <w:rStyle w:val="58"/>
          <w:lang w:val="en-US"/>
        </w:rPr>
        <w:t>1</w:t>
      </w:r>
      <w:r>
        <w:rPr>
          <w:rFonts w:asciiTheme="minorHAnsi" w:hAnsiTheme="minorHAnsi" w:eastAsiaTheme="minorEastAsia" w:cstheme="minorBidi"/>
          <w:kern w:val="2"/>
          <w:sz w:val="24"/>
          <w:szCs w:val="24"/>
          <w:lang w:val="en-US" w:eastAsia="en-US"/>
          <w14:ligatures w14:val="standardContextual"/>
        </w:rPr>
        <w:tab/>
      </w:r>
      <w:r>
        <w:rPr>
          <w:rStyle w:val="58"/>
          <w:lang w:val="en-US"/>
        </w:rPr>
        <w:t>Introduction</w:t>
      </w:r>
      <w:r>
        <w:tab/>
      </w:r>
      <w:r>
        <w:fldChar w:fldCharType="begin"/>
      </w:r>
      <w:r>
        <w:instrText xml:space="preserve"> PAGEREF _Toc189845005 \h </w:instrText>
      </w:r>
      <w:r>
        <w:fldChar w:fldCharType="separate"/>
      </w:r>
      <w:r>
        <w:t>2</w:t>
      </w:r>
      <w:r>
        <w:fldChar w:fldCharType="end"/>
      </w:r>
      <w:r>
        <w:fldChar w:fldCharType="end"/>
      </w:r>
    </w:p>
    <w:p w14:paraId="3D03C0A3">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"_Toc189845006" </w:instrText>
      </w:r>
      <w:r>
        <w:fldChar w:fldCharType="separate"/>
      </w:r>
      <w:r>
        <w:rPr>
          <w:rStyle w:val="58"/>
          <w:lang w:val="en-US"/>
        </w:rPr>
        <w:t>2</w:t>
      </w:r>
      <w:r>
        <w:rPr>
          <w:rFonts w:asciiTheme="minorHAnsi" w:hAnsiTheme="minorHAnsi" w:eastAsiaTheme="minorEastAsia" w:cstheme="minorBidi"/>
          <w:kern w:val="2"/>
          <w:sz w:val="24"/>
          <w:szCs w:val="24"/>
          <w:lang w:val="en-US" w:eastAsia="en-US"/>
          <w14:ligatures w14:val="standardContextual"/>
        </w:rPr>
        <w:tab/>
      </w:r>
      <w:r>
        <w:rPr>
          <w:rStyle w:val="58"/>
          <w:lang w:val="en-US"/>
        </w:rPr>
        <w:t>Integrating AI/ML based positioning methods with existing protocol</w:t>
      </w:r>
      <w:r>
        <w:tab/>
      </w:r>
      <w:r>
        <w:fldChar w:fldCharType="begin"/>
      </w:r>
      <w:r>
        <w:instrText xml:space="preserve"> PAGEREF _Toc189845006 \h </w:instrText>
      </w:r>
      <w:r>
        <w:fldChar w:fldCharType="separate"/>
      </w:r>
      <w:r>
        <w:t>3</w:t>
      </w:r>
      <w:r>
        <w:fldChar w:fldCharType="end"/>
      </w:r>
      <w:r>
        <w:fldChar w:fldCharType="end"/>
      </w:r>
    </w:p>
    <w:p w14:paraId="54020D92">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"_Toc189845007" </w:instrText>
      </w:r>
      <w:r>
        <w:fldChar w:fldCharType="separate"/>
      </w:r>
      <w:r>
        <w:rPr>
          <w:rStyle w:val="58"/>
          <w:lang w:val="en-US"/>
        </w:rPr>
        <w:t>2.1</w:t>
      </w:r>
      <w:r>
        <w:rPr>
          <w:rFonts w:asciiTheme="minorHAnsi" w:hAnsiTheme="minorHAnsi" w:eastAsiaTheme="minorEastAsia" w:cstheme="minorBidi"/>
          <w:kern w:val="2"/>
          <w:sz w:val="24"/>
          <w:szCs w:val="24"/>
          <w:lang w:val="en-US" w:eastAsia="en-US"/>
          <w14:ligatures w14:val="standardContextual"/>
        </w:rPr>
        <w:tab/>
      </w:r>
      <w:r>
        <w:rPr>
          <w:rStyle w:val="58"/>
          <w:lang w:val="en-US"/>
        </w:rPr>
        <w:t>Cases with AI/ML model hosted in the UE (Case 1)</w:t>
      </w:r>
      <w:r>
        <w:tab/>
      </w:r>
      <w:r>
        <w:fldChar w:fldCharType="begin"/>
      </w:r>
      <w:r>
        <w:instrText xml:space="preserve"> PAGEREF _Toc189845007 \h </w:instrText>
      </w:r>
      <w:r>
        <w:fldChar w:fldCharType="separate"/>
      </w:r>
      <w:r>
        <w:t>4</w:t>
      </w:r>
      <w:r>
        <w:fldChar w:fldCharType="end"/>
      </w:r>
      <w:r>
        <w:fldChar w:fldCharType="end"/>
      </w:r>
    </w:p>
    <w:p w14:paraId="6DCF8A81">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"_Toc189845008" </w:instrText>
      </w:r>
      <w:r>
        <w:fldChar w:fldCharType="separate"/>
      </w:r>
      <w:r>
        <w:rPr>
          <w:rStyle w:val="58"/>
          <w:lang w:val="en-US"/>
        </w:rPr>
        <w:t>2.2</w:t>
      </w:r>
      <w:r>
        <w:rPr>
          <w:rFonts w:asciiTheme="minorHAnsi" w:hAnsiTheme="minorHAnsi" w:eastAsiaTheme="minorEastAsia" w:cstheme="minorBidi"/>
          <w:kern w:val="2"/>
          <w:sz w:val="24"/>
          <w:szCs w:val="24"/>
          <w:lang w:val="en-US" w:eastAsia="en-US"/>
          <w14:ligatures w14:val="standardContextual"/>
        </w:rPr>
        <w:tab/>
      </w:r>
      <w:r>
        <w:rPr>
          <w:rStyle w:val="58"/>
          <w:lang w:val="en-US"/>
        </w:rPr>
        <w:t>Case with AI/ML model hosted in the TRP/gNB (Case 3a)</w:t>
      </w:r>
      <w:r>
        <w:tab/>
      </w:r>
      <w:r>
        <w:fldChar w:fldCharType="begin"/>
      </w:r>
      <w:r>
        <w:instrText xml:space="preserve"> PAGEREF _Toc189845008 \h </w:instrText>
      </w:r>
      <w:r>
        <w:fldChar w:fldCharType="separate"/>
      </w:r>
      <w:r>
        <w:t>4</w:t>
      </w:r>
      <w:r>
        <w:fldChar w:fldCharType="end"/>
      </w:r>
      <w:r>
        <w:fldChar w:fldCharType="end"/>
      </w:r>
    </w:p>
    <w:p w14:paraId="4E01695A">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"_Toc189845009" </w:instrText>
      </w:r>
      <w:r>
        <w:fldChar w:fldCharType="separate"/>
      </w:r>
      <w:r>
        <w:rPr>
          <w:rStyle w:val="58"/>
          <w:lang w:val="en-US"/>
        </w:rPr>
        <w:t>2.3</w:t>
      </w:r>
      <w:r>
        <w:rPr>
          <w:rFonts w:asciiTheme="minorHAnsi" w:hAnsiTheme="minorHAnsi" w:eastAsiaTheme="minorEastAsia" w:cstheme="minorBidi"/>
          <w:kern w:val="2"/>
          <w:sz w:val="24"/>
          <w:szCs w:val="24"/>
          <w:lang w:val="en-US" w:eastAsia="en-US"/>
          <w14:ligatures w14:val="standardContextual"/>
        </w:rPr>
        <w:tab/>
      </w:r>
      <w:r>
        <w:rPr>
          <w:rStyle w:val="58"/>
          <w:lang w:val="en-US"/>
        </w:rPr>
        <w:t>Case with AI/ML model hosted in the LMF (case 3b)</w:t>
      </w:r>
      <w:r>
        <w:tab/>
      </w:r>
      <w:r>
        <w:fldChar w:fldCharType="begin"/>
      </w:r>
      <w:r>
        <w:instrText xml:space="preserve"> PAGEREF _Toc189845009 \h </w:instrText>
      </w:r>
      <w:r>
        <w:fldChar w:fldCharType="separate"/>
      </w:r>
      <w:r>
        <w:t>5</w:t>
      </w:r>
      <w:r>
        <w:fldChar w:fldCharType="end"/>
      </w:r>
      <w:r>
        <w:fldChar w:fldCharType="end"/>
      </w:r>
    </w:p>
    <w:p w14:paraId="27339084">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"_Toc189845010" </w:instrText>
      </w:r>
      <w:r>
        <w:fldChar w:fldCharType="separate"/>
      </w:r>
      <w:r>
        <w:rPr>
          <w:rStyle w:val="58"/>
          <w:lang w:val="en-US"/>
        </w:rPr>
        <w:t>3</w:t>
      </w:r>
      <w:r>
        <w:rPr>
          <w:rFonts w:asciiTheme="minorHAnsi" w:hAnsiTheme="minorHAnsi" w:eastAsiaTheme="minorEastAsia" w:cstheme="minorBidi"/>
          <w:kern w:val="2"/>
          <w:sz w:val="24"/>
          <w:szCs w:val="24"/>
          <w:lang w:val="en-US" w:eastAsia="en-US"/>
          <w14:ligatures w14:val="standardContextual"/>
        </w:rPr>
        <w:tab/>
      </w:r>
      <w:r>
        <w:rPr>
          <w:rStyle w:val="58"/>
          <w:lang w:val="en-US"/>
        </w:rPr>
        <w:t>Signaling enhancement for model inputs</w:t>
      </w:r>
      <w:r>
        <w:tab/>
      </w:r>
      <w:r>
        <w:fldChar w:fldCharType="begin"/>
      </w:r>
      <w:r>
        <w:instrText xml:space="preserve"> PAGEREF _Toc189845010 \h </w:instrText>
      </w:r>
      <w:r>
        <w:fldChar w:fldCharType="separate"/>
      </w:r>
      <w:r>
        <w:t>6</w:t>
      </w:r>
      <w:r>
        <w:fldChar w:fldCharType="end"/>
      </w:r>
      <w:r>
        <w:fldChar w:fldCharType="end"/>
      </w:r>
    </w:p>
    <w:p w14:paraId="003BE43C">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"_Toc189845011" </w:instrText>
      </w:r>
      <w:r>
        <w:fldChar w:fldCharType="separate"/>
      </w:r>
      <w:r>
        <w:rPr>
          <w:rStyle w:val="58"/>
          <w:lang w:val="en-US"/>
        </w:rPr>
        <w:t>3.1</w:t>
      </w:r>
      <w:r>
        <w:rPr>
          <w:rFonts w:asciiTheme="minorHAnsi" w:hAnsiTheme="minorHAnsi" w:eastAsiaTheme="minorEastAsia" w:cstheme="minorBidi"/>
          <w:kern w:val="2"/>
          <w:sz w:val="24"/>
          <w:szCs w:val="24"/>
          <w:lang w:val="en-US" w:eastAsia="en-US"/>
          <w14:ligatures w14:val="standardContextual"/>
        </w:rPr>
        <w:tab/>
      </w:r>
      <w:r>
        <w:rPr>
          <w:rStyle w:val="58"/>
        </w:rPr>
        <w:t>Remaining issues for sample-based measurements for model input</w:t>
      </w:r>
      <w:r>
        <w:tab/>
      </w:r>
      <w:r>
        <w:fldChar w:fldCharType="begin"/>
      </w:r>
      <w:r>
        <w:instrText xml:space="preserve"> PAGEREF _Toc189845011 \h </w:instrText>
      </w:r>
      <w:r>
        <w:fldChar w:fldCharType="separate"/>
      </w:r>
      <w:r>
        <w:t>7</w:t>
      </w:r>
      <w:r>
        <w:fldChar w:fldCharType="end"/>
      </w:r>
      <w:r>
        <w:fldChar w:fldCharType="end"/>
      </w:r>
    </w:p>
    <w:p w14:paraId="14AF81D4">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"_Toc189845012" </w:instrText>
      </w:r>
      <w:r>
        <w:fldChar w:fldCharType="separate"/>
      </w:r>
      <w:r>
        <w:rPr>
          <w:rStyle w:val="58"/>
        </w:rPr>
        <w:t>3.1.1</w:t>
      </w:r>
      <w:r>
        <w:rPr>
          <w:rFonts w:asciiTheme="minorHAnsi" w:hAnsiTheme="minorHAnsi" w:eastAsiaTheme="minorEastAsia" w:cstheme="minorBidi"/>
          <w:kern w:val="2"/>
          <w:sz w:val="24"/>
          <w:szCs w:val="24"/>
          <w:lang w:val="en-US" w:eastAsia="en-US"/>
          <w14:ligatures w14:val="standardContextual"/>
        </w:rPr>
        <w:tab/>
      </w:r>
      <w:r>
        <w:rPr>
          <w:rStyle w:val="58"/>
          <w:lang w:val="en-US"/>
        </w:rPr>
        <w:t>Value range for parameters {N</w:t>
      </w:r>
      <w:r>
        <w:rPr>
          <w:rStyle w:val="58"/>
          <w:vertAlign w:val="subscript"/>
          <w:lang w:val="en-US"/>
        </w:rPr>
        <w:t>t</w:t>
      </w:r>
      <w:r>
        <w:rPr>
          <w:rStyle w:val="58"/>
          <w:lang w:val="en-US"/>
        </w:rPr>
        <w:t>, N</w:t>
      </w:r>
      <w:r>
        <w:rPr>
          <w:rStyle w:val="58"/>
          <w:vertAlign w:val="subscript"/>
          <w:lang w:val="en-US"/>
        </w:rPr>
        <w:t>t</w:t>
      </w:r>
      <w:r>
        <w:rPr>
          <w:rStyle w:val="58"/>
          <w:lang w:val="en-US"/>
        </w:rPr>
        <w:t>', k}</w:t>
      </w:r>
      <w:r>
        <w:tab/>
      </w:r>
      <w:r>
        <w:fldChar w:fldCharType="begin"/>
      </w:r>
      <w:r>
        <w:instrText xml:space="preserve"> PAGEREF _Toc189845012 \h </w:instrText>
      </w:r>
      <w:r>
        <w:fldChar w:fldCharType="separate"/>
      </w:r>
      <w:r>
        <w:t>9</w:t>
      </w:r>
      <w:r>
        <w:fldChar w:fldCharType="end"/>
      </w:r>
      <w:r>
        <w:fldChar w:fldCharType="end"/>
      </w:r>
    </w:p>
    <w:p w14:paraId="2C14660E">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"_Toc189845013" </w:instrText>
      </w:r>
      <w:r>
        <w:fldChar w:fldCharType="separate"/>
      </w:r>
      <w:r>
        <w:rPr>
          <w:rStyle w:val="58"/>
        </w:rPr>
        <w:t>3.1.2</w:t>
      </w:r>
      <w:r>
        <w:rPr>
          <w:rFonts w:asciiTheme="minorHAnsi" w:hAnsiTheme="minorHAnsi" w:eastAsiaTheme="minorEastAsia" w:cstheme="minorBidi"/>
          <w:kern w:val="2"/>
          <w:sz w:val="24"/>
          <w:szCs w:val="24"/>
          <w:lang w:val="en-US" w:eastAsia="en-US"/>
          <w14:ligatures w14:val="standardContextual"/>
        </w:rPr>
        <w:tab/>
      </w:r>
      <w:r>
        <w:rPr>
          <w:rStyle w:val="58"/>
        </w:rPr>
        <w:t>LMF handling of sample-based or path-based reporting</w:t>
      </w:r>
      <w:r>
        <w:tab/>
      </w:r>
      <w:r>
        <w:fldChar w:fldCharType="begin"/>
      </w:r>
      <w:r>
        <w:instrText xml:space="preserve"> PAGEREF _Toc189845013 \h </w:instrText>
      </w:r>
      <w:r>
        <w:fldChar w:fldCharType="separate"/>
      </w:r>
      <w:r>
        <w:t>12</w:t>
      </w:r>
      <w:r>
        <w:fldChar w:fldCharType="end"/>
      </w:r>
      <w:r>
        <w:fldChar w:fldCharType="end"/>
      </w:r>
    </w:p>
    <w:p w14:paraId="259BE63C">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"_Toc189845014" </w:instrText>
      </w:r>
      <w:r>
        <w:fldChar w:fldCharType="separate"/>
      </w:r>
      <w:r>
        <w:rPr>
          <w:rStyle w:val="58"/>
        </w:rPr>
        <w:t>3.1.3</w:t>
      </w:r>
      <w:r>
        <w:rPr>
          <w:rFonts w:asciiTheme="minorHAnsi" w:hAnsiTheme="minorHAnsi" w:eastAsiaTheme="minorEastAsia" w:cstheme="minorBidi"/>
          <w:kern w:val="2"/>
          <w:sz w:val="24"/>
          <w:szCs w:val="24"/>
          <w:lang w:val="en-US" w:eastAsia="en-US"/>
          <w14:ligatures w14:val="standardContextual"/>
        </w:rPr>
        <w:tab/>
      </w:r>
      <w:r>
        <w:rPr>
          <w:rStyle w:val="58"/>
        </w:rPr>
        <w:t>Total-power PDP report for Rel-19</w:t>
      </w:r>
      <w:r>
        <w:tab/>
      </w:r>
      <w:r>
        <w:fldChar w:fldCharType="begin"/>
      </w:r>
      <w:r>
        <w:instrText xml:space="preserve"> PAGEREF _Toc189845014 \h </w:instrText>
      </w:r>
      <w:r>
        <w:fldChar w:fldCharType="separate"/>
      </w:r>
      <w:r>
        <w:t>13</w:t>
      </w:r>
      <w:r>
        <w:fldChar w:fldCharType="end"/>
      </w:r>
      <w:r>
        <w:fldChar w:fldCharType="end"/>
      </w:r>
    </w:p>
    <w:p w14:paraId="68DC4BDC">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"_Toc189845015" </w:instrText>
      </w:r>
      <w:r>
        <w:fldChar w:fldCharType="separate"/>
      </w:r>
      <w:r>
        <w:rPr>
          <w:rStyle w:val="58"/>
          <w:lang w:val="en-US"/>
        </w:rPr>
        <w:t>3.2</w:t>
      </w:r>
      <w:r>
        <w:rPr>
          <w:rFonts w:asciiTheme="minorHAnsi" w:hAnsiTheme="minorHAnsi" w:eastAsiaTheme="minorEastAsia" w:cstheme="minorBidi"/>
          <w:kern w:val="2"/>
          <w:sz w:val="24"/>
          <w:szCs w:val="24"/>
          <w:lang w:val="en-US" w:eastAsia="en-US"/>
          <w14:ligatures w14:val="standardContextual"/>
        </w:rPr>
        <w:tab/>
      </w:r>
      <w:r>
        <w:rPr>
          <w:rStyle w:val="58"/>
          <w:lang w:val="en-US"/>
        </w:rPr>
        <w:t>Analysis of supporting phase information measurement</w:t>
      </w:r>
      <w:r>
        <w:tab/>
      </w:r>
      <w:r>
        <w:fldChar w:fldCharType="begin"/>
      </w:r>
      <w:r>
        <w:instrText xml:space="preserve"> PAGEREF _Toc189845015 \h </w:instrText>
      </w:r>
      <w:r>
        <w:fldChar w:fldCharType="separate"/>
      </w:r>
      <w:r>
        <w:t>15</w:t>
      </w:r>
      <w:r>
        <w:fldChar w:fldCharType="end"/>
      </w:r>
      <w:r>
        <w:fldChar w:fldCharType="end"/>
      </w:r>
    </w:p>
    <w:p w14:paraId="66571C5F">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"_Toc189845016" </w:instrText>
      </w:r>
      <w:r>
        <w:fldChar w:fldCharType="separate"/>
      </w:r>
      <w:r>
        <w:rPr>
          <w:rStyle w:val="58"/>
          <w:lang w:val="en-US"/>
        </w:rPr>
        <w:t>3.2.1</w:t>
      </w:r>
      <w:r>
        <w:rPr>
          <w:rFonts w:asciiTheme="minorHAnsi" w:hAnsiTheme="minorHAnsi" w:eastAsiaTheme="minorEastAsia" w:cstheme="minorBidi"/>
          <w:kern w:val="2"/>
          <w:sz w:val="24"/>
          <w:szCs w:val="24"/>
          <w:lang w:val="en-US" w:eastAsia="en-US"/>
          <w14:ligatures w14:val="standardContextual"/>
        </w:rPr>
        <w:tab/>
      </w:r>
      <w:r>
        <w:rPr>
          <w:rStyle w:val="58"/>
          <w:lang w:val="en-US"/>
        </w:rPr>
        <w:t>Inapplicability of Rel-18 carrier phase positioning</w:t>
      </w:r>
      <w:r>
        <w:tab/>
      </w:r>
      <w:r>
        <w:fldChar w:fldCharType="begin"/>
      </w:r>
      <w:r>
        <w:instrText xml:space="preserve"> PAGEREF _Toc189845016 \h </w:instrText>
      </w:r>
      <w:r>
        <w:fldChar w:fldCharType="separate"/>
      </w:r>
      <w:r>
        <w:t>16</w:t>
      </w:r>
      <w:r>
        <w:fldChar w:fldCharType="end"/>
      </w:r>
      <w:r>
        <w:fldChar w:fldCharType="end"/>
      </w:r>
    </w:p>
    <w:p w14:paraId="36E86678">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"_Toc189845017" </w:instrText>
      </w:r>
      <w:r>
        <w:fldChar w:fldCharType="separate"/>
      </w:r>
      <w:r>
        <w:rPr>
          <w:rStyle w:val="58"/>
          <w:lang w:val="en-US"/>
        </w:rPr>
        <w:t>3.2.2</w:t>
      </w:r>
      <w:r>
        <w:rPr>
          <w:rFonts w:asciiTheme="minorHAnsi" w:hAnsiTheme="minorHAnsi" w:eastAsiaTheme="minorEastAsia" w:cstheme="minorBidi"/>
          <w:kern w:val="2"/>
          <w:sz w:val="24"/>
          <w:szCs w:val="24"/>
          <w:lang w:val="en-US" w:eastAsia="en-US"/>
          <w14:ligatures w14:val="standardContextual"/>
        </w:rPr>
        <w:tab/>
      </w:r>
      <w:r>
        <w:rPr>
          <w:rStyle w:val="58"/>
          <w:lang w:val="en-US"/>
        </w:rPr>
        <w:t>Issues with random initial phase</w:t>
      </w:r>
      <w:r>
        <w:tab/>
      </w:r>
      <w:r>
        <w:fldChar w:fldCharType="begin"/>
      </w:r>
      <w:r>
        <w:instrText xml:space="preserve"> PAGEREF _Toc189845017 \h </w:instrText>
      </w:r>
      <w:r>
        <w:fldChar w:fldCharType="separate"/>
      </w:r>
      <w:r>
        <w:t>16</w:t>
      </w:r>
      <w:r>
        <w:fldChar w:fldCharType="end"/>
      </w:r>
      <w:r>
        <w:fldChar w:fldCharType="end"/>
      </w:r>
    </w:p>
    <w:p w14:paraId="0CAFCA09">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"_Toc189845018" </w:instrText>
      </w:r>
      <w:r>
        <w:fldChar w:fldCharType="separate"/>
      </w:r>
      <w:r>
        <w:rPr>
          <w:rStyle w:val="58"/>
        </w:rPr>
        <w:t>3.2.3</w:t>
      </w:r>
      <w:r>
        <w:rPr>
          <w:rFonts w:asciiTheme="minorHAnsi" w:hAnsiTheme="minorHAnsi" w:eastAsiaTheme="minorEastAsia" w:cstheme="minorBidi"/>
          <w:kern w:val="2"/>
          <w:sz w:val="24"/>
          <w:szCs w:val="24"/>
          <w:lang w:val="en-US" w:eastAsia="en-US"/>
          <w14:ligatures w14:val="standardContextual"/>
        </w:rPr>
        <w:tab/>
      </w:r>
      <w:r>
        <w:rPr>
          <w:rStyle w:val="58"/>
        </w:rPr>
        <w:t>Difficulty to align phase measurements between model training and model inference</w:t>
      </w:r>
      <w:r>
        <w:tab/>
      </w:r>
      <w:r>
        <w:fldChar w:fldCharType="begin"/>
      </w:r>
      <w:r>
        <w:instrText xml:space="preserve"> PAGEREF _Toc189845018 \h </w:instrText>
      </w:r>
      <w:r>
        <w:fldChar w:fldCharType="separate"/>
      </w:r>
      <w:r>
        <w:t>20</w:t>
      </w:r>
      <w:r>
        <w:fldChar w:fldCharType="end"/>
      </w:r>
      <w:r>
        <w:fldChar w:fldCharType="end"/>
      </w:r>
    </w:p>
    <w:p w14:paraId="4EE676D6">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"_Toc189845019" </w:instrText>
      </w:r>
      <w:r>
        <w:fldChar w:fldCharType="separate"/>
      </w:r>
      <w:r>
        <w:rPr>
          <w:rStyle w:val="58"/>
          <w:lang w:val="en-US"/>
        </w:rPr>
        <w:t>3.2.4</w:t>
      </w:r>
      <w:r>
        <w:rPr>
          <w:rFonts w:asciiTheme="minorHAnsi" w:hAnsiTheme="minorHAnsi" w:eastAsiaTheme="minorEastAsia" w:cstheme="minorBidi"/>
          <w:kern w:val="2"/>
          <w:sz w:val="24"/>
          <w:szCs w:val="24"/>
          <w:lang w:val="en-US" w:eastAsia="en-US"/>
          <w14:ligatures w14:val="standardContextual"/>
        </w:rPr>
        <w:tab/>
      </w:r>
      <w:r>
        <w:rPr>
          <w:rStyle w:val="58"/>
          <w:lang w:val="en-US"/>
        </w:rPr>
        <w:t>Signaling size vs positioning accuracy tradeoff analysis</w:t>
      </w:r>
      <w:r>
        <w:tab/>
      </w:r>
      <w:r>
        <w:fldChar w:fldCharType="begin"/>
      </w:r>
      <w:r>
        <w:instrText xml:space="preserve"> PAGEREF _Toc189845019 \h </w:instrText>
      </w:r>
      <w:r>
        <w:fldChar w:fldCharType="separate"/>
      </w:r>
      <w:r>
        <w:t>22</w:t>
      </w:r>
      <w:r>
        <w:fldChar w:fldCharType="end"/>
      </w:r>
      <w:r>
        <w:fldChar w:fldCharType="end"/>
      </w:r>
    </w:p>
    <w:p w14:paraId="7A69D917">
      <w:pPr>
        <w:pStyle w:val="19"/>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"_Toc189845020" </w:instrText>
      </w:r>
      <w:r>
        <w:fldChar w:fldCharType="separate"/>
      </w:r>
      <w:r>
        <w:rPr>
          <w:rStyle w:val="58"/>
          <w:lang w:val="en-US"/>
        </w:rPr>
        <w:t>3.2.4.1</w:t>
      </w:r>
      <w:r>
        <w:rPr>
          <w:rFonts w:asciiTheme="minorHAnsi" w:hAnsiTheme="minorHAnsi" w:eastAsiaTheme="minorEastAsia" w:cstheme="minorBidi"/>
          <w:kern w:val="2"/>
          <w:sz w:val="24"/>
          <w:szCs w:val="24"/>
          <w:lang w:val="en-US" w:eastAsia="en-US"/>
          <w14:ligatures w14:val="standardContextual"/>
        </w:rPr>
        <w:tab/>
      </w:r>
      <w:r>
        <w:rPr>
          <w:rStyle w:val="58"/>
          <w:lang w:val="en-US"/>
        </w:rPr>
        <w:t>Simple signaling size comparison based on the number of real numbers to signal</w:t>
      </w:r>
      <w:r>
        <w:tab/>
      </w:r>
      <w:r>
        <w:fldChar w:fldCharType="begin"/>
      </w:r>
      <w:r>
        <w:instrText xml:space="preserve"> PAGEREF _Toc189845020 \h </w:instrText>
      </w:r>
      <w:r>
        <w:fldChar w:fldCharType="separate"/>
      </w:r>
      <w:r>
        <w:t>23</w:t>
      </w:r>
      <w:r>
        <w:fldChar w:fldCharType="end"/>
      </w:r>
      <w:r>
        <w:fldChar w:fldCharType="end"/>
      </w:r>
    </w:p>
    <w:p w14:paraId="49BA3008">
      <w:pPr>
        <w:pStyle w:val="19"/>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"_Toc189845021" </w:instrText>
      </w:r>
      <w:r>
        <w:fldChar w:fldCharType="separate"/>
      </w:r>
      <w:r>
        <w:rPr>
          <w:rStyle w:val="58"/>
          <w:lang w:val="en-US"/>
        </w:rPr>
        <w:t>3.2.4.2</w:t>
      </w:r>
      <w:r>
        <w:rPr>
          <w:rFonts w:asciiTheme="minorHAnsi" w:hAnsiTheme="minorHAnsi" w:eastAsiaTheme="minorEastAsia" w:cstheme="minorBidi"/>
          <w:kern w:val="2"/>
          <w:sz w:val="24"/>
          <w:szCs w:val="24"/>
          <w:lang w:val="en-US" w:eastAsia="en-US"/>
          <w14:ligatures w14:val="standardContextual"/>
        </w:rPr>
        <w:tab/>
      </w:r>
      <w:r>
        <w:rPr>
          <w:rStyle w:val="58"/>
          <w:lang w:val="en-US"/>
        </w:rPr>
        <w:t>Signaling sizes based on simple direct sample timing bitmaps</w:t>
      </w:r>
      <w:r>
        <w:tab/>
      </w:r>
      <w:r>
        <w:fldChar w:fldCharType="begin"/>
      </w:r>
      <w:r>
        <w:instrText xml:space="preserve"> PAGEREF _Toc189845021 \h </w:instrText>
      </w:r>
      <w:r>
        <w:fldChar w:fldCharType="separate"/>
      </w:r>
      <w:r>
        <w:t>27</w:t>
      </w:r>
      <w:r>
        <w:fldChar w:fldCharType="end"/>
      </w:r>
      <w:r>
        <w:fldChar w:fldCharType="end"/>
      </w:r>
    </w:p>
    <w:p w14:paraId="06D1734F">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"_Toc189845022" </w:instrText>
      </w:r>
      <w:r>
        <w:fldChar w:fldCharType="separate"/>
      </w:r>
      <w:r>
        <w:rPr>
          <w:rStyle w:val="58"/>
          <w:lang w:val="en-US"/>
        </w:rPr>
        <w:t>3.3</w:t>
      </w:r>
      <w:r>
        <w:rPr>
          <w:rFonts w:asciiTheme="minorHAnsi" w:hAnsiTheme="minorHAnsi" w:eastAsiaTheme="minorEastAsia" w:cstheme="minorBidi"/>
          <w:kern w:val="2"/>
          <w:sz w:val="24"/>
          <w:szCs w:val="24"/>
          <w:lang w:val="en-US" w:eastAsia="en-US"/>
          <w14:ligatures w14:val="standardContextual"/>
        </w:rPr>
        <w:tab/>
      </w:r>
      <w:r>
        <w:rPr>
          <w:rStyle w:val="58"/>
          <w:lang w:val="en-US"/>
        </w:rPr>
        <w:t>Impact of AI/ML model location for Case 3a</w:t>
      </w:r>
      <w:r>
        <w:tab/>
      </w:r>
      <w:r>
        <w:fldChar w:fldCharType="begin"/>
      </w:r>
      <w:r>
        <w:instrText xml:space="preserve"> PAGEREF _Toc189845022 \h </w:instrText>
      </w:r>
      <w:r>
        <w:fldChar w:fldCharType="separate"/>
      </w:r>
      <w:r>
        <w:t>29</w:t>
      </w:r>
      <w:r>
        <w:fldChar w:fldCharType="end"/>
      </w:r>
      <w:r>
        <w:fldChar w:fldCharType="end"/>
      </w:r>
    </w:p>
    <w:p w14:paraId="2C414D5B">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"_Toc189845023" </w:instrText>
      </w:r>
      <w:r>
        <w:fldChar w:fldCharType="separate"/>
      </w:r>
      <w:r>
        <w:rPr>
          <w:rStyle w:val="58"/>
          <w:lang w:val="en-US"/>
        </w:rPr>
        <w:t>4</w:t>
      </w:r>
      <w:r>
        <w:rPr>
          <w:rFonts w:asciiTheme="minorHAnsi" w:hAnsiTheme="minorHAnsi" w:eastAsiaTheme="minorEastAsia" w:cstheme="minorBidi"/>
          <w:kern w:val="2"/>
          <w:sz w:val="24"/>
          <w:szCs w:val="24"/>
          <w:lang w:val="en-US" w:eastAsia="en-US"/>
          <w14:ligatures w14:val="standardContextual"/>
        </w:rPr>
        <w:tab/>
      </w:r>
      <w:r>
        <w:rPr>
          <w:rStyle w:val="58"/>
          <w:lang w:val="en-US"/>
        </w:rPr>
        <w:t>Model output of AI/ML assisted positioning</w:t>
      </w:r>
      <w:r>
        <w:tab/>
      </w:r>
      <w:r>
        <w:fldChar w:fldCharType="begin"/>
      </w:r>
      <w:r>
        <w:instrText xml:space="preserve"> PAGEREF _Toc189845023 \h </w:instrText>
      </w:r>
      <w:r>
        <w:fldChar w:fldCharType="separate"/>
      </w:r>
      <w:r>
        <w:t>30</w:t>
      </w:r>
      <w:r>
        <w:fldChar w:fldCharType="end"/>
      </w:r>
      <w:r>
        <w:fldChar w:fldCharType="end"/>
      </w:r>
    </w:p>
    <w:p w14:paraId="6041639D">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"_Toc189845024" </w:instrText>
      </w:r>
      <w:r>
        <w:fldChar w:fldCharType="separate"/>
      </w:r>
      <w:r>
        <w:rPr>
          <w:rStyle w:val="58"/>
          <w:rFonts w:cs="Arial"/>
          <w:lang w:val="en-US"/>
        </w:rPr>
        <w:t>4.1</w:t>
      </w:r>
      <w:r>
        <w:rPr>
          <w:rFonts w:asciiTheme="minorHAnsi" w:hAnsiTheme="minorHAnsi" w:eastAsiaTheme="minorEastAsia" w:cstheme="minorBidi"/>
          <w:kern w:val="2"/>
          <w:sz w:val="24"/>
          <w:szCs w:val="24"/>
          <w:lang w:val="en-US" w:eastAsia="en-US"/>
          <w14:ligatures w14:val="standardContextual"/>
        </w:rPr>
        <w:tab/>
      </w:r>
      <w:r>
        <w:rPr>
          <w:rStyle w:val="58"/>
          <w:rFonts w:cs="Arial"/>
          <w:lang w:val="en-US"/>
        </w:rPr>
        <w:t>Details for reporting model output of AI/ML assisted positioning</w:t>
      </w:r>
      <w:r>
        <w:tab/>
      </w:r>
      <w:r>
        <w:fldChar w:fldCharType="begin"/>
      </w:r>
      <w:r>
        <w:instrText xml:space="preserve"> PAGEREF _Toc189845024 \h </w:instrText>
      </w:r>
      <w:r>
        <w:fldChar w:fldCharType="separate"/>
      </w:r>
      <w:r>
        <w:t>30</w:t>
      </w:r>
      <w:r>
        <w:fldChar w:fldCharType="end"/>
      </w:r>
      <w:r>
        <w:fldChar w:fldCharType="end"/>
      </w:r>
    </w:p>
    <w:p w14:paraId="479769C8">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"_Toc189845025" </w:instrText>
      </w:r>
      <w:r>
        <w:fldChar w:fldCharType="separate"/>
      </w:r>
      <w:r>
        <w:rPr>
          <w:rStyle w:val="58"/>
          <w:lang w:val="en-US"/>
        </w:rPr>
        <w:t>4.1.1</w:t>
      </w:r>
      <w:r>
        <w:rPr>
          <w:rFonts w:asciiTheme="minorHAnsi" w:hAnsiTheme="minorHAnsi" w:eastAsiaTheme="minorEastAsia" w:cstheme="minorBidi"/>
          <w:kern w:val="2"/>
          <w:sz w:val="24"/>
          <w:szCs w:val="24"/>
          <w:lang w:val="en-US" w:eastAsia="en-US"/>
          <w14:ligatures w14:val="standardContextual"/>
        </w:rPr>
        <w:tab/>
      </w:r>
      <w:r>
        <w:rPr>
          <w:rStyle w:val="58"/>
          <w:lang w:val="en-US"/>
        </w:rPr>
        <w:t>LOS/NLOS indicator</w:t>
      </w:r>
      <w:r>
        <w:tab/>
      </w:r>
      <w:r>
        <w:fldChar w:fldCharType="begin"/>
      </w:r>
      <w:r>
        <w:instrText xml:space="preserve"> PAGEREF _Toc189845025 \h </w:instrText>
      </w:r>
      <w:r>
        <w:fldChar w:fldCharType="separate"/>
      </w:r>
      <w:r>
        <w:t>30</w:t>
      </w:r>
      <w:r>
        <w:fldChar w:fldCharType="end"/>
      </w:r>
      <w:r>
        <w:fldChar w:fldCharType="end"/>
      </w:r>
    </w:p>
    <w:p w14:paraId="16C1FF24">
      <w:pPr>
        <w:pStyle w:val="19"/>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"_Toc189845026" </w:instrText>
      </w:r>
      <w:r>
        <w:fldChar w:fldCharType="separate"/>
      </w:r>
      <w:r>
        <w:rPr>
          <w:rStyle w:val="58"/>
          <w:lang w:val="en-US"/>
        </w:rPr>
        <w:t>4.1.1.1</w:t>
      </w:r>
      <w:r>
        <w:rPr>
          <w:rFonts w:asciiTheme="minorHAnsi" w:hAnsiTheme="minorHAnsi" w:eastAsiaTheme="minorEastAsia" w:cstheme="minorBidi"/>
          <w:kern w:val="2"/>
          <w:sz w:val="24"/>
          <w:szCs w:val="24"/>
          <w:lang w:val="en-US" w:eastAsia="en-US"/>
          <w14:ligatures w14:val="standardContextual"/>
        </w:rPr>
        <w:tab/>
      </w:r>
      <w:r>
        <w:rPr>
          <w:rStyle w:val="58"/>
          <w:lang w:val="en-US"/>
        </w:rPr>
        <w:t>Interpretation of LOS/NLOS indicator and associated timing information</w:t>
      </w:r>
      <w:r>
        <w:tab/>
      </w:r>
      <w:r>
        <w:fldChar w:fldCharType="begin"/>
      </w:r>
      <w:r>
        <w:instrText xml:space="preserve"> PAGEREF _Toc189845026 \h </w:instrText>
      </w:r>
      <w:r>
        <w:fldChar w:fldCharType="separate"/>
      </w:r>
      <w:r>
        <w:t>31</w:t>
      </w:r>
      <w:r>
        <w:fldChar w:fldCharType="end"/>
      </w:r>
      <w:r>
        <w:fldChar w:fldCharType="end"/>
      </w:r>
    </w:p>
    <w:p w14:paraId="2B65C79E">
      <w:pPr>
        <w:pStyle w:val="19"/>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"_Toc189845027" </w:instrText>
      </w:r>
      <w:r>
        <w:fldChar w:fldCharType="separate"/>
      </w:r>
      <w:r>
        <w:rPr>
          <w:rStyle w:val="58"/>
        </w:rPr>
        <w:t>4.1.1.2</w:t>
      </w:r>
      <w:r>
        <w:rPr>
          <w:rFonts w:asciiTheme="minorHAnsi" w:hAnsiTheme="minorHAnsi" w:eastAsiaTheme="minorEastAsia" w:cstheme="minorBidi"/>
          <w:kern w:val="2"/>
          <w:sz w:val="24"/>
          <w:szCs w:val="24"/>
          <w:lang w:val="en-US" w:eastAsia="en-US"/>
          <w14:ligatures w14:val="standardContextual"/>
        </w:rPr>
        <w:tab/>
      </w:r>
      <w:r>
        <w:rPr>
          <w:rStyle w:val="58"/>
        </w:rPr>
        <w:t>Reporting of a of LOS/NLOS indicator based on model output</w:t>
      </w:r>
      <w:r>
        <w:tab/>
      </w:r>
      <w:r>
        <w:fldChar w:fldCharType="begin"/>
      </w:r>
      <w:r>
        <w:instrText xml:space="preserve"> PAGEREF _Toc189845027 \h </w:instrText>
      </w:r>
      <w:r>
        <w:fldChar w:fldCharType="separate"/>
      </w:r>
      <w:r>
        <w:t>34</w:t>
      </w:r>
      <w:r>
        <w:fldChar w:fldCharType="end"/>
      </w:r>
      <w:r>
        <w:fldChar w:fldCharType="end"/>
      </w:r>
    </w:p>
    <w:p w14:paraId="7AA7D36F">
      <w:pPr>
        <w:pStyle w:val="19"/>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"_Toc189845028" </w:instrText>
      </w:r>
      <w:r>
        <w:fldChar w:fldCharType="separate"/>
      </w:r>
      <w:r>
        <w:rPr>
          <w:rStyle w:val="58"/>
        </w:rPr>
        <w:t>4.1.1.3</w:t>
      </w:r>
      <w:r>
        <w:rPr>
          <w:rFonts w:asciiTheme="minorHAnsi" w:hAnsiTheme="minorHAnsi" w:eastAsiaTheme="minorEastAsia" w:cstheme="minorBidi"/>
          <w:kern w:val="2"/>
          <w:sz w:val="24"/>
          <w:szCs w:val="24"/>
          <w:lang w:val="en-US" w:eastAsia="en-US"/>
          <w14:ligatures w14:val="standardContextual"/>
        </w:rPr>
        <w:tab/>
      </w:r>
      <w:r>
        <w:rPr>
          <w:rStyle w:val="58"/>
        </w:rPr>
        <w:t>Summary of LOS/NLOS indicator reporting</w:t>
      </w:r>
      <w:r>
        <w:tab/>
      </w:r>
      <w:r>
        <w:fldChar w:fldCharType="begin"/>
      </w:r>
      <w:r>
        <w:instrText xml:space="preserve"> PAGEREF _Toc189845028 \h </w:instrText>
      </w:r>
      <w:r>
        <w:fldChar w:fldCharType="separate"/>
      </w:r>
      <w:r>
        <w:t>34</w:t>
      </w:r>
      <w:r>
        <w:fldChar w:fldCharType="end"/>
      </w:r>
      <w:r>
        <w:fldChar w:fldCharType="end"/>
      </w:r>
    </w:p>
    <w:p w14:paraId="13673DC4">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"_Toc189845029" </w:instrText>
      </w:r>
      <w:r>
        <w:fldChar w:fldCharType="separate"/>
      </w:r>
      <w:r>
        <w:rPr>
          <w:rStyle w:val="58"/>
          <w:lang w:val="en-US"/>
        </w:rPr>
        <w:t>4.1.2</w:t>
      </w:r>
      <w:r>
        <w:rPr>
          <w:rFonts w:asciiTheme="minorHAnsi" w:hAnsiTheme="minorHAnsi" w:eastAsiaTheme="minorEastAsia" w:cstheme="minorBidi"/>
          <w:kern w:val="2"/>
          <w:sz w:val="24"/>
          <w:szCs w:val="24"/>
          <w:lang w:val="en-US" w:eastAsia="en-US"/>
          <w14:ligatures w14:val="standardContextual"/>
        </w:rPr>
        <w:tab/>
      </w:r>
      <w:r>
        <w:rPr>
          <w:rStyle w:val="58"/>
          <w:lang w:val="en-US"/>
        </w:rPr>
        <w:t>Timing information</w:t>
      </w:r>
      <w:r>
        <w:tab/>
      </w:r>
      <w:r>
        <w:fldChar w:fldCharType="begin"/>
      </w:r>
      <w:r>
        <w:instrText xml:space="preserve"> PAGEREF _Toc189845029 \h </w:instrText>
      </w:r>
      <w:r>
        <w:fldChar w:fldCharType="separate"/>
      </w:r>
      <w:r>
        <w:t>36</w:t>
      </w:r>
      <w:r>
        <w:fldChar w:fldCharType="end"/>
      </w:r>
      <w:r>
        <w:fldChar w:fldCharType="end"/>
      </w:r>
    </w:p>
    <w:p w14:paraId="7AB9462A">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"_Toc189845030" </w:instrText>
      </w:r>
      <w:r>
        <w:fldChar w:fldCharType="separate"/>
      </w:r>
      <w:r>
        <w:rPr>
          <w:rStyle w:val="58"/>
        </w:rPr>
        <w:t>4.1.3</w:t>
      </w:r>
      <w:r>
        <w:rPr>
          <w:rFonts w:asciiTheme="minorHAnsi" w:hAnsiTheme="minorHAnsi" w:eastAsiaTheme="minorEastAsia" w:cstheme="minorBidi"/>
          <w:kern w:val="2"/>
          <w:sz w:val="24"/>
          <w:szCs w:val="24"/>
          <w:lang w:val="en-US" w:eastAsia="en-US"/>
          <w14:ligatures w14:val="standardContextual"/>
        </w:rPr>
        <w:tab/>
      </w:r>
      <w:r>
        <w:rPr>
          <w:rStyle w:val="58"/>
          <w:lang w:val="en-US"/>
        </w:rPr>
        <w:t>Indication of AI/ML assistance in generating measurement reports</w:t>
      </w:r>
      <w:r>
        <w:tab/>
      </w:r>
      <w:r>
        <w:fldChar w:fldCharType="begin"/>
      </w:r>
      <w:r>
        <w:instrText xml:space="preserve"> PAGEREF _Toc189845030 \h </w:instrText>
      </w:r>
      <w:r>
        <w:fldChar w:fldCharType="separate"/>
      </w:r>
      <w:r>
        <w:t>38</w:t>
      </w:r>
      <w:r>
        <w:fldChar w:fldCharType="end"/>
      </w:r>
      <w:r>
        <w:fldChar w:fldCharType="end"/>
      </w:r>
    </w:p>
    <w:p w14:paraId="30C5C1C7">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"_Toc189845031" </w:instrText>
      </w:r>
      <w:r>
        <w:fldChar w:fldCharType="separate"/>
      </w:r>
      <w:r>
        <w:rPr>
          <w:rStyle w:val="58"/>
          <w:lang w:val="en-US"/>
        </w:rPr>
        <w:t>5</w:t>
      </w:r>
      <w:r>
        <w:rPr>
          <w:rFonts w:asciiTheme="minorHAnsi" w:hAnsiTheme="minorHAnsi" w:eastAsiaTheme="minorEastAsia" w:cstheme="minorBidi"/>
          <w:kern w:val="2"/>
          <w:sz w:val="24"/>
          <w:szCs w:val="24"/>
          <w:lang w:val="en-US" w:eastAsia="en-US"/>
          <w14:ligatures w14:val="standardContextual"/>
        </w:rPr>
        <w:tab/>
      </w:r>
      <w:r>
        <w:rPr>
          <w:rStyle w:val="58"/>
          <w:lang w:val="en-US"/>
        </w:rPr>
        <w:t>Training data collection</w:t>
      </w:r>
      <w:r>
        <w:tab/>
      </w:r>
      <w:r>
        <w:fldChar w:fldCharType="begin"/>
      </w:r>
      <w:r>
        <w:instrText xml:space="preserve"> PAGEREF _Toc189845031 \h </w:instrText>
      </w:r>
      <w:r>
        <w:fldChar w:fldCharType="separate"/>
      </w:r>
      <w:r>
        <w:t>38</w:t>
      </w:r>
      <w:r>
        <w:fldChar w:fldCharType="end"/>
      </w:r>
      <w:r>
        <w:fldChar w:fldCharType="end"/>
      </w:r>
    </w:p>
    <w:p w14:paraId="2DA7C756">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"_Toc189845032" </w:instrText>
      </w:r>
      <w:r>
        <w:fldChar w:fldCharType="separate"/>
      </w:r>
      <w:r>
        <w:rPr>
          <w:rStyle w:val="58"/>
          <w:lang w:val="en-US"/>
        </w:rPr>
        <w:t>5.1</w:t>
      </w:r>
      <w:r>
        <w:rPr>
          <w:rFonts w:asciiTheme="minorHAnsi" w:hAnsiTheme="minorHAnsi" w:eastAsiaTheme="minorEastAsia" w:cstheme="minorBidi"/>
          <w:kern w:val="2"/>
          <w:sz w:val="24"/>
          <w:szCs w:val="24"/>
          <w:lang w:val="en-US" w:eastAsia="en-US"/>
          <w14:ligatures w14:val="standardContextual"/>
        </w:rPr>
        <w:tab/>
      </w:r>
      <w:r>
        <w:rPr>
          <w:rStyle w:val="58"/>
          <w:lang w:val="en-US"/>
        </w:rPr>
        <w:t>Content of training data samples</w:t>
      </w:r>
      <w:r>
        <w:tab/>
      </w:r>
      <w:r>
        <w:fldChar w:fldCharType="begin"/>
      </w:r>
      <w:r>
        <w:instrText xml:space="preserve"> PAGEREF _Toc189845032 \h </w:instrText>
      </w:r>
      <w:r>
        <w:fldChar w:fldCharType="separate"/>
      </w:r>
      <w:r>
        <w:t>38</w:t>
      </w:r>
      <w:r>
        <w:fldChar w:fldCharType="end"/>
      </w:r>
      <w:r>
        <w:fldChar w:fldCharType="end"/>
      </w:r>
    </w:p>
    <w:p w14:paraId="1896F221">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"_Toc189845033" </w:instrText>
      </w:r>
      <w:r>
        <w:fldChar w:fldCharType="separate"/>
      </w:r>
      <w:r>
        <w:rPr>
          <w:rStyle w:val="58"/>
        </w:rPr>
        <w:t>5.1.1</w:t>
      </w:r>
      <w:r>
        <w:rPr>
          <w:rFonts w:asciiTheme="minorHAnsi" w:hAnsiTheme="minorHAnsi" w:eastAsiaTheme="minorEastAsia" w:cstheme="minorBidi"/>
          <w:kern w:val="2"/>
          <w:sz w:val="24"/>
          <w:szCs w:val="24"/>
          <w:lang w:val="en-US" w:eastAsia="en-US"/>
          <w14:ligatures w14:val="standardContextual"/>
        </w:rPr>
        <w:tab/>
      </w:r>
      <w:r>
        <w:rPr>
          <w:rStyle w:val="58"/>
        </w:rPr>
        <w:t>Time stamp of training data samples</w:t>
      </w:r>
      <w:r>
        <w:tab/>
      </w:r>
      <w:r>
        <w:fldChar w:fldCharType="begin"/>
      </w:r>
      <w:r>
        <w:instrText xml:space="preserve"> PAGEREF _Toc189845033 \h </w:instrText>
      </w:r>
      <w:r>
        <w:fldChar w:fldCharType="separate"/>
      </w:r>
      <w:r>
        <w:t>39</w:t>
      </w:r>
      <w:r>
        <w:fldChar w:fldCharType="end"/>
      </w:r>
      <w:r>
        <w:fldChar w:fldCharType="end"/>
      </w:r>
    </w:p>
    <w:p w14:paraId="71D3A531">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"_Toc189845034" </w:instrText>
      </w:r>
      <w:r>
        <w:fldChar w:fldCharType="separate"/>
      </w:r>
      <w:r>
        <w:rPr>
          <w:rStyle w:val="58"/>
        </w:rPr>
        <w:t>5.1.2</w:t>
      </w:r>
      <w:r>
        <w:rPr>
          <w:rFonts w:asciiTheme="minorHAnsi" w:hAnsiTheme="minorHAnsi" w:eastAsiaTheme="minorEastAsia" w:cstheme="minorBidi"/>
          <w:kern w:val="2"/>
          <w:sz w:val="24"/>
          <w:szCs w:val="24"/>
          <w:lang w:val="en-US" w:eastAsia="en-US"/>
          <w14:ligatures w14:val="standardContextual"/>
        </w:rPr>
        <w:tab/>
      </w:r>
      <w:r>
        <w:rPr>
          <w:rStyle w:val="58"/>
          <w:lang w:val="en-US"/>
        </w:rPr>
        <w:t>Signalling and quality reporting for Part A</w:t>
      </w:r>
      <w:r>
        <w:tab/>
      </w:r>
      <w:r>
        <w:fldChar w:fldCharType="begin"/>
      </w:r>
      <w:r>
        <w:instrText xml:space="preserve"> PAGEREF _Toc189845034 \h </w:instrText>
      </w:r>
      <w:r>
        <w:fldChar w:fldCharType="separate"/>
      </w:r>
      <w:r>
        <w:t>43</w:t>
      </w:r>
      <w:r>
        <w:fldChar w:fldCharType="end"/>
      </w:r>
      <w:r>
        <w:fldChar w:fldCharType="end"/>
      </w:r>
    </w:p>
    <w:p w14:paraId="5F753465">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"_Toc189845035" </w:instrText>
      </w:r>
      <w:r>
        <w:fldChar w:fldCharType="separate"/>
      </w:r>
      <w:r>
        <w:rPr>
          <w:rStyle w:val="58"/>
        </w:rPr>
        <w:t>5.1.3</w:t>
      </w:r>
      <w:r>
        <w:rPr>
          <w:rFonts w:asciiTheme="minorHAnsi" w:hAnsiTheme="minorHAnsi" w:eastAsiaTheme="minorEastAsia" w:cstheme="minorBidi"/>
          <w:kern w:val="2"/>
          <w:sz w:val="24"/>
          <w:szCs w:val="24"/>
          <w:lang w:val="en-US" w:eastAsia="en-US"/>
          <w14:ligatures w14:val="standardContextual"/>
        </w:rPr>
        <w:tab/>
      </w:r>
      <w:r>
        <w:rPr>
          <w:rStyle w:val="58"/>
          <w:lang w:val="en-US"/>
        </w:rPr>
        <w:t>Signalling and quality reporting for Part B</w:t>
      </w:r>
      <w:r>
        <w:tab/>
      </w:r>
      <w:r>
        <w:fldChar w:fldCharType="begin"/>
      </w:r>
      <w:r>
        <w:instrText xml:space="preserve"> PAGEREF _Toc189845035 \h </w:instrText>
      </w:r>
      <w:r>
        <w:fldChar w:fldCharType="separate"/>
      </w:r>
      <w:r>
        <w:t>44</w:t>
      </w:r>
      <w:r>
        <w:fldChar w:fldCharType="end"/>
      </w:r>
      <w:r>
        <w:fldChar w:fldCharType="end"/>
      </w:r>
    </w:p>
    <w:p w14:paraId="2E68009A">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"_Toc189845036" </w:instrText>
      </w:r>
      <w:r>
        <w:fldChar w:fldCharType="separate"/>
      </w:r>
      <w:r>
        <w:rPr>
          <w:rStyle w:val="58"/>
        </w:rPr>
        <w:t>5.1.4</w:t>
      </w:r>
      <w:r>
        <w:rPr>
          <w:rFonts w:asciiTheme="minorHAnsi" w:hAnsiTheme="minorHAnsi" w:eastAsiaTheme="minorEastAsia" w:cstheme="minorBidi"/>
          <w:kern w:val="2"/>
          <w:sz w:val="24"/>
          <w:szCs w:val="24"/>
          <w:lang w:val="en-US" w:eastAsia="en-US"/>
          <w14:ligatures w14:val="standardContextual"/>
        </w:rPr>
        <w:tab/>
      </w:r>
      <w:r>
        <w:rPr>
          <w:rStyle w:val="58"/>
        </w:rPr>
        <w:t>Pairing of Part A and Part B in data collection</w:t>
      </w:r>
      <w:r>
        <w:tab/>
      </w:r>
      <w:r>
        <w:fldChar w:fldCharType="begin"/>
      </w:r>
      <w:r>
        <w:instrText xml:space="preserve"> PAGEREF _Toc189845036 \h </w:instrText>
      </w:r>
      <w:r>
        <w:fldChar w:fldCharType="separate"/>
      </w:r>
      <w:r>
        <w:t>49</w:t>
      </w:r>
      <w:r>
        <w:fldChar w:fldCharType="end"/>
      </w:r>
      <w:r>
        <w:fldChar w:fldCharType="end"/>
      </w:r>
    </w:p>
    <w:p w14:paraId="66EBDBB9">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"_Toc189845037" </w:instrText>
      </w:r>
      <w:r>
        <w:fldChar w:fldCharType="separate"/>
      </w:r>
      <w:r>
        <w:rPr>
          <w:rStyle w:val="58"/>
          <w:lang w:val="en-US"/>
        </w:rPr>
        <w:t>5.2</w:t>
      </w:r>
      <w:r>
        <w:rPr>
          <w:rFonts w:asciiTheme="minorHAnsi" w:hAnsiTheme="minorHAnsi" w:eastAsiaTheme="minorEastAsia" w:cstheme="minorBidi"/>
          <w:kern w:val="2"/>
          <w:sz w:val="24"/>
          <w:szCs w:val="24"/>
          <w:lang w:val="en-US" w:eastAsia="en-US"/>
          <w14:ligatures w14:val="standardContextual"/>
        </w:rPr>
        <w:tab/>
      </w:r>
      <w:r>
        <w:rPr>
          <w:rStyle w:val="58"/>
          <w:lang w:val="en-US"/>
        </w:rPr>
        <w:t>Metadata for training dataset</w:t>
      </w:r>
      <w:r>
        <w:tab/>
      </w:r>
      <w:r>
        <w:fldChar w:fldCharType="begin"/>
      </w:r>
      <w:r>
        <w:instrText xml:space="preserve"> PAGEREF _Toc189845037 \h </w:instrText>
      </w:r>
      <w:r>
        <w:fldChar w:fldCharType="separate"/>
      </w:r>
      <w:r>
        <w:t>50</w:t>
      </w:r>
      <w:r>
        <w:fldChar w:fldCharType="end"/>
      </w:r>
      <w:r>
        <w:fldChar w:fldCharType="end"/>
      </w:r>
    </w:p>
    <w:p w14:paraId="015948DD">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"_Toc189845038" </w:instrText>
      </w:r>
      <w:r>
        <w:fldChar w:fldCharType="separate"/>
      </w:r>
      <w:r>
        <w:rPr>
          <w:rStyle w:val="58"/>
        </w:rPr>
        <w:t>5.2.1</w:t>
      </w:r>
      <w:r>
        <w:rPr>
          <w:rFonts w:asciiTheme="minorHAnsi" w:hAnsiTheme="minorHAnsi" w:eastAsiaTheme="minorEastAsia" w:cstheme="minorBidi"/>
          <w:kern w:val="2"/>
          <w:sz w:val="24"/>
          <w:szCs w:val="24"/>
          <w:lang w:val="en-US" w:eastAsia="en-US"/>
          <w14:ligatures w14:val="standardContextual"/>
        </w:rPr>
        <w:tab/>
      </w:r>
      <w:r>
        <w:rPr>
          <w:rStyle w:val="58"/>
        </w:rPr>
        <w:t>Elements in metadata of the training dataset</w:t>
      </w:r>
      <w:r>
        <w:tab/>
      </w:r>
      <w:r>
        <w:fldChar w:fldCharType="begin"/>
      </w:r>
      <w:r>
        <w:instrText xml:space="preserve"> PAGEREF _Toc189845038 \h </w:instrText>
      </w:r>
      <w:r>
        <w:fldChar w:fldCharType="separate"/>
      </w:r>
      <w:r>
        <w:t>50</w:t>
      </w:r>
      <w:r>
        <w:fldChar w:fldCharType="end"/>
      </w:r>
      <w:r>
        <w:fldChar w:fldCharType="end"/>
      </w:r>
    </w:p>
    <w:p w14:paraId="594CF50A">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"_Toc189845039" </w:instrText>
      </w:r>
      <w:r>
        <w:fldChar w:fldCharType="separate"/>
      </w:r>
      <w:r>
        <w:rPr>
          <w:rStyle w:val="58"/>
        </w:rPr>
        <w:t>5.2.2</w:t>
      </w:r>
      <w:r>
        <w:rPr>
          <w:rFonts w:asciiTheme="minorHAnsi" w:hAnsiTheme="minorHAnsi" w:eastAsiaTheme="minorEastAsia" w:cstheme="minorBidi"/>
          <w:kern w:val="2"/>
          <w:sz w:val="24"/>
          <w:szCs w:val="24"/>
          <w:lang w:val="en-US" w:eastAsia="en-US"/>
          <w14:ligatures w14:val="standardContextual"/>
        </w:rPr>
        <w:tab/>
      </w:r>
      <w:r>
        <w:rPr>
          <w:rStyle w:val="58"/>
          <w:lang w:val="en-US"/>
        </w:rPr>
        <w:t>Assistance data for consistency between training and inference</w:t>
      </w:r>
      <w:r>
        <w:tab/>
      </w:r>
      <w:r>
        <w:fldChar w:fldCharType="begin"/>
      </w:r>
      <w:r>
        <w:instrText xml:space="preserve"> PAGEREF _Toc189845039 \h </w:instrText>
      </w:r>
      <w:r>
        <w:fldChar w:fldCharType="separate"/>
      </w:r>
      <w:r>
        <w:t>53</w:t>
      </w:r>
      <w:r>
        <w:fldChar w:fldCharType="end"/>
      </w:r>
      <w:r>
        <w:fldChar w:fldCharType="end"/>
      </w:r>
    </w:p>
    <w:p w14:paraId="786167A8">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"_Toc189845040" </w:instrText>
      </w:r>
      <w:r>
        <w:fldChar w:fldCharType="separate"/>
      </w:r>
      <w:r>
        <w:rPr>
          <w:rStyle w:val="58"/>
          <w:lang w:val="en-US"/>
        </w:rPr>
        <w:t>6</w:t>
      </w:r>
      <w:r>
        <w:rPr>
          <w:rFonts w:asciiTheme="minorHAnsi" w:hAnsiTheme="minorHAnsi" w:eastAsiaTheme="minorEastAsia" w:cstheme="minorBidi"/>
          <w:kern w:val="2"/>
          <w:sz w:val="24"/>
          <w:szCs w:val="24"/>
          <w:lang w:val="en-US" w:eastAsia="en-US"/>
          <w14:ligatures w14:val="standardContextual"/>
        </w:rPr>
        <w:tab/>
      </w:r>
      <w:r>
        <w:rPr>
          <w:rStyle w:val="58"/>
          <w:lang w:val="en-US"/>
        </w:rPr>
        <w:t>LCM and Model performance monitoring</w:t>
      </w:r>
      <w:r>
        <w:tab/>
      </w:r>
      <w:r>
        <w:fldChar w:fldCharType="begin"/>
      </w:r>
      <w:r>
        <w:instrText xml:space="preserve"> PAGEREF _Toc189845040 \h </w:instrText>
      </w:r>
      <w:r>
        <w:fldChar w:fldCharType="separate"/>
      </w:r>
      <w:r>
        <w:t>56</w:t>
      </w:r>
      <w:r>
        <w:fldChar w:fldCharType="end"/>
      </w:r>
      <w:r>
        <w:fldChar w:fldCharType="end"/>
      </w:r>
    </w:p>
    <w:p w14:paraId="4BD29A55">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"_Toc189845041" </w:instrText>
      </w:r>
      <w:r>
        <w:fldChar w:fldCharType="separate"/>
      </w:r>
      <w:r>
        <w:rPr>
          <w:rStyle w:val="58"/>
          <w:lang w:val="en-US"/>
        </w:rPr>
        <w:t>6.1</w:t>
      </w:r>
      <w:r>
        <w:rPr>
          <w:rFonts w:asciiTheme="minorHAnsi" w:hAnsiTheme="minorHAnsi" w:eastAsiaTheme="minorEastAsia" w:cstheme="minorBidi"/>
          <w:kern w:val="2"/>
          <w:sz w:val="24"/>
          <w:szCs w:val="24"/>
          <w:lang w:val="en-US" w:eastAsia="en-US"/>
          <w14:ligatures w14:val="standardContextual"/>
        </w:rPr>
        <w:tab/>
      </w:r>
      <w:r>
        <w:rPr>
          <w:rStyle w:val="58"/>
        </w:rPr>
        <w:t>Model-level and functionality-level</w:t>
      </w:r>
      <w:r>
        <w:rPr>
          <w:rStyle w:val="58"/>
          <w:lang w:val="en-US"/>
        </w:rPr>
        <w:t xml:space="preserve"> monitoring</w:t>
      </w:r>
      <w:r>
        <w:tab/>
      </w:r>
      <w:r>
        <w:fldChar w:fldCharType="begin"/>
      </w:r>
      <w:r>
        <w:instrText xml:space="preserve"> PAGEREF _Toc189845041 \h </w:instrText>
      </w:r>
      <w:r>
        <w:fldChar w:fldCharType="separate"/>
      </w:r>
      <w:r>
        <w:t>56</w:t>
      </w:r>
      <w:r>
        <w:fldChar w:fldCharType="end"/>
      </w:r>
      <w:r>
        <w:fldChar w:fldCharType="end"/>
      </w:r>
    </w:p>
    <w:p w14:paraId="697783EC">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"_Toc189845042" </w:instrText>
      </w:r>
      <w:r>
        <w:fldChar w:fldCharType="separate"/>
      </w:r>
      <w:r>
        <w:rPr>
          <w:rStyle w:val="58"/>
        </w:rPr>
        <w:t>6.2</w:t>
      </w:r>
      <w:r>
        <w:rPr>
          <w:rFonts w:asciiTheme="minorHAnsi" w:hAnsiTheme="minorHAnsi" w:eastAsiaTheme="minorEastAsia" w:cstheme="minorBidi"/>
          <w:kern w:val="2"/>
          <w:sz w:val="24"/>
          <w:szCs w:val="24"/>
          <w:lang w:val="en-US" w:eastAsia="en-US"/>
          <w14:ligatures w14:val="standardContextual"/>
        </w:rPr>
        <w:tab/>
      </w:r>
      <w:r>
        <w:rPr>
          <w:rStyle w:val="58"/>
          <w:lang w:val="en-US"/>
        </w:rPr>
        <w:t>Self-monitoring: Label-free or label-based</w:t>
      </w:r>
      <w:r>
        <w:tab/>
      </w:r>
      <w:r>
        <w:fldChar w:fldCharType="begin"/>
      </w:r>
      <w:r>
        <w:instrText xml:space="preserve"> PAGEREF _Toc189845042 \h </w:instrText>
      </w:r>
      <w:r>
        <w:fldChar w:fldCharType="separate"/>
      </w:r>
      <w:r>
        <w:t>60</w:t>
      </w:r>
      <w:r>
        <w:fldChar w:fldCharType="end"/>
      </w:r>
      <w:r>
        <w:fldChar w:fldCharType="end"/>
      </w:r>
    </w:p>
    <w:p w14:paraId="290CD4CB">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"_Toc189845043" </w:instrText>
      </w:r>
      <w:r>
        <w:fldChar w:fldCharType="separate"/>
      </w:r>
      <w:r>
        <w:rPr>
          <w:rStyle w:val="58"/>
        </w:rPr>
        <w:t>6.3</w:t>
      </w:r>
      <w:r>
        <w:rPr>
          <w:rFonts w:asciiTheme="minorHAnsi" w:hAnsiTheme="minorHAnsi" w:eastAsiaTheme="minorEastAsia" w:cstheme="minorBidi"/>
          <w:kern w:val="2"/>
          <w:sz w:val="24"/>
          <w:szCs w:val="24"/>
          <w:lang w:val="en-US" w:eastAsia="en-US"/>
          <w14:ligatures w14:val="standardContextual"/>
        </w:rPr>
        <w:tab/>
      </w:r>
      <w:r>
        <w:rPr>
          <w:rStyle w:val="58"/>
          <w:lang w:val="en-US"/>
        </w:rPr>
        <w:t>Model performance monitoring metric calculation for Case 1</w:t>
      </w:r>
      <w:r>
        <w:tab/>
      </w:r>
      <w:r>
        <w:fldChar w:fldCharType="begin"/>
      </w:r>
      <w:r>
        <w:instrText xml:space="preserve"> PAGEREF _Toc189845043 \h </w:instrText>
      </w:r>
      <w:r>
        <w:fldChar w:fldCharType="separate"/>
      </w:r>
      <w:r>
        <w:t>63</w:t>
      </w:r>
      <w:r>
        <w:fldChar w:fldCharType="end"/>
      </w:r>
      <w:r>
        <w:fldChar w:fldCharType="end"/>
      </w:r>
    </w:p>
    <w:p w14:paraId="6C4C4456">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"_Toc189845044" </w:instrText>
      </w:r>
      <w:r>
        <w:fldChar w:fldCharType="separate"/>
      </w:r>
      <w:r>
        <w:rPr>
          <w:rStyle w:val="58"/>
          <w:lang w:val="en-US"/>
        </w:rPr>
        <w:t>7</w:t>
      </w:r>
      <w:r>
        <w:rPr>
          <w:rFonts w:asciiTheme="minorHAnsi" w:hAnsiTheme="minorHAnsi" w:eastAsiaTheme="minorEastAsia" w:cstheme="minorBidi"/>
          <w:kern w:val="2"/>
          <w:sz w:val="24"/>
          <w:szCs w:val="24"/>
          <w:lang w:val="en-US" w:eastAsia="en-US"/>
          <w14:ligatures w14:val="standardContextual"/>
        </w:rPr>
        <w:tab/>
      </w:r>
      <w:r>
        <w:rPr>
          <w:rStyle w:val="58"/>
          <w:lang w:val="en-US"/>
        </w:rPr>
        <w:t>Model inference</w:t>
      </w:r>
      <w:r>
        <w:tab/>
      </w:r>
      <w:r>
        <w:fldChar w:fldCharType="begin"/>
      </w:r>
      <w:r>
        <w:instrText xml:space="preserve"> PAGEREF _Toc189845044 \h </w:instrText>
      </w:r>
      <w:r>
        <w:fldChar w:fldCharType="separate"/>
      </w:r>
      <w:r>
        <w:t>65</w:t>
      </w:r>
      <w:r>
        <w:fldChar w:fldCharType="end"/>
      </w:r>
      <w:r>
        <w:fldChar w:fldCharType="end"/>
      </w:r>
    </w:p>
    <w:p w14:paraId="44E69A38">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"_Toc189845045" </w:instrText>
      </w:r>
      <w:r>
        <w:fldChar w:fldCharType="separate"/>
      </w:r>
      <w:r>
        <w:rPr>
          <w:rStyle w:val="58"/>
          <w:lang w:val="en-US"/>
        </w:rPr>
        <w:t>7.1</w:t>
      </w:r>
      <w:r>
        <w:rPr>
          <w:rFonts w:asciiTheme="minorHAnsi" w:hAnsiTheme="minorHAnsi" w:eastAsiaTheme="minorEastAsia" w:cstheme="minorBidi"/>
          <w:kern w:val="2"/>
          <w:sz w:val="24"/>
          <w:szCs w:val="24"/>
          <w:lang w:val="en-US" w:eastAsia="en-US"/>
          <w14:ligatures w14:val="standardContextual"/>
        </w:rPr>
        <w:tab/>
      </w:r>
      <w:r>
        <w:rPr>
          <w:rStyle w:val="58"/>
          <w:lang w:val="en-US"/>
        </w:rPr>
        <w:t>Signaling to support model inference</w:t>
      </w:r>
      <w:r>
        <w:tab/>
      </w:r>
      <w:r>
        <w:fldChar w:fldCharType="begin"/>
      </w:r>
      <w:r>
        <w:instrText xml:space="preserve"> PAGEREF _Toc189845045 \h </w:instrText>
      </w:r>
      <w:r>
        <w:fldChar w:fldCharType="separate"/>
      </w:r>
      <w:r>
        <w:t>65</w:t>
      </w:r>
      <w:r>
        <w:fldChar w:fldCharType="end"/>
      </w:r>
      <w:r>
        <w:fldChar w:fldCharType="end"/>
      </w:r>
    </w:p>
    <w:p w14:paraId="5DB71D4D">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"_Toc189845046" </w:instrText>
      </w:r>
      <w:r>
        <w:fldChar w:fldCharType="separate"/>
      </w:r>
      <w:r>
        <w:rPr>
          <w:rStyle w:val="58"/>
        </w:rPr>
        <w:t>7.2</w:t>
      </w:r>
      <w:r>
        <w:rPr>
          <w:rFonts w:asciiTheme="minorHAnsi" w:hAnsiTheme="minorHAnsi" w:eastAsiaTheme="minorEastAsia" w:cstheme="minorBidi"/>
          <w:kern w:val="2"/>
          <w:sz w:val="24"/>
          <w:szCs w:val="24"/>
          <w:lang w:val="en-US" w:eastAsia="en-US"/>
          <w14:ligatures w14:val="standardContextual"/>
        </w:rPr>
        <w:tab/>
      </w:r>
      <w:r>
        <w:rPr>
          <w:rStyle w:val="58"/>
        </w:rPr>
        <w:t>Consistency aspects in general</w:t>
      </w:r>
      <w:r>
        <w:tab/>
      </w:r>
      <w:r>
        <w:fldChar w:fldCharType="begin"/>
      </w:r>
      <w:r>
        <w:instrText xml:space="preserve"> PAGEREF _Toc189845046 \h </w:instrText>
      </w:r>
      <w:r>
        <w:fldChar w:fldCharType="separate"/>
      </w:r>
      <w:r>
        <w:t>66</w:t>
      </w:r>
      <w:r>
        <w:fldChar w:fldCharType="end"/>
      </w:r>
      <w:r>
        <w:fldChar w:fldCharType="end"/>
      </w:r>
    </w:p>
    <w:p w14:paraId="54EBED56">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"_Toc189845047" </w:instrText>
      </w:r>
      <w:r>
        <w:fldChar w:fldCharType="separate"/>
      </w:r>
      <w:r>
        <w:rPr>
          <w:rStyle w:val="58"/>
        </w:rPr>
        <w:t>7.2.1</w:t>
      </w:r>
      <w:r>
        <w:rPr>
          <w:rFonts w:asciiTheme="minorHAnsi" w:hAnsiTheme="minorHAnsi" w:eastAsiaTheme="minorEastAsia" w:cstheme="minorBidi"/>
          <w:kern w:val="2"/>
          <w:sz w:val="24"/>
          <w:szCs w:val="24"/>
          <w:lang w:val="en-US" w:eastAsia="en-US"/>
          <w14:ligatures w14:val="standardContextual"/>
        </w:rPr>
        <w:tab/>
      </w:r>
      <w:r>
        <w:rPr>
          <w:rStyle w:val="58"/>
        </w:rPr>
        <w:t>Consistency of validity area</w:t>
      </w:r>
      <w:r>
        <w:tab/>
      </w:r>
      <w:r>
        <w:fldChar w:fldCharType="begin"/>
      </w:r>
      <w:r>
        <w:instrText xml:space="preserve"> PAGEREF _Toc189845047 \h </w:instrText>
      </w:r>
      <w:r>
        <w:fldChar w:fldCharType="separate"/>
      </w:r>
      <w:r>
        <w:t>67</w:t>
      </w:r>
      <w:r>
        <w:fldChar w:fldCharType="end"/>
      </w:r>
      <w:r>
        <w:fldChar w:fldCharType="end"/>
      </w:r>
    </w:p>
    <w:p w14:paraId="79FCD853">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"_Toc189845048" </w:instrText>
      </w:r>
      <w:r>
        <w:fldChar w:fldCharType="separate"/>
      </w:r>
      <w:r>
        <w:rPr>
          <w:rStyle w:val="58"/>
        </w:rPr>
        <w:t>7.2.2</w:t>
      </w:r>
      <w:r>
        <w:rPr>
          <w:rFonts w:asciiTheme="minorHAnsi" w:hAnsiTheme="minorHAnsi" w:eastAsiaTheme="minorEastAsia" w:cstheme="minorBidi"/>
          <w:kern w:val="2"/>
          <w:sz w:val="24"/>
          <w:szCs w:val="24"/>
          <w:lang w:val="en-US" w:eastAsia="en-US"/>
          <w14:ligatures w14:val="standardContextual"/>
        </w:rPr>
        <w:tab/>
      </w:r>
      <w:r>
        <w:rPr>
          <w:rStyle w:val="58"/>
        </w:rPr>
        <w:t>Consistency of RS configuration between model inference and model training</w:t>
      </w:r>
      <w:r>
        <w:tab/>
      </w:r>
      <w:r>
        <w:fldChar w:fldCharType="begin"/>
      </w:r>
      <w:r>
        <w:instrText xml:space="preserve"> PAGEREF _Toc189845048 \h </w:instrText>
      </w:r>
      <w:r>
        <w:fldChar w:fldCharType="separate"/>
      </w:r>
      <w:r>
        <w:t>69</w:t>
      </w:r>
      <w:r>
        <w:fldChar w:fldCharType="end"/>
      </w:r>
      <w:r>
        <w:fldChar w:fldCharType="end"/>
      </w:r>
    </w:p>
    <w:p w14:paraId="7403F16B">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"_Toc189845049" </w:instrText>
      </w:r>
      <w:r>
        <w:fldChar w:fldCharType="separate"/>
      </w:r>
      <w:r>
        <w:rPr>
          <w:rStyle w:val="58"/>
        </w:rPr>
        <w:t>7.2.3</w:t>
      </w:r>
      <w:r>
        <w:rPr>
          <w:rFonts w:asciiTheme="minorHAnsi" w:hAnsiTheme="minorHAnsi" w:eastAsiaTheme="minorEastAsia" w:cstheme="minorBidi"/>
          <w:kern w:val="2"/>
          <w:sz w:val="24"/>
          <w:szCs w:val="24"/>
          <w:lang w:val="en-US" w:eastAsia="en-US"/>
          <w14:ligatures w14:val="standardContextual"/>
        </w:rPr>
        <w:tab/>
      </w:r>
      <w:r>
        <w:rPr>
          <w:rStyle w:val="58"/>
        </w:rPr>
        <w:t>Consistency of network-side additional conditions between model inference and model training</w:t>
      </w:r>
      <w:r>
        <w:tab/>
      </w:r>
      <w:r>
        <w:fldChar w:fldCharType="begin"/>
      </w:r>
      <w:r>
        <w:instrText xml:space="preserve"> PAGEREF _Toc189845049 \h </w:instrText>
      </w:r>
      <w:r>
        <w:fldChar w:fldCharType="separate"/>
      </w:r>
      <w:r>
        <w:t>70</w:t>
      </w:r>
      <w:r>
        <w:fldChar w:fldCharType="end"/>
      </w:r>
      <w:r>
        <w:fldChar w:fldCharType="end"/>
      </w:r>
    </w:p>
    <w:p w14:paraId="56518D15">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"_Toc189845050" </w:instrText>
      </w:r>
      <w:r>
        <w:fldChar w:fldCharType="separate"/>
      </w:r>
      <w:r>
        <w:rPr>
          <w:rStyle w:val="58"/>
        </w:rPr>
        <w:t>7.2.4</w:t>
      </w:r>
      <w:r>
        <w:rPr>
          <w:rFonts w:asciiTheme="minorHAnsi" w:hAnsiTheme="minorHAnsi" w:eastAsiaTheme="minorEastAsia" w:cstheme="minorBidi"/>
          <w:kern w:val="2"/>
          <w:sz w:val="24"/>
          <w:szCs w:val="24"/>
          <w:lang w:val="en-US" w:eastAsia="en-US"/>
          <w14:ligatures w14:val="standardContextual"/>
        </w:rPr>
        <w:tab/>
      </w:r>
      <w:r>
        <w:rPr>
          <w:rStyle w:val="58"/>
        </w:rPr>
        <w:t>Consistency of measurements reported between model inference and model training</w:t>
      </w:r>
      <w:r>
        <w:tab/>
      </w:r>
      <w:r>
        <w:fldChar w:fldCharType="begin"/>
      </w:r>
      <w:r>
        <w:instrText xml:space="preserve"> PAGEREF _Toc189845050 \h </w:instrText>
      </w:r>
      <w:r>
        <w:fldChar w:fldCharType="separate"/>
      </w:r>
      <w:r>
        <w:t>72</w:t>
      </w:r>
      <w:r>
        <w:fldChar w:fldCharType="end"/>
      </w:r>
      <w:r>
        <w:fldChar w:fldCharType="end"/>
      </w:r>
    </w:p>
    <w:p w14:paraId="119E382C">
      <w:pPr>
        <w:pStyle w:val="21"/>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"_Toc189845051" </w:instrText>
      </w:r>
      <w:r>
        <w:fldChar w:fldCharType="separate"/>
      </w:r>
      <w:r>
        <w:rPr>
          <w:rStyle w:val="58"/>
        </w:rPr>
        <w:t>7.3</w:t>
      </w:r>
      <w:r>
        <w:rPr>
          <w:rFonts w:asciiTheme="minorHAnsi" w:hAnsiTheme="minorHAnsi" w:eastAsiaTheme="minorEastAsia" w:cstheme="minorBidi"/>
          <w:kern w:val="2"/>
          <w:sz w:val="24"/>
          <w:szCs w:val="24"/>
          <w:lang w:val="en-US" w:eastAsia="en-US"/>
          <w14:ligatures w14:val="standardContextual"/>
        </w:rPr>
        <w:tab/>
      </w:r>
      <w:r>
        <w:rPr>
          <w:rStyle w:val="58"/>
        </w:rPr>
        <w:t>Consistency of network side conditions for Case 1</w:t>
      </w:r>
      <w:r>
        <w:tab/>
      </w:r>
      <w:r>
        <w:fldChar w:fldCharType="begin"/>
      </w:r>
      <w:r>
        <w:instrText xml:space="preserve"> PAGEREF _Toc189845051 \h </w:instrText>
      </w:r>
      <w:r>
        <w:fldChar w:fldCharType="separate"/>
      </w:r>
      <w:r>
        <w:t>72</w:t>
      </w:r>
      <w:r>
        <w:fldChar w:fldCharType="end"/>
      </w:r>
      <w:r>
        <w:fldChar w:fldCharType="end"/>
      </w:r>
    </w:p>
    <w:p w14:paraId="7DDDA5C8">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"_Toc189845052" </w:instrText>
      </w:r>
      <w:r>
        <w:fldChar w:fldCharType="separate"/>
      </w:r>
      <w:r>
        <w:rPr>
          <w:rStyle w:val="58"/>
          <w:lang w:val="en-US"/>
        </w:rPr>
        <w:t>8</w:t>
      </w:r>
      <w:r>
        <w:rPr>
          <w:rFonts w:asciiTheme="minorHAnsi" w:hAnsiTheme="minorHAnsi" w:eastAsiaTheme="minorEastAsia" w:cstheme="minorBidi"/>
          <w:kern w:val="2"/>
          <w:sz w:val="24"/>
          <w:szCs w:val="24"/>
          <w:lang w:val="en-US" w:eastAsia="en-US"/>
          <w14:ligatures w14:val="standardContextual"/>
        </w:rPr>
        <w:tab/>
      </w:r>
      <w:r>
        <w:rPr>
          <w:rStyle w:val="58"/>
          <w:lang w:val="en-US"/>
        </w:rPr>
        <w:t>Conclusion</w:t>
      </w:r>
      <w:r>
        <w:tab/>
      </w:r>
      <w:r>
        <w:fldChar w:fldCharType="begin"/>
      </w:r>
      <w:r>
        <w:instrText xml:space="preserve"> PAGEREF _Toc189845052 \h </w:instrText>
      </w:r>
      <w:r>
        <w:fldChar w:fldCharType="separate"/>
      </w:r>
      <w:r>
        <w:t>74</w:t>
      </w:r>
      <w:r>
        <w:fldChar w:fldCharType="end"/>
      </w:r>
      <w:r>
        <w:fldChar w:fldCharType="end"/>
      </w:r>
    </w:p>
    <w:p w14:paraId="3B2DD388">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"_Toc189845053" </w:instrText>
      </w:r>
      <w:r>
        <w:fldChar w:fldCharType="separate"/>
      </w:r>
      <w:r>
        <w:rPr>
          <w:rStyle w:val="58"/>
          <w:lang w:val="en-US"/>
        </w:rPr>
        <w:t>9</w:t>
      </w:r>
      <w:r>
        <w:rPr>
          <w:rFonts w:asciiTheme="minorHAnsi" w:hAnsiTheme="minorHAnsi" w:eastAsiaTheme="minorEastAsia" w:cstheme="minorBidi"/>
          <w:kern w:val="2"/>
          <w:sz w:val="24"/>
          <w:szCs w:val="24"/>
          <w:lang w:val="en-US" w:eastAsia="en-US"/>
          <w14:ligatures w14:val="standardContextual"/>
        </w:rPr>
        <w:tab/>
      </w:r>
      <w:r>
        <w:rPr>
          <w:rStyle w:val="58"/>
          <w:lang w:val="en-US"/>
        </w:rPr>
        <w:t>References</w:t>
      </w:r>
      <w:r>
        <w:tab/>
      </w:r>
      <w:r>
        <w:fldChar w:fldCharType="begin"/>
      </w:r>
      <w:r>
        <w:instrText xml:space="preserve"> PAGEREF _Toc189845053 \h </w:instrText>
      </w:r>
      <w:r>
        <w:fldChar w:fldCharType="separate"/>
      </w:r>
      <w:r>
        <w:t>85</w:t>
      </w:r>
      <w:r>
        <w:fldChar w:fldCharType="end"/>
      </w:r>
      <w:r>
        <w:fldChar w:fldCharType="end"/>
      </w:r>
    </w:p>
    <w:p w14:paraId="6818D535">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"_Toc189845054" </w:instrText>
      </w:r>
      <w:r>
        <w:fldChar w:fldCharType="separate"/>
      </w:r>
      <w:r>
        <w:rPr>
          <w:rStyle w:val="58"/>
          <w:lang w:val="en-US"/>
        </w:rPr>
        <w:t>10</w:t>
      </w:r>
      <w:r>
        <w:rPr>
          <w:rFonts w:asciiTheme="minorHAnsi" w:hAnsiTheme="minorHAnsi" w:eastAsiaTheme="minorEastAsia" w:cstheme="minorBidi"/>
          <w:kern w:val="2"/>
          <w:sz w:val="24"/>
          <w:szCs w:val="24"/>
          <w:lang w:val="en-US" w:eastAsia="en-US"/>
          <w14:ligatures w14:val="standardContextual"/>
        </w:rPr>
        <w:tab/>
      </w:r>
      <w:r>
        <w:rPr>
          <w:rStyle w:val="58"/>
          <w:lang w:val="en-US"/>
        </w:rPr>
        <w:t>Appendix A. High accuracy uncertainty and confidence as defined in TS 23.032</w:t>
      </w:r>
      <w:r>
        <w:tab/>
      </w:r>
      <w:r>
        <w:fldChar w:fldCharType="begin"/>
      </w:r>
      <w:r>
        <w:instrText xml:space="preserve"> PAGEREF _Toc189845054 \h </w:instrText>
      </w:r>
      <w:r>
        <w:fldChar w:fldCharType="separate"/>
      </w:r>
      <w:r>
        <w:t>85</w:t>
      </w:r>
      <w:r>
        <w:fldChar w:fldCharType="end"/>
      </w:r>
      <w:r>
        <w:fldChar w:fldCharType="end"/>
      </w:r>
    </w:p>
    <w:p w14:paraId="1BB83310">
      <w:pPr>
        <w:pStyle w:val="22"/>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"_Toc189845055" </w:instrText>
      </w:r>
      <w:r>
        <w:fldChar w:fldCharType="separate"/>
      </w:r>
      <w:r>
        <w:rPr>
          <w:rStyle w:val="58"/>
        </w:rPr>
        <w:t>11</w:t>
      </w:r>
      <w:r>
        <w:rPr>
          <w:rFonts w:asciiTheme="minorHAnsi" w:hAnsiTheme="minorHAnsi" w:eastAsiaTheme="minorEastAsia" w:cstheme="minorBidi"/>
          <w:kern w:val="2"/>
          <w:sz w:val="24"/>
          <w:szCs w:val="24"/>
          <w:lang w:val="en-US" w:eastAsia="en-US"/>
          <w14:ligatures w14:val="standardContextual"/>
        </w:rPr>
        <w:tab/>
      </w:r>
      <w:r>
        <w:rPr>
          <w:rStyle w:val="58"/>
        </w:rPr>
        <w:t xml:space="preserve">Appendix B. </w:t>
      </w:r>
      <w:r>
        <w:rPr>
          <w:rStyle w:val="58"/>
          <w:lang w:val="en-US"/>
        </w:rPr>
        <w:t>Model performance monitoring approaches</w:t>
      </w:r>
      <w:r>
        <w:tab/>
      </w:r>
      <w:r>
        <w:fldChar w:fldCharType="begin"/>
      </w:r>
      <w:r>
        <w:instrText xml:space="preserve"> PAGEREF _Toc189845055 \h </w:instrText>
      </w:r>
      <w:r>
        <w:fldChar w:fldCharType="separate"/>
      </w:r>
      <w:r>
        <w:t>87</w:t>
      </w:r>
      <w:r>
        <w:fldChar w:fldCharType="end"/>
      </w:r>
      <w:r>
        <w:fldChar w:fldCharType="end"/>
      </w:r>
    </w:p>
    <w:p w14:paraId="048BBA5E">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"_Toc189845056" </w:instrText>
      </w:r>
      <w:r>
        <w:fldChar w:fldCharType="separate"/>
      </w:r>
      <w:r>
        <w:rPr>
          <w:rStyle w:val="58"/>
        </w:rPr>
        <w:t>11.1.1</w:t>
      </w:r>
      <w:r>
        <w:rPr>
          <w:rFonts w:asciiTheme="minorHAnsi" w:hAnsiTheme="minorHAnsi" w:eastAsiaTheme="minorEastAsia" w:cstheme="minorBidi"/>
          <w:kern w:val="2"/>
          <w:sz w:val="24"/>
          <w:szCs w:val="24"/>
          <w:lang w:val="en-US" w:eastAsia="en-US"/>
          <w14:ligatures w14:val="standardContextual"/>
        </w:rPr>
        <w:tab/>
      </w:r>
      <w:r>
        <w:rPr>
          <w:rStyle w:val="58"/>
          <w:lang w:val="en-US"/>
        </w:rPr>
        <w:t>Monitoring approach 1 (Label-based): Opportunistic LoS links</w:t>
      </w:r>
      <w:r>
        <w:tab/>
      </w:r>
      <w:r>
        <w:fldChar w:fldCharType="begin"/>
      </w:r>
      <w:r>
        <w:instrText xml:space="preserve"> PAGEREF _Toc189845056 \h </w:instrText>
      </w:r>
      <w:r>
        <w:fldChar w:fldCharType="separate"/>
      </w:r>
      <w:r>
        <w:t>88</w:t>
      </w:r>
      <w:r>
        <w:fldChar w:fldCharType="end"/>
      </w:r>
      <w:r>
        <w:fldChar w:fldCharType="end"/>
      </w:r>
    </w:p>
    <w:p w14:paraId="7F795B8C">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"_Toc189845057" </w:instrText>
      </w:r>
      <w:r>
        <w:fldChar w:fldCharType="separate"/>
      </w:r>
      <w:r>
        <w:rPr>
          <w:rStyle w:val="58"/>
        </w:rPr>
        <w:t>11.1.2</w:t>
      </w:r>
      <w:r>
        <w:rPr>
          <w:rFonts w:asciiTheme="minorHAnsi" w:hAnsiTheme="minorHAnsi" w:eastAsiaTheme="minorEastAsia" w:cstheme="minorBidi"/>
          <w:kern w:val="2"/>
          <w:sz w:val="24"/>
          <w:szCs w:val="24"/>
          <w:lang w:val="en-US" w:eastAsia="en-US"/>
          <w14:ligatures w14:val="standardContextual"/>
        </w:rPr>
        <w:tab/>
      </w:r>
      <w:r>
        <w:rPr>
          <w:rStyle w:val="58"/>
        </w:rPr>
        <w:t xml:space="preserve">Monitoring approach 2 </w:t>
      </w:r>
      <w:r>
        <w:rPr>
          <w:rStyle w:val="58"/>
          <w:lang w:val="en-US"/>
        </w:rPr>
        <w:t>(Label-based)</w:t>
      </w:r>
      <w:r>
        <w:rPr>
          <w:rStyle w:val="58"/>
        </w:rPr>
        <w:t xml:space="preserve"> for assisted AI/ML positioning</w:t>
      </w:r>
      <w:r>
        <w:tab/>
      </w:r>
      <w:r>
        <w:fldChar w:fldCharType="begin"/>
      </w:r>
      <w:r>
        <w:instrText xml:space="preserve"> PAGEREF _Toc189845057 \h </w:instrText>
      </w:r>
      <w:r>
        <w:fldChar w:fldCharType="separate"/>
      </w:r>
      <w:r>
        <w:t>92</w:t>
      </w:r>
      <w:r>
        <w:fldChar w:fldCharType="end"/>
      </w:r>
      <w:r>
        <w:fldChar w:fldCharType="end"/>
      </w:r>
    </w:p>
    <w:p w14:paraId="6DB9FAEC">
      <w:pPr>
        <w:pStyle w:val="20"/>
        <w:rPr>
          <w:rFonts w:asciiTheme="minorHAnsi" w:hAnsiTheme="minorHAnsi" w:eastAsiaTheme="minorEastAsia" w:cstheme="minorBidi"/>
          <w:kern w:val="2"/>
          <w:sz w:val="24"/>
          <w:szCs w:val="24"/>
          <w:lang w:val="en-US" w:eastAsia="en-US"/>
          <w14:ligatures w14:val="standardContextual"/>
        </w:rPr>
      </w:pPr>
      <w:r>
        <w:fldChar w:fldCharType="begin"/>
      </w:r>
      <w:r>
        <w:instrText xml:space="preserve"> HYPERLINK \l "_Toc189845058" </w:instrText>
      </w:r>
      <w:r>
        <w:fldChar w:fldCharType="separate"/>
      </w:r>
      <w:r>
        <w:rPr>
          <w:rStyle w:val="58"/>
        </w:rPr>
        <w:t>11.1.3</w:t>
      </w:r>
      <w:r>
        <w:rPr>
          <w:rFonts w:asciiTheme="minorHAnsi" w:hAnsiTheme="minorHAnsi" w:eastAsiaTheme="minorEastAsia" w:cstheme="minorBidi"/>
          <w:kern w:val="2"/>
          <w:sz w:val="24"/>
          <w:szCs w:val="24"/>
          <w:lang w:val="en-US" w:eastAsia="en-US"/>
          <w14:ligatures w14:val="standardContextual"/>
        </w:rPr>
        <w:tab/>
      </w:r>
      <w:r>
        <w:rPr>
          <w:rStyle w:val="58"/>
        </w:rPr>
        <w:t xml:space="preserve">Monitoring approach 3 </w:t>
      </w:r>
      <w:r>
        <w:rPr>
          <w:rStyle w:val="58"/>
          <w:lang w:val="en-US"/>
        </w:rPr>
        <w:t>(Label-free)</w:t>
      </w:r>
      <w:r>
        <w:rPr>
          <w:rStyle w:val="58"/>
        </w:rPr>
        <w:t>: ML model self-monitoring</w:t>
      </w:r>
      <w:r>
        <w:tab/>
      </w:r>
      <w:r>
        <w:fldChar w:fldCharType="begin"/>
      </w:r>
      <w:r>
        <w:instrText xml:space="preserve"> PAGEREF _Toc189845058 \h </w:instrText>
      </w:r>
      <w:r>
        <w:fldChar w:fldCharType="separate"/>
      </w:r>
      <w:r>
        <w:t>94</w:t>
      </w:r>
      <w:r>
        <w:fldChar w:fldCharType="end"/>
      </w:r>
      <w:r>
        <w:fldChar w:fldCharType="end"/>
      </w:r>
    </w:p>
    <w:p w14:paraId="658E08B7">
      <w:pPr>
        <w:pStyle w:val="63"/>
      </w:pPr>
      <w:r>
        <w:fldChar w:fldCharType="end"/>
      </w:r>
    </w:p>
    <w:p w14:paraId="203458E0">
      <w:pPr>
        <w:pStyle w:val="2"/>
        <w:rPr>
          <w:lang w:val="en-US"/>
        </w:rPr>
      </w:pPr>
      <w:bookmarkStart w:id="0" w:name="_Toc189845005"/>
      <w:bookmarkStart w:id="1" w:name="_Toc165990973"/>
      <w:r>
        <w:rPr>
          <w:lang w:val="en-US"/>
        </w:rPr>
        <w:t>Introduction</w:t>
      </w:r>
      <w:bookmarkEnd w:id="0"/>
      <w:bookmarkEnd w:id="1"/>
    </w:p>
    <w:p w14:paraId="4E266DD4">
      <w:r>
        <w:t xml:space="preserve">In RAN#106 meeting, the WID was revised for Artificial Intelligence (AI)/Machine Learning (ML) for NR air interface </w:t>
      </w:r>
      <w:r>
        <w:fldChar w:fldCharType="begin"/>
      </w:r>
      <w:r>
        <w:instrText xml:space="preserve"> REF _Ref155559231 \r </w:instrText>
      </w:r>
      <w:r>
        <w:fldChar w:fldCharType="separate"/>
      </w:r>
      <w:r>
        <w:t>[5]</w:t>
      </w:r>
      <w:r>
        <w:fldChar w:fldCharType="end"/>
      </w:r>
      <w:r>
        <w:t>.</w:t>
      </w:r>
    </w:p>
    <w:p w14:paraId="5325414E">
      <w:pPr>
        <w:pStyle w:val="15"/>
      </w:pPr>
      <w:r>
        <w:t>The objective of the normative work is copied below. In this contribution, we focus on the normative work for the use case of positioning accuracy enhancements.</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9"/>
      </w:tblGrid>
      <w:tr w14:paraId="4AC4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9" w:type="dxa"/>
          </w:tcPr>
          <w:p w14:paraId="33502C64">
            <w:pPr>
              <w:spacing w:after="0"/>
              <w:rPr>
                <w:color w:val="0070C0"/>
                <w:sz w:val="20"/>
                <w:szCs w:val="20"/>
                <w:lang w:eastAsia="en-GB"/>
              </w:rPr>
            </w:pPr>
            <w:r>
              <w:rPr>
                <w:color w:val="0070C0"/>
                <w:sz w:val="20"/>
                <w:szCs w:val="20"/>
                <w:lang w:eastAsia="en-GB"/>
              </w:rPr>
              <w:t>Provide specification support for the following aspects:</w:t>
            </w:r>
          </w:p>
          <w:p w14:paraId="6DD26E83">
            <w:pPr>
              <w:numPr>
                <w:ilvl w:val="0"/>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AI/ML general framework for one-sided AI/ML models within the realm of what has been studied in the FS_NR_AIML_Air project [RAN2]:</w:t>
            </w:r>
          </w:p>
          <w:p w14:paraId="3CE67DF1">
            <w:pPr>
              <w:numPr>
                <w:ilvl w:val="1"/>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 xml:space="preserve">Signalling and protocol aspects of Life Cycle </w:t>
            </w:r>
            <w:r>
              <w:rPr>
                <w:sz w:val="20"/>
                <w:szCs w:val="20"/>
                <w:lang w:eastAsia="en-GB"/>
              </w:rPr>
              <w:t>Management (LCM) enabling functionality and model (if justified) selection, activation, deactivation, switching, fallback</w:t>
            </w:r>
          </w:p>
          <w:p w14:paraId="717A652F">
            <w:pPr>
              <w:numPr>
                <w:ilvl w:val="2"/>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 xml:space="preserve">Identification related signalling is part of the above objective </w:t>
            </w:r>
          </w:p>
          <w:p w14:paraId="7F88A5B8">
            <w:pPr>
              <w:numPr>
                <w:ilvl w:val="1"/>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Necessary signalling/mechanism(s) for LCM to facilitate model training, inference, performance monitoring, data collection (except for the purpose of CN/OAM/OTT collection of UE-sided model training data) for both UE-sided and NW-sided models</w:t>
            </w:r>
          </w:p>
          <w:p w14:paraId="384A888B">
            <w:pPr>
              <w:numPr>
                <w:ilvl w:val="1"/>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Signalling mechanism of applicable functionalities/models</w:t>
            </w:r>
          </w:p>
          <w:p w14:paraId="1E650A59">
            <w:pPr>
              <w:overflowPunct w:val="0"/>
              <w:autoSpaceDE w:val="0"/>
              <w:autoSpaceDN w:val="0"/>
              <w:adjustRightInd w:val="0"/>
              <w:spacing w:after="0"/>
              <w:ind w:left="720"/>
              <w:textAlignment w:val="baseline"/>
              <w:rPr>
                <w:rFonts w:eastAsia="Malgun Gothic"/>
                <w:sz w:val="20"/>
                <w:szCs w:val="20"/>
                <w:lang w:val="en-GB" w:eastAsia="en-GB"/>
              </w:rPr>
            </w:pPr>
          </w:p>
          <w:p w14:paraId="254AC79C">
            <w:pPr>
              <w:numPr>
                <w:ilvl w:val="0"/>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Beam management - DL Tx beam prediction for both UE-sided model and NW-sided model, encompassing [RAN1/RAN2]:</w:t>
            </w:r>
          </w:p>
          <w:p w14:paraId="40D865E4">
            <w:pPr>
              <w:numPr>
                <w:ilvl w:val="1"/>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Spatial-domain DL Tx beam prediction for Set A of beams based on measurement results of Set B of beams (“BM-Case1”)</w:t>
            </w:r>
          </w:p>
          <w:p w14:paraId="48C9BAD6">
            <w:pPr>
              <w:numPr>
                <w:ilvl w:val="1"/>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Temporal DL Tx beam prediction for Set A of beams based on the historic measurement results of Set B of beams (“BM-Case2”)</w:t>
            </w:r>
          </w:p>
          <w:p w14:paraId="7E1189DE">
            <w:pPr>
              <w:numPr>
                <w:ilvl w:val="1"/>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Specify necessary signalling/mechanism(s) to facilitate LCM operations specific to the Beam Management use cases, if any</w:t>
            </w:r>
          </w:p>
          <w:p w14:paraId="01E2F998">
            <w:pPr>
              <w:numPr>
                <w:ilvl w:val="1"/>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 xml:space="preserve">Enabling method(s) to ensure consistency between training and inference regarding NW-side additional conditions (if identified) for inference at UE </w:t>
            </w:r>
          </w:p>
          <w:p w14:paraId="7B8DFE14">
            <w:pPr>
              <w:overflowPunct w:val="0"/>
              <w:autoSpaceDE w:val="0"/>
              <w:autoSpaceDN w:val="0"/>
              <w:adjustRightInd w:val="0"/>
              <w:spacing w:after="0"/>
              <w:ind w:left="360" w:firstLine="720"/>
              <w:textAlignment w:val="baseline"/>
              <w:rPr>
                <w:rFonts w:eastAsia="Malgun Gothic"/>
                <w:sz w:val="20"/>
                <w:szCs w:val="20"/>
                <w:lang w:val="en-GB" w:eastAsia="en-GB"/>
              </w:rPr>
            </w:pPr>
            <w:r>
              <w:rPr>
                <w:rFonts w:eastAsia="Malgun Gothic"/>
                <w:sz w:val="20"/>
                <w:szCs w:val="20"/>
                <w:lang w:val="en-GB" w:eastAsia="en-GB"/>
              </w:rPr>
              <w:t>NOTE: Strive for common framework design to support both BM-Case1 and BM-Case2</w:t>
            </w:r>
          </w:p>
          <w:p w14:paraId="11593883">
            <w:pPr>
              <w:overflowPunct w:val="0"/>
              <w:autoSpaceDE w:val="0"/>
              <w:autoSpaceDN w:val="0"/>
              <w:adjustRightInd w:val="0"/>
              <w:spacing w:after="0"/>
              <w:ind w:left="720"/>
              <w:textAlignment w:val="baseline"/>
              <w:rPr>
                <w:rFonts w:eastAsia="Malgun Gothic"/>
                <w:sz w:val="20"/>
                <w:szCs w:val="20"/>
                <w:lang w:val="en-GB" w:eastAsia="en-GB"/>
              </w:rPr>
            </w:pPr>
          </w:p>
          <w:p w14:paraId="26D9ABB8">
            <w:pPr>
              <w:numPr>
                <w:ilvl w:val="0"/>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Positioning accuracy enhancements, encompassing [RAN1/RAN2/RAN3]:</w:t>
            </w:r>
          </w:p>
          <w:p w14:paraId="079D792E">
            <w:pPr>
              <w:numPr>
                <w:ilvl w:val="1"/>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 xml:space="preserve">Direct AI/ML </w:t>
            </w:r>
            <w:r>
              <w:rPr>
                <w:color w:val="0070C0"/>
                <w:sz w:val="20"/>
                <w:szCs w:val="20"/>
                <w:lang w:eastAsia="en-GB"/>
              </w:rPr>
              <w:t>positioning:</w:t>
            </w:r>
          </w:p>
          <w:p w14:paraId="3F3E8A31">
            <w:pPr>
              <w:numPr>
                <w:ilvl w:val="2"/>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(1</w:t>
            </w:r>
            <w:r>
              <w:rPr>
                <w:color w:val="0070C0"/>
                <w:sz w:val="20"/>
                <w:szCs w:val="20"/>
                <w:vertAlign w:val="superscript"/>
                <w:lang w:eastAsia="en-GB"/>
              </w:rPr>
              <w:t>st</w:t>
            </w:r>
            <w:r>
              <w:rPr>
                <w:color w:val="0070C0"/>
                <w:sz w:val="20"/>
                <w:szCs w:val="20"/>
                <w:lang w:eastAsia="en-GB"/>
              </w:rPr>
              <w:t xml:space="preserve"> priority) Case 1: UE-based positioning with UE-side model, direct AI/ML positioning</w:t>
            </w:r>
          </w:p>
          <w:p w14:paraId="5D484148">
            <w:pPr>
              <w:numPr>
                <w:ilvl w:val="2"/>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(2</w:t>
            </w:r>
            <w:r>
              <w:rPr>
                <w:color w:val="0070C0"/>
                <w:sz w:val="20"/>
                <w:szCs w:val="20"/>
                <w:vertAlign w:val="superscript"/>
                <w:lang w:eastAsia="en-GB"/>
              </w:rPr>
              <w:t>nd</w:t>
            </w:r>
            <w:r>
              <w:rPr>
                <w:color w:val="0070C0"/>
                <w:sz w:val="20"/>
                <w:szCs w:val="20"/>
                <w:lang w:eastAsia="en-GB"/>
              </w:rPr>
              <w:t xml:space="preserve"> priority) Case 2b: UE-assisted/LMF-based positioning with LMF-side model, direct AI/ML positioning</w:t>
            </w:r>
          </w:p>
          <w:p w14:paraId="37FD4BF0">
            <w:pPr>
              <w:numPr>
                <w:ilvl w:val="2"/>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(1</w:t>
            </w:r>
            <w:r>
              <w:rPr>
                <w:color w:val="0070C0"/>
                <w:sz w:val="20"/>
                <w:szCs w:val="20"/>
                <w:vertAlign w:val="superscript"/>
                <w:lang w:eastAsia="en-GB"/>
              </w:rPr>
              <w:t>st</w:t>
            </w:r>
            <w:r>
              <w:rPr>
                <w:color w:val="0070C0"/>
                <w:sz w:val="20"/>
                <w:szCs w:val="20"/>
                <w:lang w:eastAsia="en-GB"/>
              </w:rPr>
              <w:t xml:space="preserve"> priority) Case 3b: NG-RAN node assisted positioning with LMF-side model, direct AI/ML positioning</w:t>
            </w:r>
          </w:p>
          <w:p w14:paraId="0B56F56E">
            <w:pPr>
              <w:numPr>
                <w:ilvl w:val="1"/>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 xml:space="preserve">AI/ML assisted positioning </w:t>
            </w:r>
            <w:r>
              <w:rPr>
                <w:rFonts w:eastAsia="Malgun Gothic"/>
                <w:color w:val="0070C0"/>
                <w:sz w:val="20"/>
                <w:szCs w:val="20"/>
                <w:lang w:val="en-GB" w:eastAsia="en-GB"/>
              </w:rPr>
              <w:tab/>
            </w:r>
            <w:r>
              <w:rPr>
                <w:rFonts w:eastAsia="Malgun Gothic"/>
                <w:color w:val="0070C0"/>
                <w:sz w:val="20"/>
                <w:szCs w:val="20"/>
                <w:lang w:val="en-GB" w:eastAsia="en-GB"/>
              </w:rPr>
              <w:tab/>
            </w:r>
            <w:r>
              <w:rPr>
                <w:rFonts w:eastAsia="Malgun Gothic"/>
                <w:color w:val="0070C0"/>
                <w:sz w:val="20"/>
                <w:szCs w:val="20"/>
                <w:lang w:val="en-GB" w:eastAsia="en-GB"/>
              </w:rPr>
              <w:t xml:space="preserve"> </w:t>
            </w:r>
          </w:p>
          <w:p w14:paraId="22123C21">
            <w:pPr>
              <w:numPr>
                <w:ilvl w:val="2"/>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(2</w:t>
            </w:r>
            <w:r>
              <w:rPr>
                <w:color w:val="0070C0"/>
                <w:sz w:val="20"/>
                <w:szCs w:val="20"/>
                <w:vertAlign w:val="superscript"/>
                <w:lang w:eastAsia="en-GB"/>
              </w:rPr>
              <w:t>nd</w:t>
            </w:r>
            <w:r>
              <w:rPr>
                <w:color w:val="0070C0"/>
                <w:sz w:val="20"/>
                <w:szCs w:val="20"/>
                <w:lang w:eastAsia="en-GB"/>
              </w:rPr>
              <w:t xml:space="preserve"> priority) Case 2a: UE-assisted/LMF-based positioning with UE-side model, AI/ML assisted positioning</w:t>
            </w:r>
            <w:r>
              <w:rPr>
                <w:color w:val="0070C0"/>
                <w:sz w:val="20"/>
                <w:szCs w:val="20"/>
                <w:lang w:eastAsia="en-GB"/>
              </w:rPr>
              <w:tab/>
            </w:r>
          </w:p>
          <w:p w14:paraId="30997630">
            <w:pPr>
              <w:numPr>
                <w:ilvl w:val="2"/>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(1</w:t>
            </w:r>
            <w:r>
              <w:rPr>
                <w:color w:val="0070C0"/>
                <w:sz w:val="20"/>
                <w:szCs w:val="20"/>
                <w:vertAlign w:val="superscript"/>
                <w:lang w:eastAsia="en-GB"/>
              </w:rPr>
              <w:t>st</w:t>
            </w:r>
            <w:r>
              <w:rPr>
                <w:color w:val="0070C0"/>
                <w:sz w:val="20"/>
                <w:szCs w:val="20"/>
                <w:lang w:eastAsia="en-GB"/>
              </w:rPr>
              <w:t xml:space="preserve"> priority) Case 3a: NG-RAN node assisted positioning with gNB-side model, AI/ML assisted positioning</w:t>
            </w:r>
          </w:p>
          <w:p w14:paraId="0A57CBC2">
            <w:pPr>
              <w:numPr>
                <w:ilvl w:val="1"/>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Specify necessary measurements, signalling/mechanism(s) to facilitate LCM operations specific to the Positioning accuracy enhancements use cases, if any</w:t>
            </w:r>
          </w:p>
          <w:p w14:paraId="65308D6B">
            <w:pPr>
              <w:numPr>
                <w:ilvl w:val="1"/>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Investigate and specify the necessary signalling of necessary measurement enhancements (if any)</w:t>
            </w:r>
          </w:p>
          <w:p w14:paraId="12AE27B4">
            <w:pPr>
              <w:numPr>
                <w:ilvl w:val="1"/>
                <w:numId w:val="18"/>
              </w:numPr>
              <w:overflowPunct w:val="0"/>
              <w:autoSpaceDE w:val="0"/>
              <w:autoSpaceDN w:val="0"/>
              <w:adjustRightInd w:val="0"/>
              <w:spacing w:after="0"/>
              <w:textAlignment w:val="baseline"/>
              <w:rPr>
                <w:color w:val="0070C0"/>
                <w:sz w:val="20"/>
                <w:szCs w:val="20"/>
                <w:lang w:eastAsia="en-GB"/>
              </w:rPr>
            </w:pPr>
            <w:r>
              <w:rPr>
                <w:rFonts w:eastAsia="Malgun Gothic"/>
                <w:color w:val="0070C0"/>
                <w:sz w:val="20"/>
                <w:szCs w:val="20"/>
                <w:lang w:val="en-GB" w:eastAsia="en-GB"/>
              </w:rPr>
              <w:t>Enabling method(s) to ensure consistency between training and inference regarding NW-side additional conditions (if identified) for inference at UE for relevant positioning sub use cases</w:t>
            </w:r>
          </w:p>
          <w:p w14:paraId="3E35D219">
            <w:pPr>
              <w:numPr>
                <w:ilvl w:val="1"/>
                <w:numId w:val="18"/>
              </w:numPr>
              <w:overflowPunct w:val="0"/>
              <w:autoSpaceDE w:val="0"/>
              <w:autoSpaceDN w:val="0"/>
              <w:adjustRightInd w:val="0"/>
              <w:spacing w:after="0"/>
              <w:textAlignment w:val="baseline"/>
              <w:rPr>
                <w:rFonts w:eastAsia="Malgun Gothic"/>
                <w:color w:val="0070C0"/>
                <w:sz w:val="20"/>
                <w:szCs w:val="20"/>
                <w:lang w:val="en-GB" w:eastAsia="en-GB"/>
              </w:rPr>
            </w:pPr>
            <w:r>
              <w:rPr>
                <w:rFonts w:eastAsia="Malgun Gothic"/>
                <w:color w:val="0070C0"/>
                <w:sz w:val="20"/>
                <w:szCs w:val="20"/>
                <w:lang w:val="en-GB" w:eastAsia="en-GB"/>
              </w:rPr>
              <w:t>Note: RAN1 will not discuss any proposals targeting 2</w:t>
            </w:r>
            <w:r>
              <w:rPr>
                <w:rFonts w:eastAsia="Malgun Gothic"/>
                <w:color w:val="0070C0"/>
                <w:sz w:val="20"/>
                <w:szCs w:val="20"/>
                <w:vertAlign w:val="superscript"/>
                <w:lang w:val="en-GB" w:eastAsia="en-GB"/>
              </w:rPr>
              <w:t>nd</w:t>
            </w:r>
            <w:r>
              <w:rPr>
                <w:rFonts w:eastAsia="Malgun Gothic"/>
                <w:color w:val="0070C0"/>
                <w:sz w:val="20"/>
                <w:szCs w:val="20"/>
                <w:lang w:val="en-GB" w:eastAsia="en-GB"/>
              </w:rPr>
              <w:t xml:space="preserve"> priority issues in Q4 of 2024.</w:t>
            </w:r>
          </w:p>
          <w:p w14:paraId="31C9DB48">
            <w:pPr>
              <w:overflowPunct w:val="0"/>
              <w:autoSpaceDE w:val="0"/>
              <w:autoSpaceDN w:val="0"/>
              <w:adjustRightInd w:val="0"/>
              <w:spacing w:after="0"/>
              <w:textAlignment w:val="baseline"/>
              <w:rPr>
                <w:rFonts w:eastAsia="Malgun Gothic"/>
                <w:sz w:val="20"/>
                <w:szCs w:val="20"/>
                <w:lang w:val="en-GB" w:eastAsia="en-GB"/>
              </w:rPr>
            </w:pPr>
          </w:p>
          <w:p w14:paraId="27EE1699">
            <w:pPr>
              <w:numPr>
                <w:ilvl w:val="0"/>
                <w:numId w:val="18"/>
              </w:numPr>
              <w:overflowPunct w:val="0"/>
              <w:autoSpaceDE w:val="0"/>
              <w:autoSpaceDN w:val="0"/>
              <w:adjustRightInd w:val="0"/>
              <w:spacing w:after="0"/>
              <w:textAlignment w:val="baseline"/>
              <w:rPr>
                <w:rFonts w:eastAsia="Malgun Gothic"/>
                <w:sz w:val="20"/>
                <w:szCs w:val="20"/>
                <w:lang w:val="en-GB" w:eastAsia="en-GB"/>
              </w:rPr>
            </w:pPr>
            <w:r>
              <w:rPr>
                <w:rFonts w:eastAsia="Malgun Gothic"/>
                <w:sz w:val="20"/>
                <w:szCs w:val="20"/>
                <w:lang w:val="en-GB" w:eastAsia="en-GB"/>
              </w:rPr>
              <w:t xml:space="preserve">CSI feedback enhancement, encompassing [RAN1/RAN2]: </w:t>
            </w:r>
          </w:p>
          <w:p w14:paraId="73E5C352">
            <w:pPr>
              <w:numPr>
                <w:ilvl w:val="1"/>
                <w:numId w:val="18"/>
              </w:numPr>
              <w:overflowPunct w:val="0"/>
              <w:autoSpaceDE w:val="0"/>
              <w:autoSpaceDN w:val="0"/>
              <w:adjustRightInd w:val="0"/>
              <w:spacing w:after="0"/>
              <w:textAlignment w:val="baseline"/>
              <w:rPr>
                <w:rFonts w:eastAsia="Malgun Gothic"/>
                <w:sz w:val="20"/>
                <w:szCs w:val="20"/>
                <w:lang w:val="en-GB" w:eastAsia="en-GB"/>
              </w:rPr>
            </w:pPr>
            <w:r>
              <w:rPr>
                <w:rFonts w:eastAsia="Malgun Gothic"/>
                <w:sz w:val="20"/>
                <w:szCs w:val="20"/>
                <w:lang w:val="en-GB" w:eastAsia="en-GB"/>
              </w:rPr>
              <w:t xml:space="preserve">CSI prediction (UE-sided model): </w:t>
            </w:r>
          </w:p>
          <w:p w14:paraId="50831587">
            <w:pPr>
              <w:numPr>
                <w:ilvl w:val="2"/>
                <w:numId w:val="18"/>
              </w:numPr>
              <w:overflowPunct w:val="0"/>
              <w:autoSpaceDE w:val="0"/>
              <w:autoSpaceDN w:val="0"/>
              <w:adjustRightInd w:val="0"/>
              <w:spacing w:after="0"/>
              <w:textAlignment w:val="baseline"/>
              <w:rPr>
                <w:rFonts w:eastAsia="Malgun Gothic"/>
                <w:sz w:val="20"/>
                <w:szCs w:val="20"/>
                <w:lang w:val="en-GB" w:eastAsia="en-GB"/>
              </w:rPr>
            </w:pPr>
            <w:r>
              <w:rPr>
                <w:rFonts w:eastAsia="Malgun Gothic"/>
                <w:sz w:val="20"/>
                <w:szCs w:val="20"/>
                <w:lang w:val="en-GB" w:eastAsia="en-GB"/>
              </w:rPr>
              <w:t>Functionality-based LCM leveraged from other use cases, when necessary and applicable,</w:t>
            </w:r>
          </w:p>
          <w:p w14:paraId="4FDDB5E2">
            <w:pPr>
              <w:numPr>
                <w:ilvl w:val="2"/>
                <w:numId w:val="18"/>
              </w:numPr>
              <w:overflowPunct w:val="0"/>
              <w:autoSpaceDE w:val="0"/>
              <w:autoSpaceDN w:val="0"/>
              <w:adjustRightInd w:val="0"/>
              <w:spacing w:after="0"/>
              <w:textAlignment w:val="baseline"/>
              <w:rPr>
                <w:rFonts w:eastAsia="Malgun Gothic"/>
                <w:sz w:val="20"/>
                <w:szCs w:val="20"/>
                <w:lang w:val="en-GB" w:eastAsia="en-GB"/>
              </w:rPr>
            </w:pPr>
            <w:r>
              <w:rPr>
                <w:rFonts w:eastAsia="Malgun Gothic"/>
                <w:sz w:val="20"/>
                <w:szCs w:val="20"/>
                <w:lang w:val="en-GB" w:eastAsia="en-GB"/>
              </w:rPr>
              <w:t>Study, and if necessary, specify consistency of training/inference,</w:t>
            </w:r>
          </w:p>
          <w:p w14:paraId="079770C7">
            <w:pPr>
              <w:numPr>
                <w:ilvl w:val="2"/>
                <w:numId w:val="18"/>
              </w:numPr>
              <w:overflowPunct w:val="0"/>
              <w:autoSpaceDE w:val="0"/>
              <w:autoSpaceDN w:val="0"/>
              <w:adjustRightInd w:val="0"/>
              <w:spacing w:after="0"/>
              <w:textAlignment w:val="baseline"/>
              <w:rPr>
                <w:rFonts w:eastAsia="Malgun Gothic"/>
                <w:sz w:val="20"/>
                <w:szCs w:val="20"/>
                <w:lang w:val="en-GB" w:eastAsia="en-GB"/>
              </w:rPr>
            </w:pPr>
            <w:r>
              <w:rPr>
                <w:rFonts w:eastAsia="Malgun Gothic"/>
                <w:sz w:val="20"/>
                <w:szCs w:val="20"/>
                <w:lang w:val="en-GB" w:eastAsia="en-GB"/>
              </w:rPr>
              <w:t>Note: Normative work in RAN1 for CSI prediction will start from Q1 of 2025</w:t>
            </w:r>
          </w:p>
          <w:p w14:paraId="57CE3551">
            <w:pPr>
              <w:overflowPunct w:val="0"/>
              <w:autoSpaceDE w:val="0"/>
              <w:autoSpaceDN w:val="0"/>
              <w:adjustRightInd w:val="0"/>
              <w:spacing w:after="0"/>
              <w:ind w:left="720"/>
              <w:textAlignment w:val="baseline"/>
              <w:rPr>
                <w:rFonts w:eastAsia="Malgun Gothic"/>
                <w:sz w:val="20"/>
                <w:szCs w:val="20"/>
                <w:lang w:val="en-GB" w:eastAsia="en-GB"/>
              </w:rPr>
            </w:pPr>
          </w:p>
          <w:p w14:paraId="1CE05904">
            <w:pPr>
              <w:numPr>
                <w:ilvl w:val="0"/>
                <w:numId w:val="18"/>
              </w:numPr>
              <w:overflowPunct w:val="0"/>
              <w:autoSpaceDE w:val="0"/>
              <w:autoSpaceDN w:val="0"/>
              <w:adjustRightInd w:val="0"/>
              <w:spacing w:after="0"/>
              <w:textAlignment w:val="baseline"/>
              <w:rPr>
                <w:rFonts w:eastAsia="Malgun Gothic"/>
                <w:sz w:val="20"/>
                <w:szCs w:val="20"/>
                <w:lang w:eastAsia="en-GB"/>
              </w:rPr>
            </w:pPr>
            <w:r>
              <w:rPr>
                <w:rFonts w:eastAsia="Batang"/>
                <w:sz w:val="20"/>
                <w:szCs w:val="20"/>
                <w:lang w:val="en-GB" w:eastAsia="zh-CN"/>
              </w:rPr>
              <w:t xml:space="preserve">Core requirements for </w:t>
            </w:r>
            <w:r>
              <w:rPr>
                <w:rFonts w:eastAsia="Malgun Gothic"/>
                <w:sz w:val="20"/>
                <w:szCs w:val="20"/>
                <w:lang w:eastAsia="en-GB"/>
              </w:rPr>
              <w:t xml:space="preserve">the above two use cases for AI/ML </w:t>
            </w:r>
            <w:r>
              <w:rPr>
                <w:sz w:val="20"/>
                <w:szCs w:val="20"/>
              </w:rPr>
              <w:t>LCM procedures and UE features [RAN4]:</w:t>
            </w:r>
          </w:p>
          <w:p w14:paraId="65C3BA34">
            <w:pPr>
              <w:numPr>
                <w:ilvl w:val="1"/>
                <w:numId w:val="18"/>
              </w:numPr>
              <w:overflowPunct w:val="0"/>
              <w:autoSpaceDE w:val="0"/>
              <w:autoSpaceDN w:val="0"/>
              <w:adjustRightInd w:val="0"/>
              <w:spacing w:after="0"/>
              <w:textAlignment w:val="baseline"/>
              <w:rPr>
                <w:sz w:val="20"/>
                <w:szCs w:val="20"/>
                <w:lang w:eastAsia="en-GB"/>
              </w:rPr>
            </w:pPr>
            <w:r>
              <w:rPr>
                <w:rFonts w:eastAsia="Malgun Gothic"/>
                <w:sz w:val="20"/>
                <w:szCs w:val="20"/>
                <w:lang w:val="en-GB" w:eastAsia="en-GB"/>
              </w:rPr>
              <w:t>Specify necessary RAN4 core requirements for the above three use cases. This includes the test setup and methodology for the beam management use case.</w:t>
            </w:r>
          </w:p>
          <w:p w14:paraId="3CFCD6AA">
            <w:pPr>
              <w:numPr>
                <w:ilvl w:val="1"/>
                <w:numId w:val="18"/>
              </w:numPr>
              <w:overflowPunct w:val="0"/>
              <w:autoSpaceDE w:val="0"/>
              <w:autoSpaceDN w:val="0"/>
              <w:adjustRightInd w:val="0"/>
              <w:spacing w:after="0"/>
              <w:textAlignment w:val="baseline"/>
              <w:rPr>
                <w:rFonts w:eastAsia="Malgun Gothic"/>
                <w:sz w:val="20"/>
                <w:szCs w:val="20"/>
                <w:lang w:val="en-GB" w:eastAsia="en-GB"/>
              </w:rPr>
            </w:pPr>
            <w:r>
              <w:rPr>
                <w:rFonts w:eastAsia="Batang"/>
                <w:sz w:val="20"/>
                <w:szCs w:val="20"/>
                <w:lang w:val="en-GB" w:eastAsia="zh-CN"/>
              </w:rPr>
              <w:t>Specify necessary RAN4 core requirements for LCM procedures including performance monitoring.</w:t>
            </w:r>
          </w:p>
        </w:tc>
      </w:tr>
    </w:tbl>
    <w:p w14:paraId="5C8B2748">
      <w:pPr>
        <w:pStyle w:val="15"/>
      </w:pPr>
    </w:p>
    <w:p w14:paraId="42A3A09B">
      <w:pPr>
        <w:pStyle w:val="2"/>
        <w:rPr>
          <w:lang w:val="en-US"/>
        </w:rPr>
      </w:pPr>
      <w:bookmarkStart w:id="2" w:name="_Toc189845006"/>
      <w:bookmarkStart w:id="3" w:name="_Toc165990974"/>
      <w:r>
        <w:rPr>
          <w:lang w:val="en-US"/>
        </w:rPr>
        <w:t>Integrating AI/ML based positioning methods with existing protocol</w:t>
      </w:r>
      <w:bookmarkEnd w:id="2"/>
      <w:r>
        <w:rPr>
          <w:lang w:val="en-US"/>
        </w:rPr>
        <w:t xml:space="preserve"> </w:t>
      </w:r>
    </w:p>
    <w:p w14:paraId="7B9206C8">
      <w:r>
        <w:t>In order to specify enhancements to enable AI/ML based positioning, a framework issue to consider is how to integrate the AI/ML based methods with existing protocol. Different phases of AIML operations will map to different procedures and it is important to understand what is already available and what must be introduced to the specifications. Even if RAN2 is the driving force for such new high level procedure, RAN1 needs to understand these procedures to go forward.  In our RAN2 contribution, we present our view for AI/ML positioning integration into the positioning framework.  At a high level, the LCM procedures for each case are model inference, model monitoring and data collection.</w:t>
      </w:r>
    </w:p>
    <w:p w14:paraId="4CADC347">
      <w:pPr>
        <w:pStyle w:val="3"/>
        <w:rPr>
          <w:lang w:val="en-US"/>
        </w:rPr>
      </w:pPr>
      <w:bookmarkStart w:id="4" w:name="_Toc189845007"/>
      <w:r>
        <w:rPr>
          <w:lang w:val="en-US"/>
        </w:rPr>
        <w:t>Cases with AI/ML model hosted in the UE (Case 1)</w:t>
      </w:r>
      <w:bookmarkEnd w:id="4"/>
    </w:p>
    <w:p w14:paraId="2F27E357">
      <w:r>
        <w:t xml:space="preserve">Case 1 is a UE based positioning case. The 3GPP positioning framework currently supports two methods for UE based positioning, namely DL-AoD and DL-TDOA based positioning. Additionally, these methods can be initiated either by the network (LMF) via MT LR procedures, or by the UE via MO LR procedures. To support Case 1, an existing procedure can be reused or a completely new procedure with associated AD transfer, capability transfer and location request procedures can be designed.  </w:t>
      </w:r>
    </w:p>
    <w:p w14:paraId="28494C23">
      <w:r>
        <w:t xml:space="preserve">Assistance data for case 1 was agreed to cover the assistance data for DL TDOA in RAN1#119.  In our view, the agreement is sufficient, and there is no need to consider further methods. </w:t>
      </w:r>
    </w:p>
    <w:p w14:paraId="04C23170">
      <w:pPr>
        <w:pStyle w:val="73"/>
      </w:pPr>
      <w:bookmarkStart w:id="5" w:name="_Toc189845097"/>
      <w:r>
        <w:t>RAN1 assumes Case 1 is supported using UE based DL-TDOA procedures as a foundation. It is up to RAN2 to decide whether a set of new procedure is to be defined for Case 1, or extension to DL-TDOA suffices. RAN1 confirms the understanding with RAN2.</w:t>
      </w:r>
      <w:bookmarkEnd w:id="5"/>
      <w:r>
        <w:t xml:space="preserve">  </w:t>
      </w:r>
    </w:p>
    <w:p w14:paraId="2D79C58D">
      <w:pPr>
        <w:pStyle w:val="3"/>
        <w:rPr>
          <w:lang w:val="en-US"/>
        </w:rPr>
      </w:pPr>
      <w:bookmarkStart w:id="6" w:name="_Toc178705829"/>
      <w:bookmarkEnd w:id="6"/>
      <w:bookmarkStart w:id="7" w:name="_Toc178704931"/>
      <w:bookmarkEnd w:id="7"/>
      <w:bookmarkStart w:id="8" w:name="_Toc178708811"/>
      <w:bookmarkEnd w:id="8"/>
      <w:bookmarkStart w:id="9" w:name="_Toc178929507"/>
      <w:bookmarkEnd w:id="9"/>
      <w:bookmarkStart w:id="10" w:name="_Toc178704928"/>
      <w:bookmarkEnd w:id="10"/>
      <w:bookmarkStart w:id="11" w:name="_Toc178929505"/>
      <w:bookmarkEnd w:id="11"/>
      <w:bookmarkStart w:id="12" w:name="_Toc178772530"/>
      <w:bookmarkEnd w:id="12"/>
      <w:bookmarkStart w:id="13" w:name="_Toc178705832"/>
      <w:bookmarkEnd w:id="13"/>
      <w:bookmarkStart w:id="14" w:name="_Toc178929506"/>
      <w:bookmarkEnd w:id="14"/>
      <w:bookmarkStart w:id="15" w:name="_Toc178929503"/>
      <w:bookmarkEnd w:id="15"/>
      <w:bookmarkStart w:id="16" w:name="_Toc178929504"/>
      <w:bookmarkEnd w:id="16"/>
      <w:bookmarkStart w:id="17" w:name="_Toc178705833"/>
      <w:bookmarkEnd w:id="17"/>
      <w:bookmarkStart w:id="18" w:name="_Toc178772533"/>
      <w:bookmarkEnd w:id="18"/>
      <w:bookmarkStart w:id="19" w:name="_Toc178772529"/>
      <w:bookmarkEnd w:id="19"/>
      <w:bookmarkStart w:id="20" w:name="_Toc178708808"/>
      <w:bookmarkEnd w:id="20"/>
      <w:bookmarkStart w:id="21" w:name="_Toc178705830"/>
      <w:bookmarkEnd w:id="21"/>
      <w:bookmarkStart w:id="22" w:name="_Toc178704929"/>
      <w:bookmarkEnd w:id="22"/>
      <w:bookmarkStart w:id="23" w:name="_Toc178705831"/>
      <w:bookmarkEnd w:id="23"/>
      <w:bookmarkStart w:id="24" w:name="_Toc178708809"/>
      <w:bookmarkEnd w:id="24"/>
      <w:bookmarkStart w:id="25" w:name="_Toc178772531"/>
      <w:bookmarkEnd w:id="25"/>
      <w:bookmarkStart w:id="26" w:name="_Toc178704930"/>
      <w:bookmarkEnd w:id="26"/>
      <w:bookmarkStart w:id="27" w:name="_Toc178708807"/>
      <w:bookmarkEnd w:id="27"/>
      <w:bookmarkStart w:id="28" w:name="_Toc178704927"/>
      <w:bookmarkEnd w:id="28"/>
      <w:bookmarkStart w:id="29" w:name="_Toc178708810"/>
      <w:bookmarkEnd w:id="29"/>
      <w:bookmarkStart w:id="30" w:name="_Toc178772532"/>
      <w:bookmarkEnd w:id="30"/>
      <w:bookmarkStart w:id="31" w:name="_Toc189845008"/>
      <w:r>
        <w:rPr>
          <w:lang w:val="en-US"/>
        </w:rPr>
        <w:t>Case with AI/ML model hosted in the TRP/gNB (Case 3a)</w:t>
      </w:r>
      <w:bookmarkEnd w:id="31"/>
    </w:p>
    <w:p w14:paraId="10821E94">
      <w:r>
        <w:t>In RAN1#118, uplink positioning for case 3a was discussed with the following outcome:</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7620C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6ADBCE22">
            <w:pPr>
              <w:spacing w:after="0"/>
              <w:rPr>
                <w:rFonts w:ascii="Times New Roman" w:hAnsi="Times New Roman" w:eastAsia="等线" w:cs="Times New Roman"/>
                <w:sz w:val="20"/>
                <w:szCs w:val="20"/>
                <w:lang w:eastAsia="zh-CN"/>
              </w:rPr>
            </w:pPr>
            <w:r>
              <w:rPr>
                <w:rFonts w:ascii="Times New Roman" w:hAnsi="Times New Roman" w:eastAsia="等线" w:cs="Times New Roman"/>
                <w:sz w:val="20"/>
                <w:szCs w:val="20"/>
                <w:lang w:eastAsia="zh-CN"/>
              </w:rPr>
              <w:t>Conclusion</w:t>
            </w:r>
          </w:p>
          <w:p w14:paraId="0D7FDB4D">
            <w:pPr>
              <w:spacing w:after="0"/>
              <w:rPr>
                <w:rFonts w:ascii="Times New Roman" w:hAnsi="Times New Roman" w:cs="Times New Roman"/>
                <w:sz w:val="20"/>
                <w:szCs w:val="20"/>
              </w:rPr>
            </w:pPr>
            <w:r>
              <w:rPr>
                <w:rFonts w:ascii="Times New Roman" w:hAnsi="Times New Roman" w:eastAsia="Calibri" w:cs="Times New Roman"/>
                <w:sz w:val="20"/>
                <w:szCs w:val="20"/>
              </w:rPr>
              <w:t>From RAN1 perspective,</w:t>
            </w:r>
            <w:r>
              <w:rPr>
                <w:rFonts w:ascii="Times New Roman" w:hAnsi="Times New Roman" w:cs="Times New Roman"/>
                <w:sz w:val="20"/>
                <w:szCs w:val="20"/>
              </w:rPr>
              <w:t xml:space="preserve"> for Case 3a measurements,  </w:t>
            </w:r>
          </w:p>
          <w:p w14:paraId="7D0CD07E">
            <w:pPr>
              <w:pStyle w:val="133"/>
              <w:numPr>
                <w:ilvl w:val="0"/>
                <w:numId w:val="19"/>
              </w:numPr>
              <w:spacing w:line="276" w:lineRule="auto"/>
              <w:rPr>
                <w:rFonts w:ascii="Times New Roman" w:hAnsi="Times New Roman" w:cs="Times New Roman"/>
                <w:sz w:val="20"/>
              </w:rPr>
            </w:pPr>
            <w:r>
              <w:rPr>
                <w:rFonts w:ascii="Times New Roman" w:hAnsi="Times New Roman" w:cs="Times New Roman"/>
                <w:sz w:val="20"/>
              </w:rPr>
              <w:t xml:space="preserve">The existing procedures </w:t>
            </w:r>
            <w:r>
              <w:rPr>
                <w:rFonts w:ascii="Times New Roman" w:hAnsi="Times New Roman" w:eastAsia="等线" w:cs="Times New Roman"/>
                <w:sz w:val="20"/>
              </w:rPr>
              <w:t xml:space="preserve">can be </w:t>
            </w:r>
            <w:r>
              <w:rPr>
                <w:rFonts w:ascii="Times New Roman" w:hAnsi="Times New Roman" w:cs="Times New Roman"/>
                <w:sz w:val="20"/>
              </w:rPr>
              <w:t>reused in terms of SRS configuration.</w:t>
            </w:r>
          </w:p>
          <w:p w14:paraId="6FA76277">
            <w:pPr>
              <w:pStyle w:val="133"/>
              <w:numPr>
                <w:ilvl w:val="1"/>
                <w:numId w:val="19"/>
              </w:numPr>
              <w:spacing w:line="276" w:lineRule="auto"/>
              <w:rPr>
                <w:rFonts w:ascii="Times New Roman" w:hAnsi="Times New Roman" w:cs="Times New Roman"/>
                <w:sz w:val="20"/>
              </w:rPr>
            </w:pPr>
            <w:r>
              <w:rPr>
                <w:rFonts w:ascii="Times New Roman" w:hAnsi="Times New Roman" w:cs="Times New Roman"/>
                <w:sz w:val="20"/>
              </w:rPr>
              <w:t>Note: parameter values for SRS configuration can be further discussed</w:t>
            </w:r>
          </w:p>
          <w:p w14:paraId="03795044">
            <w:pPr>
              <w:pStyle w:val="133"/>
              <w:numPr>
                <w:ilvl w:val="0"/>
                <w:numId w:val="19"/>
              </w:numPr>
              <w:spacing w:line="276" w:lineRule="auto"/>
              <w:rPr>
                <w:rFonts w:ascii="Times New Roman" w:hAnsi="Times New Roman" w:cs="Times New Roman"/>
                <w:sz w:val="20"/>
              </w:rPr>
            </w:pPr>
            <w:r>
              <w:rPr>
                <w:rFonts w:ascii="Times New Roman" w:hAnsi="Times New Roman" w:cs="Times New Roman"/>
                <w:sz w:val="20"/>
              </w:rPr>
              <w:t xml:space="preserve">These measurements can be used for multiple aspects related to case 3a, e.g. training data collection, monitoring, or inference procedures. </w:t>
            </w:r>
          </w:p>
          <w:p w14:paraId="6008FCDE">
            <w:pPr>
              <w:numPr>
                <w:ilvl w:val="0"/>
                <w:numId w:val="19"/>
              </w:numPr>
              <w:spacing w:after="0"/>
              <w:rPr>
                <w:rFonts w:ascii="Times New Roman" w:hAnsi="Times New Roman" w:cs="Times New Roman"/>
                <w:sz w:val="20"/>
                <w:szCs w:val="20"/>
              </w:rPr>
            </w:pPr>
            <w:r>
              <w:rPr>
                <w:rFonts w:ascii="Times New Roman" w:hAnsi="Times New Roman" w:cs="Times New Roman"/>
                <w:sz w:val="20"/>
                <w:szCs w:val="20"/>
              </w:rPr>
              <w:t>Note: Purpose, such as the</w:t>
            </w:r>
            <w:r>
              <w:rPr>
                <w:rFonts w:ascii="Times New Roman" w:hAnsi="Times New Roman" w:eastAsia="等线" w:cs="Times New Roman"/>
                <w:sz w:val="20"/>
                <w:szCs w:val="20"/>
                <w:lang w:eastAsia="zh-CN"/>
              </w:rPr>
              <w:t xml:space="preserve"> training</w:t>
            </w:r>
            <w:r>
              <w:rPr>
                <w:rFonts w:ascii="Times New Roman" w:hAnsi="Times New Roman" w:cs="Times New Roman"/>
                <w:sz w:val="20"/>
                <w:szCs w:val="20"/>
              </w:rPr>
              <w:t xml:space="preserve"> data collection</w:t>
            </w:r>
            <w:r>
              <w:rPr>
                <w:rFonts w:ascii="Times New Roman" w:hAnsi="Times New Roman" w:eastAsia="等线" w:cs="Times New Roman"/>
                <w:sz w:val="20"/>
                <w:szCs w:val="20"/>
                <w:lang w:eastAsia="zh-CN"/>
              </w:rPr>
              <w:t>,</w:t>
            </w:r>
            <w:r>
              <w:rPr>
                <w:rFonts w:ascii="Times New Roman" w:hAnsi="Times New Roman" w:cs="Times New Roman"/>
                <w:sz w:val="20"/>
                <w:szCs w:val="20"/>
              </w:rPr>
              <w:t xml:space="preserve"> monitoring, or inference procedures mentioned above, will not necessarily be specified in RAN 1 specifications</w:t>
            </w:r>
          </w:p>
          <w:p w14:paraId="53D9CB61">
            <w:pPr>
              <w:spacing w:after="0"/>
              <w:rPr>
                <w:rFonts w:ascii="Times New Roman" w:hAnsi="Times New Roman" w:eastAsia="等线" w:cs="Times New Roman"/>
                <w:b/>
                <w:bCs/>
                <w:sz w:val="20"/>
                <w:szCs w:val="20"/>
                <w:highlight w:val="green"/>
                <w:lang w:eastAsia="zh-CN"/>
              </w:rPr>
            </w:pPr>
            <w:r>
              <w:rPr>
                <w:rFonts w:ascii="Times New Roman" w:hAnsi="Times New Roman" w:eastAsia="等线" w:cs="Times New Roman"/>
                <w:b/>
                <w:bCs/>
                <w:sz w:val="20"/>
                <w:szCs w:val="20"/>
                <w:highlight w:val="green"/>
                <w:lang w:eastAsia="zh-CN"/>
              </w:rPr>
              <w:t>Agreement</w:t>
            </w:r>
          </w:p>
          <w:p w14:paraId="655C364E">
            <w:pPr>
              <w:spacing w:after="0"/>
              <w:rPr>
                <w:rFonts w:ascii="Times New Roman" w:hAnsi="Times New Roman" w:cs="Times New Roman"/>
                <w:sz w:val="20"/>
                <w:szCs w:val="20"/>
              </w:rPr>
            </w:pPr>
            <w:r>
              <w:rPr>
                <w:rFonts w:ascii="Times New Roman" w:hAnsi="Times New Roman" w:cs="Times New Roman"/>
                <w:sz w:val="20"/>
                <w:szCs w:val="20"/>
              </w:rPr>
              <w:t xml:space="preserve">For AI/ML assisted positioning Case 3a, at least LOS/NLOS indicator and/or timing information are supported for reporting. </w:t>
            </w:r>
          </w:p>
          <w:p w14:paraId="1D9C4806">
            <w:pPr>
              <w:pStyle w:val="133"/>
              <w:widowControl w:val="0"/>
              <w:numPr>
                <w:ilvl w:val="0"/>
                <w:numId w:val="20"/>
              </w:numPr>
              <w:jc w:val="both"/>
              <w:rPr>
                <w:rFonts w:ascii="Times New Roman" w:hAnsi="Times New Roman" w:cs="Times New Roman"/>
                <w:sz w:val="20"/>
              </w:rPr>
            </w:pPr>
            <w:r>
              <w:rPr>
                <w:rFonts w:ascii="Times New Roman" w:hAnsi="Times New Roman" w:cs="Times New Roman"/>
                <w:sz w:val="20"/>
              </w:rPr>
              <w:t>If LOS/NLOS indicator is reported, the indicator can be reported as soft indicator or hard indicator as defined in 38.214.</w:t>
            </w:r>
          </w:p>
          <w:p w14:paraId="0F83C10F">
            <w:pPr>
              <w:pStyle w:val="133"/>
              <w:widowControl w:val="0"/>
              <w:numPr>
                <w:ilvl w:val="0"/>
                <w:numId w:val="20"/>
              </w:numPr>
              <w:jc w:val="both"/>
              <w:rPr>
                <w:rFonts w:ascii="Times New Roman" w:hAnsi="Times New Roman" w:cs="Times New Roman"/>
                <w:sz w:val="20"/>
              </w:rPr>
            </w:pPr>
            <w:r>
              <w:rPr>
                <w:rFonts w:ascii="Times New Roman" w:hAnsi="Times New Roman" w:cs="Times New Roman"/>
                <w:sz w:val="20"/>
              </w:rPr>
              <w:t>If timing information is reported, the timing information at least can be reported via UL RTOA or gNB Rx-Tx time difference as defined in 38.215.</w:t>
            </w:r>
          </w:p>
          <w:p w14:paraId="4C921CBD">
            <w:pPr>
              <w:pStyle w:val="133"/>
              <w:widowControl w:val="0"/>
              <w:numPr>
                <w:ilvl w:val="0"/>
                <w:numId w:val="20"/>
              </w:numPr>
              <w:jc w:val="both"/>
              <w:rPr>
                <w:rFonts w:ascii="Times New Roman" w:hAnsi="Times New Roman" w:cs="Times New Roman"/>
                <w:sz w:val="20"/>
              </w:rPr>
            </w:pPr>
            <w:r>
              <w:rPr>
                <w:rFonts w:ascii="Times New Roman" w:hAnsi="Times New Roman" w:cs="Times New Roman"/>
                <w:sz w:val="20"/>
              </w:rPr>
              <w:t>Note: details of the report are pending further discussion.</w:t>
            </w:r>
          </w:p>
          <w:p w14:paraId="1C6552A8">
            <w:pPr>
              <w:spacing w:after="0"/>
              <w:rPr>
                <w:rFonts w:ascii="Times New Roman" w:hAnsi="Times New Roman" w:cs="Times New Roman"/>
                <w:sz w:val="20"/>
                <w:szCs w:val="20"/>
              </w:rPr>
            </w:pPr>
          </w:p>
        </w:tc>
      </w:tr>
    </w:tbl>
    <w:p w14:paraId="60394D7B"/>
    <w:p w14:paraId="0092C1E3">
      <w:r>
        <w:t>RAN3 further confirmed that legacy methods were re-used for case 3a:</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4B7B3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14C1306E">
            <w:pPr>
              <w:tabs>
                <w:tab w:val="left" w:pos="3516"/>
              </w:tabs>
              <w:spacing w:after="0"/>
              <w:contextualSpacing/>
              <w:rPr>
                <w:rFonts w:eastAsia="宋体" w:cs="Calibri"/>
                <w:b/>
                <w:color w:val="008000"/>
                <w:kern w:val="24"/>
                <w:sz w:val="20"/>
                <w:szCs w:val="20"/>
                <w14:ligatures w14:val="none"/>
              </w:rPr>
            </w:pPr>
            <w:r>
              <w:rPr>
                <w:rFonts w:eastAsia="宋体" w:cs="Calibri"/>
                <w:b/>
                <w:color w:val="008000"/>
                <w:kern w:val="24"/>
                <w:sz w:val="20"/>
                <w:szCs w:val="20"/>
                <w14:ligatures w14:val="none"/>
              </w:rPr>
              <w:t>RAN3 agreement, RAN3#126</w:t>
            </w:r>
          </w:p>
          <w:p w14:paraId="79BC6760">
            <w:pPr>
              <w:spacing w:after="0"/>
              <w:contextualSpacing/>
              <w:rPr>
                <w:rFonts w:eastAsia="宋体" w:cs="Calibri"/>
                <w:b/>
                <w:color w:val="008000"/>
                <w:kern w:val="24"/>
                <w:sz w:val="20"/>
                <w:szCs w:val="20"/>
                <w14:ligatures w14:val="none"/>
              </w:rPr>
            </w:pPr>
          </w:p>
          <w:p w14:paraId="10313998">
            <w:pPr>
              <w:spacing w:after="0"/>
              <w:contextualSpacing/>
              <w:rPr>
                <w:sz w:val="20"/>
                <w:szCs w:val="20"/>
              </w:rPr>
            </w:pPr>
            <w:r>
              <w:rPr>
                <w:rFonts w:eastAsia="宋体" w:cs="Calibri"/>
                <w:b/>
                <w:color w:val="008000"/>
                <w:kern w:val="24"/>
                <w:sz w:val="20"/>
                <w:szCs w:val="20"/>
                <w14:ligatures w14:val="none"/>
              </w:rPr>
              <w:t>Signalling of measurements as the inference output for case 3a can re-use the existing procedures for positioning measurement specified over NRPPa.</w:t>
            </w:r>
          </w:p>
        </w:tc>
      </w:tr>
    </w:tbl>
    <w:p w14:paraId="5852066A"/>
    <w:p w14:paraId="107C7725">
      <w:r>
        <w:t>Even though some measurement reporting has been agreed, it was not clarified what legacy method should be used as a baseline for Case 3a.  For this RAN1 should consider the following:</w:t>
      </w:r>
    </w:p>
    <w:p w14:paraId="11F377D3">
      <w:pPr>
        <w:pStyle w:val="133"/>
        <w:numPr>
          <w:ilvl w:val="0"/>
          <w:numId w:val="18"/>
        </w:numPr>
      </w:pPr>
      <w:r>
        <w:t xml:space="preserve">The Rel-18 study item phase of the AI/ML positioning work focused on time-based methods.  </w:t>
      </w:r>
    </w:p>
    <w:p w14:paraId="444881AA">
      <w:pPr>
        <w:pStyle w:val="133"/>
        <w:numPr>
          <w:ilvl w:val="0"/>
          <w:numId w:val="18"/>
        </w:numPr>
      </w:pPr>
      <w:r>
        <w:t>Positioning methods and enhancements introduced in Rel-18 study item have not been investigated thoroughly for specification.</w:t>
      </w:r>
    </w:p>
    <w:p w14:paraId="0199C04D">
      <w:r>
        <w:t>Based on the lack of studies on angle-based methods, it is reasonable to</w:t>
      </w:r>
      <w:r>
        <w:rPr>
          <w:rFonts w:cs="Arial"/>
        </w:rPr>
        <w:t xml:space="preserve"> focus only on time-based positioning methods that use the reported AI/ML model output as model input, i.e.</w:t>
      </w:r>
      <w:r>
        <w:t xml:space="preserve"> UL-DTOA and Multi-RTT. Thus the above agreement and conclusion are sufficient for defining model output types of assisted positioning.  Other types of measurements, such as angle measurements, were not thoroughly evaluated in Rel-18 SI and should not be considered for Rel-19.  </w:t>
      </w:r>
    </w:p>
    <w:p w14:paraId="018B865D">
      <w:r>
        <w:t>Based on the agreements, RAN1 should assume that the procedures for UL-RTOA and multi RTT should be the basis for Case 3a.  Some of the signalling requests and reports in the procedure may need further extension to properly support the training and operation of an AI model in the gNB</w:t>
      </w:r>
      <w:r>
        <w:rPr>
          <w:rFonts w:hint="eastAsia"/>
        </w:rPr>
        <w:t>/TRP</w:t>
      </w:r>
      <w:r>
        <w:t>.</w:t>
      </w:r>
    </w:p>
    <w:p w14:paraId="1EDD5E52">
      <w:pPr>
        <w:pStyle w:val="73"/>
        <w:tabs>
          <w:tab w:val="clear" w:pos="1304"/>
        </w:tabs>
        <w:ind w:left="1701" w:hanging="1701"/>
      </w:pPr>
      <w:bookmarkStart w:id="32" w:name="_Toc189845098"/>
      <w:r>
        <w:t>RAN1 assumes Case 3a is supported using UL-TDOA or multi RTT procedure as a foundation. It is up to RAN3 to decide whether a set of new procedure is to be defined for Case 3a, or extension to existing procedure suffices. RAN1 confirms the understanding with RAN2 and RAN3.</w:t>
      </w:r>
      <w:bookmarkEnd w:id="32"/>
    </w:p>
    <w:p w14:paraId="17F3767F">
      <w:pPr>
        <w:pStyle w:val="3"/>
        <w:rPr>
          <w:lang w:val="en-US"/>
        </w:rPr>
      </w:pPr>
      <w:bookmarkStart w:id="33" w:name="_Toc189845009"/>
      <w:r>
        <w:rPr>
          <w:lang w:val="en-US"/>
        </w:rPr>
        <w:t>Case with AI/ML model hosted in the LMF (case 3b)</w:t>
      </w:r>
      <w:bookmarkEnd w:id="33"/>
    </w:p>
    <w:p w14:paraId="6EE82E65">
      <w:r>
        <w:t xml:space="preserve">For model inference of Case 2b and 3b, the LMF requests measurements and runs its own model.  </w:t>
      </w:r>
    </w:p>
    <w:p w14:paraId="4EFE5A07">
      <w:r>
        <w:t>For Case 3b, the framework in RAN3 is flexible enough to be reused. RAN1 agreed to support both sample and path based timing measurements in RAN1#119:</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7A3A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758CB012">
            <w:pPr>
              <w:rPr>
                <w:rFonts w:eastAsia="等线"/>
                <w:highlight w:val="green"/>
                <w:lang w:eastAsia="zh-CN"/>
              </w:rPr>
            </w:pPr>
            <w:r>
              <w:rPr>
                <w:rFonts w:hint="eastAsia" w:eastAsia="等线"/>
                <w:highlight w:val="green"/>
                <w:lang w:eastAsia="zh-CN"/>
              </w:rPr>
              <w:t>Agreement</w:t>
            </w:r>
          </w:p>
          <w:p w14:paraId="314BA717">
            <w:r>
              <w:t xml:space="preserve">For Rel-19 AI/ML based positioning, </w:t>
            </w:r>
            <w:r>
              <w:rPr>
                <w:rFonts w:hint="eastAsia"/>
              </w:rPr>
              <w:t xml:space="preserve">for </w:t>
            </w:r>
            <w:r>
              <w:t>C</w:t>
            </w:r>
            <w:r>
              <w:rPr>
                <w:rFonts w:hint="eastAsia"/>
              </w:rPr>
              <w:t xml:space="preserve">ase 3b, in addition to path-based measurement that is </w:t>
            </w:r>
            <w:r>
              <w:rPr>
                <w:lang w:eastAsia="zh-CN"/>
              </w:rPr>
              <w:t>refer</w:t>
            </w:r>
            <w:r>
              <w:rPr>
                <w:rFonts w:hint="eastAsia"/>
              </w:rPr>
              <w:t>ring</w:t>
            </w:r>
            <w:r>
              <w:rPr>
                <w:lang w:eastAsia="zh-CN"/>
              </w:rPr>
              <w:t xml:space="preserve"> to the measurement in the existing specifications (up to Rel-18)</w:t>
            </w:r>
            <w:r>
              <w:rPr>
                <w:rFonts w:hint="eastAsia"/>
              </w:rPr>
              <w:t xml:space="preserve">, additionally support </w:t>
            </w:r>
            <w:r>
              <w:t xml:space="preserve">the following </w:t>
            </w:r>
            <w:r>
              <w:rPr>
                <w:rFonts w:hint="eastAsia"/>
              </w:rPr>
              <w:t>enhancement to the measurement</w:t>
            </w:r>
            <w:r>
              <w:t xml:space="preserve">, </w:t>
            </w:r>
          </w:p>
          <w:p w14:paraId="3E55DD45">
            <w:pPr>
              <w:widowControl w:val="0"/>
              <w:numPr>
                <w:ilvl w:val="0"/>
                <w:numId w:val="21"/>
              </w:numPr>
              <w:suppressAutoHyphens/>
              <w:spacing w:after="80"/>
            </w:pPr>
            <w:r>
              <w:t>The measurement is composed of N</w:t>
            </w:r>
            <w:r>
              <w:rPr>
                <w:vertAlign w:val="subscript"/>
              </w:rPr>
              <w:t>t</w:t>
            </w:r>
            <w:r>
              <w:t>' values</w:t>
            </w:r>
            <w:r>
              <w:rPr>
                <w:rFonts w:hint="eastAsia"/>
              </w:rPr>
              <w:t xml:space="preserve"> </w:t>
            </w:r>
            <w:r>
              <w:t>of the estimated channel response in time domain. The N</w:t>
            </w:r>
            <w:r>
              <w:rPr>
                <w:vertAlign w:val="subscript"/>
              </w:rPr>
              <w:t>t</w:t>
            </w:r>
            <w:r>
              <w:t>’ values are selected from a list of N</w:t>
            </w:r>
            <w:r>
              <w:rPr>
                <w:vertAlign w:val="subscript"/>
              </w:rPr>
              <w:t>t</w:t>
            </w:r>
            <w:r>
              <w:t xml:space="preserve"> consecutive channel response values, which have timing granularity T. </w:t>
            </w:r>
          </w:p>
          <w:p w14:paraId="7F167794">
            <w:pPr>
              <w:widowControl w:val="0"/>
              <w:numPr>
                <w:ilvl w:val="0"/>
                <w:numId w:val="21"/>
              </w:numPr>
              <w:suppressAutoHyphens/>
              <w:spacing w:after="80"/>
            </w:pPr>
            <w:r>
              <w:t>The timing information for the N</w:t>
            </w:r>
            <w:r>
              <w:rPr>
                <w:vertAlign w:val="subscript"/>
              </w:rPr>
              <w:t>t</w:t>
            </w:r>
            <w:r>
              <w:t>' values are reported with a timing granularity T, where T=2</w:t>
            </w:r>
            <w:r>
              <w:rPr>
                <w:vertAlign w:val="superscript"/>
              </w:rPr>
              <w:t>k</w:t>
            </w:r>
            <w:r>
              <w:t>xT</w:t>
            </w:r>
            <w:r>
              <w:rPr>
                <w:vertAlign w:val="subscript"/>
              </w:rPr>
              <w:t>c</w:t>
            </w:r>
            <w:r>
              <w:t>. k represents the timing reporting granularity factor. T</w:t>
            </w:r>
            <w:r>
              <w:rPr>
                <w:vertAlign w:val="subscript"/>
              </w:rPr>
              <w:t>c</w:t>
            </w:r>
            <w:r>
              <w:t xml:space="preserve"> is the basic time unit for NR. </w:t>
            </w:r>
          </w:p>
          <w:p w14:paraId="1BF66EF7">
            <w:pPr>
              <w:widowControl w:val="0"/>
              <w:numPr>
                <w:ilvl w:val="1"/>
                <w:numId w:val="21"/>
              </w:numPr>
              <w:suppressAutoHyphens/>
              <w:spacing w:after="80"/>
            </w:pPr>
            <w:r>
              <w:t>The associated measurement (e.g., power if reported) corresponds to the measurement for the reported N</w:t>
            </w:r>
            <w:r>
              <w:rPr>
                <w:vertAlign w:val="subscript"/>
              </w:rPr>
              <w:t>t</w:t>
            </w:r>
            <w:r>
              <w:t>' values.</w:t>
            </w:r>
          </w:p>
          <w:p w14:paraId="580BB97E">
            <w:pPr>
              <w:pStyle w:val="133"/>
              <w:widowControl w:val="0"/>
              <w:numPr>
                <w:ilvl w:val="0"/>
                <w:numId w:val="21"/>
              </w:numPr>
              <w:tabs>
                <w:tab w:val="clear" w:pos="0"/>
              </w:tabs>
              <w:suppressAutoHyphens w:val="0"/>
              <w:spacing w:after="80"/>
            </w:pPr>
            <w:r>
              <w:t xml:space="preserve">The </w:t>
            </w:r>
            <w:r>
              <w:rPr>
                <w:rFonts w:hint="eastAsia"/>
              </w:rPr>
              <w:t>timing information is</w:t>
            </w:r>
            <w:r>
              <w:t xml:space="preserve"> defined relative to a reference time</w:t>
            </w:r>
            <w:r>
              <w:rPr>
                <w:rFonts w:hint="eastAsia" w:eastAsia="等线"/>
              </w:rPr>
              <w:t>, same as the path-based measurement</w:t>
            </w:r>
            <w:r>
              <w:t xml:space="preserve">. </w:t>
            </w:r>
          </w:p>
          <w:p w14:paraId="54D806B7">
            <w:pPr>
              <w:widowControl w:val="0"/>
              <w:numPr>
                <w:ilvl w:val="0"/>
                <w:numId w:val="21"/>
              </w:numPr>
              <w:suppressAutoHyphens/>
              <w:spacing w:after="80"/>
            </w:pPr>
            <w:r>
              <w:t>The N</w:t>
            </w:r>
            <w:r>
              <w:rPr>
                <w:vertAlign w:val="subscript"/>
              </w:rPr>
              <w:t>t</w:t>
            </w:r>
            <w:r>
              <w:t>’ selected time domain channel measurement values are expected to be those with the highest power.</w:t>
            </w:r>
          </w:p>
          <w:p w14:paraId="7E86828D">
            <w:pPr>
              <w:widowControl w:val="0"/>
              <w:numPr>
                <w:ilvl w:val="0"/>
                <w:numId w:val="21"/>
              </w:numPr>
              <w:suppressAutoHyphens/>
              <w:spacing w:after="80"/>
            </w:pPr>
            <w:r>
              <w:t>The starting time of the list of N</w:t>
            </w:r>
            <w:r>
              <w:rPr>
                <w:vertAlign w:val="subscript"/>
              </w:rPr>
              <w:t>t</w:t>
            </w:r>
            <w:r>
              <w:t xml:space="preserve"> consecutive values is determined as: starting time = first detected path rounded down with timing granularity T</w:t>
            </w:r>
            <w:r>
              <w:rPr>
                <w:rFonts w:eastAsia="Calibri"/>
              </w:rPr>
              <w:t>.</w:t>
            </w:r>
          </w:p>
          <w:p w14:paraId="094B66E5">
            <w:pPr>
              <w:widowControl w:val="0"/>
              <w:numPr>
                <w:ilvl w:val="0"/>
                <w:numId w:val="21"/>
              </w:numPr>
              <w:suppressAutoHyphens/>
              <w:spacing w:after="80"/>
            </w:pPr>
            <w:r>
              <w:t xml:space="preserve">LMF </w:t>
            </w:r>
            <w:r>
              <w:rPr>
                <w:rFonts w:hint="eastAsia"/>
              </w:rPr>
              <w:t xml:space="preserve">can </w:t>
            </w:r>
            <w:r>
              <w:t>signal parameter values of N</w:t>
            </w:r>
            <w:r>
              <w:rPr>
                <w:vertAlign w:val="subscript"/>
              </w:rPr>
              <w:t>t</w:t>
            </w:r>
            <w:r>
              <w:t>, N</w:t>
            </w:r>
            <w:r>
              <w:rPr>
                <w:vertAlign w:val="subscript"/>
              </w:rPr>
              <w:t>t</w:t>
            </w:r>
            <w:r>
              <w:t>', k to gNB via NRPPa. Candi</w:t>
            </w:r>
            <w:r>
              <w:rPr>
                <w:rFonts w:hint="eastAsia"/>
              </w:rPr>
              <w:t>d</w:t>
            </w:r>
            <w:r>
              <w:t>ate set values:</w:t>
            </w:r>
          </w:p>
          <w:p w14:paraId="2CB7027C">
            <w:pPr>
              <w:widowControl w:val="0"/>
              <w:numPr>
                <w:ilvl w:val="1"/>
                <w:numId w:val="21"/>
              </w:numPr>
              <w:suppressAutoHyphens/>
              <w:spacing w:after="80"/>
            </w:pPr>
            <w:r>
              <w:t>N</w:t>
            </w:r>
            <w:r>
              <w:rPr>
                <w:vertAlign w:val="subscript"/>
              </w:rPr>
              <w:t>t</w:t>
            </w:r>
            <w:r>
              <w:t xml:space="preserve">'&lt;=24. </w:t>
            </w:r>
            <w:r>
              <w:rPr>
                <w:rFonts w:hint="eastAsia"/>
              </w:rPr>
              <w:t>FFS:</w:t>
            </w:r>
            <w:r>
              <w:t xml:space="preserve"> N</w:t>
            </w:r>
            <w:r>
              <w:rPr>
                <w:vertAlign w:val="subscript"/>
              </w:rPr>
              <w:t>t</w:t>
            </w:r>
            <w:r>
              <w:t>' values.</w:t>
            </w:r>
            <w:r>
              <w:rPr>
                <w:rFonts w:hint="eastAsia"/>
              </w:rPr>
              <w:t xml:space="preserve"> </w:t>
            </w:r>
            <w:r>
              <w:t xml:space="preserve"> </w:t>
            </w:r>
          </w:p>
          <w:p w14:paraId="03E717BB">
            <w:pPr>
              <w:widowControl w:val="0"/>
              <w:numPr>
                <w:ilvl w:val="1"/>
                <w:numId w:val="21"/>
              </w:numPr>
              <w:suppressAutoHyphens/>
              <w:spacing w:after="80"/>
            </w:pPr>
            <w:r>
              <w:t>N</w:t>
            </w:r>
            <w:r>
              <w:rPr>
                <w:vertAlign w:val="subscript"/>
              </w:rPr>
              <w:t>t</w:t>
            </w:r>
            <w:r>
              <w:t xml:space="preserve"> = {32, 64, 128}</w:t>
            </w:r>
          </w:p>
          <w:p w14:paraId="53861BC0">
            <w:pPr>
              <w:widowControl w:val="0"/>
              <w:numPr>
                <w:ilvl w:val="1"/>
                <w:numId w:val="21"/>
              </w:numPr>
              <w:suppressAutoHyphens/>
              <w:spacing w:after="80"/>
            </w:pPr>
            <w:r>
              <w:rPr>
                <w:rFonts w:hint="eastAsia"/>
              </w:rPr>
              <w:t xml:space="preserve">FFS: </w:t>
            </w:r>
            <w:r>
              <w:t xml:space="preserve">k </w:t>
            </w:r>
          </w:p>
          <w:p w14:paraId="5AE38524">
            <w:pPr>
              <w:widowControl w:val="0"/>
              <w:numPr>
                <w:ilvl w:val="1"/>
                <w:numId w:val="21"/>
              </w:numPr>
              <w:suppressAutoHyphens/>
              <w:spacing w:after="80"/>
            </w:pPr>
            <w:r>
              <w:t>The gNB/TRP may use different N</w:t>
            </w:r>
            <w:r>
              <w:rPr>
                <w:vertAlign w:val="subscript"/>
              </w:rPr>
              <w:t>t</w:t>
            </w:r>
            <w:r>
              <w:t>'</w:t>
            </w:r>
            <w:r>
              <w:rPr>
                <w:rFonts w:hint="eastAsia"/>
              </w:rPr>
              <w:t xml:space="preserve">, </w:t>
            </w:r>
            <w:r>
              <w:t>N</w:t>
            </w:r>
            <w:r>
              <w:rPr>
                <w:vertAlign w:val="subscript"/>
              </w:rPr>
              <w:t>t</w:t>
            </w:r>
            <w:r>
              <w:t xml:space="preserve"> and/or k values other than the signalled parameter for measurement reporting. In this case, it’s up to LMF implementation to process the reported measurement</w:t>
            </w:r>
          </w:p>
          <w:p w14:paraId="6577A199">
            <w:pPr>
              <w:widowControl w:val="0"/>
              <w:numPr>
                <w:ilvl w:val="0"/>
                <w:numId w:val="21"/>
              </w:numPr>
              <w:tabs>
                <w:tab w:val="left" w:pos="720"/>
              </w:tabs>
              <w:suppressAutoHyphens/>
              <w:spacing w:after="80"/>
              <w:rPr>
                <w:color w:val="0070C0"/>
              </w:rPr>
            </w:pPr>
            <w:r>
              <w:rPr>
                <w:rFonts w:hint="eastAsia"/>
                <w:color w:val="0070C0"/>
              </w:rPr>
              <w:t>FFS: whether transmit offset from gNB to LMF</w:t>
            </w:r>
          </w:p>
          <w:p w14:paraId="397F5D86">
            <w:r>
              <w:t>Note: measurement by UE is a separate discussion.</w:t>
            </w:r>
          </w:p>
          <w:p w14:paraId="2C6A0478">
            <w:r>
              <w:t xml:space="preserve">Note: the purpose of the time domain channel measurements, such as for Rel-19 AI/ML based positioning, is not specified </w:t>
            </w:r>
          </w:p>
        </w:tc>
      </w:tr>
    </w:tbl>
    <w:p w14:paraId="75ABDFAA"/>
    <w:p w14:paraId="6CBF29B1">
      <w:r>
        <w:t xml:space="preserve">However, for sample-based reporting, the gNB  behaviour should be clarified, i.e. how the LMF requests sample-based measurements.  From the RAN1 perspective, it should be sufficient to assume it is possible for the LMF to specifically request sample-based measurements and is able to differentiate legacy measurement reports (i.e., path-based) from Case 3b reports with sample-based measurements. We discuss the use of such indicators in section 3.1. Note that how the procedure is implemented is up to RAN3. </w:t>
      </w:r>
    </w:p>
    <w:p w14:paraId="529687D2">
      <w:pPr>
        <w:pStyle w:val="73"/>
        <w:tabs>
          <w:tab w:val="clear" w:pos="1304"/>
        </w:tabs>
        <w:ind w:left="1701" w:hanging="1701"/>
      </w:pPr>
      <w:bookmarkStart w:id="34" w:name="_Toc189845099"/>
      <w:r>
        <w:t>RAN1 assumes that for Case 3b with sample-based reporting enhancements, measurement report with sample-based reporting can be differentiated by the involved nodes (LMF, gNB) from the legacy UL RTOA measurement requests / reports. RAN1 confirm the understanding with RAN2 and RAN3.</w:t>
      </w:r>
      <w:bookmarkEnd w:id="34"/>
    </w:p>
    <w:p w14:paraId="7E90397E">
      <w:pPr>
        <w:pStyle w:val="2"/>
        <w:rPr>
          <w:lang w:val="en-US"/>
        </w:rPr>
      </w:pPr>
      <w:bookmarkStart w:id="35" w:name="_Toc178772536"/>
      <w:bookmarkEnd w:id="35"/>
      <w:bookmarkStart w:id="36" w:name="_Toc178704935"/>
      <w:bookmarkEnd w:id="36"/>
      <w:bookmarkStart w:id="37" w:name="_Toc178705837"/>
      <w:bookmarkEnd w:id="37"/>
      <w:bookmarkStart w:id="38" w:name="_Toc178708815"/>
      <w:bookmarkEnd w:id="38"/>
      <w:bookmarkStart w:id="39" w:name="_Toc178704936"/>
      <w:bookmarkEnd w:id="39"/>
      <w:bookmarkStart w:id="40" w:name="_Toc178929510"/>
      <w:bookmarkEnd w:id="40"/>
      <w:bookmarkStart w:id="41" w:name="_Toc178772537"/>
      <w:bookmarkEnd w:id="41"/>
      <w:bookmarkStart w:id="42" w:name="_Toc178929511"/>
      <w:bookmarkEnd w:id="42"/>
      <w:bookmarkStart w:id="43" w:name="_Toc178705838"/>
      <w:bookmarkEnd w:id="43"/>
      <w:bookmarkStart w:id="44" w:name="_Toc178704934"/>
      <w:bookmarkEnd w:id="44"/>
      <w:bookmarkStart w:id="45" w:name="_Toc178705836"/>
      <w:bookmarkEnd w:id="45"/>
      <w:bookmarkStart w:id="46" w:name="_Toc178708814"/>
      <w:bookmarkEnd w:id="46"/>
      <w:bookmarkStart w:id="47" w:name="_Toc178708816"/>
      <w:bookmarkEnd w:id="47"/>
      <w:bookmarkStart w:id="48" w:name="_Toc178772538"/>
      <w:bookmarkEnd w:id="48"/>
      <w:bookmarkStart w:id="49" w:name="_Toc178929512"/>
      <w:bookmarkEnd w:id="49"/>
      <w:bookmarkStart w:id="50" w:name="_Toc189845010"/>
      <w:r>
        <w:rPr>
          <w:lang w:val="en-US"/>
        </w:rPr>
        <w:t>Signaling enhancement for model inputs</w:t>
      </w:r>
      <w:bookmarkEnd w:id="3"/>
      <w:bookmarkEnd w:id="50"/>
    </w:p>
    <w:p w14:paraId="1ED4CA70">
      <w:r>
        <w:t>In this Section, we investigate the issues related to model input. We first note that, for the following two positioning cases with UE-side model:</w:t>
      </w:r>
    </w:p>
    <w:p w14:paraId="1D6F9995">
      <w:pPr>
        <w:pStyle w:val="133"/>
        <w:numPr>
          <w:ilvl w:val="0"/>
          <w:numId w:val="22"/>
        </w:numPr>
      </w:pPr>
      <w:r>
        <w:t>(1st priority) Case 1: UE-based positioning with UE-side model, direct AI/ML positioning</w:t>
      </w:r>
    </w:p>
    <w:p w14:paraId="6466E5F4">
      <w:pPr>
        <w:pStyle w:val="133"/>
        <w:numPr>
          <w:ilvl w:val="0"/>
          <w:numId w:val="22"/>
        </w:numPr>
      </w:pPr>
      <w:r>
        <w:t>(2nd priority) Case 2a: UE-assisted/LMF-based positioning with UE-side model, AI/ML assisted positioning</w:t>
      </w:r>
    </w:p>
    <w:p w14:paraId="58132874">
      <w:r>
        <w:t>the measurement generation process is collocated with the AI/ML models. The exact details of the model inputs are largely implementation issues. There is no need to specify model input for model inference stage. Whether model input need any specification work for training data collection can be further discussed.</w:t>
      </w:r>
    </w:p>
    <w:p w14:paraId="4AA6473F">
      <w:pPr>
        <w:pStyle w:val="97"/>
      </w:pPr>
      <w:bookmarkStart w:id="51" w:name="_Toc189845059"/>
      <w:bookmarkStart w:id="52" w:name="_Toc161827802"/>
      <w:r>
        <w:t>For Case 1/2a (i.e., UE-side model), channel measurement generation process is collocated in the same node with the AI/ML models. The exact details of the model inputs are implementation issues at least for model inference.</w:t>
      </w:r>
      <w:bookmarkEnd w:id="51"/>
      <w:bookmarkEnd w:id="52"/>
    </w:p>
    <w:p w14:paraId="22535CAC">
      <w:r>
        <w:t>For the two direct AI/ML positioning cases:</w:t>
      </w:r>
    </w:p>
    <w:p w14:paraId="13601CD4">
      <w:pPr>
        <w:pStyle w:val="133"/>
        <w:numPr>
          <w:ilvl w:val="0"/>
          <w:numId w:val="22"/>
        </w:numPr>
      </w:pPr>
      <w:r>
        <w:t>(1st priority) Case 3b: NG-RAN node assisted positioning with LMF-side model, direct AI/ML positioning</w:t>
      </w:r>
    </w:p>
    <w:p w14:paraId="7316FB89">
      <w:pPr>
        <w:pStyle w:val="133"/>
        <w:numPr>
          <w:ilvl w:val="0"/>
          <w:numId w:val="22"/>
        </w:numPr>
      </w:pPr>
      <w:r>
        <w:t>(2nd priority) Case 2b: UE-assisted/LMF-based positioning with LMF-side model, direct AI/ML positioning</w:t>
      </w:r>
    </w:p>
    <w:p w14:paraId="0DD47746">
      <w:r>
        <w:t xml:space="preserve">the measurements obtained at one node (i.e., gNB or UE) need to be signaled to a second node (i.e., LMF) that applies the AI/ML models. Thus model input need to be specified at least for Case 3b/2b, and there is a need to clarify the model input formats. </w:t>
      </w:r>
    </w:p>
    <w:p w14:paraId="29ECE70A">
      <w:pPr>
        <w:pStyle w:val="97"/>
      </w:pPr>
      <w:bookmarkStart w:id="53" w:name="_Toc189845060"/>
      <w:bookmarkStart w:id="54" w:name="_Toc161827803"/>
      <w:r>
        <w:t>For Case 3b (1st priority) and Case 2b (2nd priority), due to the LMF sided model, there is a need to clarify the target model input formats to be supported for the AI/ML positioning models.</w:t>
      </w:r>
      <w:bookmarkEnd w:id="53"/>
      <w:bookmarkEnd w:id="54"/>
    </w:p>
    <w:p w14:paraId="36B2B3C8">
      <w:r>
        <w:t>For the 1</w:t>
      </w:r>
      <w:r>
        <w:rPr>
          <w:vertAlign w:val="superscript"/>
        </w:rPr>
        <w:t>st</w:t>
      </w:r>
      <w:r>
        <w:t xml:space="preserve"> priority Case 3a, the need to specify channel measurements for model input depends on the node that hosts the AI/ML model, as discussed in section 3.7. If the need is confirmed by RAN3, the same design choices made for Case 2b/3b can be applied to Case 3a as well. Thus, RAN1 can proceed with the model input discussion on Case 2b/3b.</w:t>
      </w:r>
    </w:p>
    <w:p w14:paraId="08155FFA">
      <w:pPr>
        <w:pStyle w:val="3"/>
        <w:rPr>
          <w:lang w:val="en-US"/>
        </w:rPr>
      </w:pPr>
      <w:bookmarkStart w:id="55" w:name="_Toc178708822"/>
      <w:bookmarkEnd w:id="55"/>
      <w:bookmarkStart w:id="56" w:name="_Toc178772544"/>
      <w:bookmarkEnd w:id="56"/>
      <w:bookmarkStart w:id="57" w:name="_Toc178772543"/>
      <w:bookmarkEnd w:id="57"/>
      <w:bookmarkStart w:id="58" w:name="_Toc178704943"/>
      <w:bookmarkEnd w:id="58"/>
      <w:bookmarkStart w:id="59" w:name="_Toc178772541"/>
      <w:bookmarkEnd w:id="59"/>
      <w:bookmarkStart w:id="60" w:name="_Toc178704940"/>
      <w:bookmarkEnd w:id="60"/>
      <w:bookmarkStart w:id="61" w:name="_Toc178704938"/>
      <w:bookmarkEnd w:id="61"/>
      <w:bookmarkStart w:id="62" w:name="_Toc178708819"/>
      <w:bookmarkEnd w:id="62"/>
      <w:bookmarkStart w:id="63" w:name="_Toc178704939"/>
      <w:bookmarkEnd w:id="63"/>
      <w:bookmarkStart w:id="64" w:name="_Toc178772540"/>
      <w:bookmarkEnd w:id="64"/>
      <w:bookmarkStart w:id="65" w:name="_Toc178705842"/>
      <w:bookmarkEnd w:id="65"/>
      <w:bookmarkStart w:id="66" w:name="_Toc178704941"/>
      <w:bookmarkEnd w:id="66"/>
      <w:bookmarkStart w:id="67" w:name="_Toc178708821"/>
      <w:bookmarkEnd w:id="67"/>
      <w:bookmarkStart w:id="68" w:name="_Toc178704942"/>
      <w:bookmarkEnd w:id="68"/>
      <w:bookmarkStart w:id="69" w:name="_Toc178705841"/>
      <w:bookmarkEnd w:id="69"/>
      <w:bookmarkStart w:id="70" w:name="_Toc178705840"/>
      <w:bookmarkEnd w:id="70"/>
      <w:bookmarkStart w:id="71" w:name="_Toc178708820"/>
      <w:bookmarkEnd w:id="71"/>
      <w:bookmarkStart w:id="72" w:name="_Toc178772542"/>
      <w:bookmarkEnd w:id="72"/>
      <w:bookmarkStart w:id="73" w:name="_Toc178708818"/>
      <w:bookmarkEnd w:id="73"/>
      <w:bookmarkStart w:id="74" w:name="_Toc178705843"/>
      <w:bookmarkEnd w:id="74"/>
      <w:bookmarkStart w:id="75" w:name="_Toc178705844"/>
      <w:bookmarkEnd w:id="75"/>
      <w:bookmarkStart w:id="76" w:name="_Toc178704949"/>
      <w:bookmarkEnd w:id="76"/>
      <w:bookmarkStart w:id="77" w:name="_Toc178708830"/>
      <w:bookmarkEnd w:id="77"/>
      <w:bookmarkStart w:id="78" w:name="_Toc178708824"/>
      <w:bookmarkEnd w:id="78"/>
      <w:bookmarkStart w:id="79" w:name="_Toc178704945"/>
      <w:bookmarkEnd w:id="79"/>
      <w:bookmarkStart w:id="80" w:name="_Toc178708825"/>
      <w:bookmarkEnd w:id="80"/>
      <w:bookmarkStart w:id="81" w:name="_Toc178705852"/>
      <w:bookmarkEnd w:id="81"/>
      <w:bookmarkStart w:id="82" w:name="_Toc178772552"/>
      <w:bookmarkEnd w:id="82"/>
      <w:bookmarkStart w:id="83" w:name="_Toc178704951"/>
      <w:bookmarkEnd w:id="83"/>
      <w:bookmarkStart w:id="84" w:name="_Toc178704944"/>
      <w:bookmarkEnd w:id="84"/>
      <w:bookmarkStart w:id="85" w:name="_Toc178705850"/>
      <w:bookmarkEnd w:id="85"/>
      <w:bookmarkStart w:id="86" w:name="_Toc178705845"/>
      <w:bookmarkEnd w:id="86"/>
      <w:bookmarkStart w:id="87" w:name="_Toc178772545"/>
      <w:bookmarkEnd w:id="87"/>
      <w:bookmarkStart w:id="88" w:name="_Toc178772546"/>
      <w:bookmarkEnd w:id="88"/>
      <w:bookmarkStart w:id="89" w:name="_Toc178772547"/>
      <w:bookmarkEnd w:id="89"/>
      <w:bookmarkStart w:id="90" w:name="_Toc178705848"/>
      <w:bookmarkEnd w:id="90"/>
      <w:bookmarkStart w:id="91" w:name="_Toc178705849"/>
      <w:bookmarkEnd w:id="91"/>
      <w:bookmarkStart w:id="92" w:name="_Toc178708827"/>
      <w:bookmarkEnd w:id="92"/>
      <w:bookmarkStart w:id="93" w:name="_Toc178772549"/>
      <w:bookmarkEnd w:id="93"/>
      <w:bookmarkStart w:id="94" w:name="_Toc178704948"/>
      <w:bookmarkEnd w:id="94"/>
      <w:bookmarkStart w:id="95" w:name="_Toc178704947"/>
      <w:bookmarkEnd w:id="95"/>
      <w:bookmarkStart w:id="96" w:name="_Toc178708828"/>
      <w:bookmarkEnd w:id="96"/>
      <w:bookmarkStart w:id="97" w:name="_Toc178708823"/>
      <w:bookmarkEnd w:id="97"/>
      <w:bookmarkStart w:id="98" w:name="_Toc178704946"/>
      <w:bookmarkEnd w:id="98"/>
      <w:bookmarkStart w:id="99" w:name="_Toc178772548"/>
      <w:bookmarkEnd w:id="99"/>
      <w:bookmarkStart w:id="100" w:name="_Toc178705847"/>
      <w:bookmarkEnd w:id="100"/>
      <w:bookmarkStart w:id="101" w:name="_Toc178705851"/>
      <w:bookmarkEnd w:id="101"/>
      <w:bookmarkStart w:id="102" w:name="_Toc178772551"/>
      <w:bookmarkEnd w:id="102"/>
      <w:bookmarkStart w:id="103" w:name="_Toc178708826"/>
      <w:bookmarkEnd w:id="103"/>
      <w:bookmarkStart w:id="104" w:name="_Toc178704950"/>
      <w:bookmarkEnd w:id="104"/>
      <w:bookmarkStart w:id="105" w:name="_Toc178705846"/>
      <w:bookmarkEnd w:id="105"/>
      <w:bookmarkStart w:id="106" w:name="_Toc178772550"/>
      <w:bookmarkEnd w:id="106"/>
      <w:bookmarkStart w:id="107" w:name="_Toc178708829"/>
      <w:bookmarkEnd w:id="107"/>
      <w:bookmarkStart w:id="108" w:name="_Toc178704958"/>
      <w:bookmarkEnd w:id="108"/>
      <w:bookmarkStart w:id="109" w:name="_Toc178708838"/>
      <w:bookmarkEnd w:id="109"/>
      <w:bookmarkStart w:id="110" w:name="_Toc178704959"/>
      <w:bookmarkEnd w:id="110"/>
      <w:bookmarkStart w:id="111" w:name="_Toc178772560"/>
      <w:bookmarkEnd w:id="111"/>
      <w:bookmarkStart w:id="112" w:name="_Toc178704953"/>
      <w:bookmarkEnd w:id="112"/>
      <w:bookmarkStart w:id="113" w:name="_Toc178708837"/>
      <w:bookmarkEnd w:id="113"/>
      <w:bookmarkStart w:id="114" w:name="_Toc178705853"/>
      <w:bookmarkEnd w:id="114"/>
      <w:bookmarkStart w:id="115" w:name="_Toc178705859"/>
      <w:bookmarkEnd w:id="115"/>
      <w:bookmarkStart w:id="116" w:name="_Toc178705857"/>
      <w:bookmarkEnd w:id="116"/>
      <w:bookmarkStart w:id="117" w:name="_Toc178708835"/>
      <w:bookmarkEnd w:id="117"/>
      <w:bookmarkStart w:id="118" w:name="_Toc178705854"/>
      <w:bookmarkEnd w:id="118"/>
      <w:bookmarkStart w:id="119" w:name="_Toc178708833"/>
      <w:bookmarkEnd w:id="119"/>
      <w:bookmarkStart w:id="120" w:name="_Toc178708831"/>
      <w:bookmarkEnd w:id="120"/>
      <w:bookmarkStart w:id="121" w:name="_Toc178708834"/>
      <w:bookmarkEnd w:id="121"/>
      <w:bookmarkStart w:id="122" w:name="_Toc178704955"/>
      <w:bookmarkEnd w:id="122"/>
      <w:bookmarkStart w:id="123" w:name="_Toc178705855"/>
      <w:bookmarkEnd w:id="123"/>
      <w:bookmarkStart w:id="124" w:name="_Toc178705856"/>
      <w:bookmarkEnd w:id="124"/>
      <w:bookmarkStart w:id="125" w:name="_Toc178708832"/>
      <w:bookmarkEnd w:id="125"/>
      <w:bookmarkStart w:id="126" w:name="_Toc178772558"/>
      <w:bookmarkEnd w:id="126"/>
      <w:bookmarkStart w:id="127" w:name="_Toc178772559"/>
      <w:bookmarkEnd w:id="127"/>
      <w:bookmarkStart w:id="128" w:name="_Toc178705860"/>
      <w:bookmarkEnd w:id="128"/>
      <w:bookmarkStart w:id="129" w:name="_Toc178772553"/>
      <w:bookmarkEnd w:id="129"/>
      <w:bookmarkStart w:id="130" w:name="_Toc178704952"/>
      <w:bookmarkEnd w:id="130"/>
      <w:bookmarkStart w:id="131" w:name="_Toc178772555"/>
      <w:bookmarkEnd w:id="131"/>
      <w:bookmarkStart w:id="132" w:name="_Toc178772556"/>
      <w:bookmarkEnd w:id="132"/>
      <w:bookmarkStart w:id="133" w:name="_Toc178772557"/>
      <w:bookmarkEnd w:id="133"/>
      <w:bookmarkStart w:id="134" w:name="_Toc178704956"/>
      <w:bookmarkEnd w:id="134"/>
      <w:bookmarkStart w:id="135" w:name="_Toc178705858"/>
      <w:bookmarkEnd w:id="135"/>
      <w:bookmarkStart w:id="136" w:name="_Toc178708836"/>
      <w:bookmarkEnd w:id="136"/>
      <w:bookmarkStart w:id="137" w:name="_Toc178704954"/>
      <w:bookmarkEnd w:id="137"/>
      <w:bookmarkStart w:id="138" w:name="_Toc178704957"/>
      <w:bookmarkEnd w:id="138"/>
      <w:bookmarkStart w:id="139" w:name="_Toc178772554"/>
      <w:bookmarkEnd w:id="139"/>
      <w:bookmarkStart w:id="140" w:name="_Toc178705868"/>
      <w:bookmarkEnd w:id="140"/>
      <w:bookmarkStart w:id="141" w:name="_Toc178705864"/>
      <w:bookmarkEnd w:id="141"/>
      <w:bookmarkStart w:id="142" w:name="_Toc178708840"/>
      <w:bookmarkEnd w:id="142"/>
      <w:bookmarkStart w:id="143" w:name="_Toc178708844"/>
      <w:bookmarkEnd w:id="143"/>
      <w:bookmarkStart w:id="144" w:name="_Toc178708846"/>
      <w:bookmarkEnd w:id="144"/>
      <w:bookmarkStart w:id="145" w:name="_Toc178705863"/>
      <w:bookmarkEnd w:id="145"/>
      <w:bookmarkStart w:id="146" w:name="_Toc178708841"/>
      <w:bookmarkEnd w:id="146"/>
      <w:bookmarkStart w:id="147" w:name="_Toc178772563"/>
      <w:bookmarkEnd w:id="147"/>
      <w:bookmarkStart w:id="148" w:name="_Toc178704963"/>
      <w:bookmarkEnd w:id="148"/>
      <w:bookmarkStart w:id="149" w:name="_Toc178704964"/>
      <w:bookmarkEnd w:id="149"/>
      <w:bookmarkStart w:id="150" w:name="_Toc178708839"/>
      <w:bookmarkEnd w:id="150"/>
      <w:bookmarkStart w:id="151" w:name="_Toc178705862"/>
      <w:bookmarkEnd w:id="151"/>
      <w:bookmarkStart w:id="152" w:name="_Toc178772566"/>
      <w:bookmarkEnd w:id="152"/>
      <w:bookmarkStart w:id="153" w:name="_Toc178704965"/>
      <w:bookmarkEnd w:id="153"/>
      <w:bookmarkStart w:id="154" w:name="_Toc178772562"/>
      <w:bookmarkEnd w:id="154"/>
      <w:bookmarkStart w:id="155" w:name="_Toc178705865"/>
      <w:bookmarkEnd w:id="155"/>
      <w:bookmarkStart w:id="156" w:name="_Toc178772567"/>
      <w:bookmarkEnd w:id="156"/>
      <w:bookmarkStart w:id="157" w:name="_Toc178704961"/>
      <w:bookmarkEnd w:id="157"/>
      <w:bookmarkStart w:id="158" w:name="_Toc178708845"/>
      <w:bookmarkEnd w:id="158"/>
      <w:bookmarkStart w:id="159" w:name="_Toc178704966"/>
      <w:bookmarkEnd w:id="159"/>
      <w:bookmarkStart w:id="160" w:name="_Toc178704960"/>
      <w:bookmarkEnd w:id="160"/>
      <w:bookmarkStart w:id="161" w:name="_Toc178705861"/>
      <w:bookmarkEnd w:id="161"/>
      <w:bookmarkStart w:id="162" w:name="_Toc178772564"/>
      <w:bookmarkEnd w:id="162"/>
      <w:bookmarkStart w:id="163" w:name="_Toc178772561"/>
      <w:bookmarkEnd w:id="163"/>
      <w:bookmarkStart w:id="164" w:name="_Toc178772565"/>
      <w:bookmarkEnd w:id="164"/>
      <w:bookmarkStart w:id="165" w:name="_Toc178772568"/>
      <w:bookmarkEnd w:id="165"/>
      <w:bookmarkStart w:id="166" w:name="_Toc178708843"/>
      <w:bookmarkEnd w:id="166"/>
      <w:bookmarkStart w:id="167" w:name="_Toc178705866"/>
      <w:bookmarkEnd w:id="167"/>
      <w:bookmarkStart w:id="168" w:name="_Toc173940875"/>
      <w:bookmarkEnd w:id="168"/>
      <w:bookmarkStart w:id="169" w:name="_Toc178704962"/>
      <w:bookmarkEnd w:id="169"/>
      <w:bookmarkStart w:id="170" w:name="_Toc178708842"/>
      <w:bookmarkEnd w:id="170"/>
      <w:bookmarkStart w:id="171" w:name="_Toc178705867"/>
      <w:bookmarkEnd w:id="171"/>
      <w:bookmarkStart w:id="172" w:name="_Toc166157494"/>
      <w:bookmarkEnd w:id="172"/>
      <w:bookmarkStart w:id="173" w:name="_Toc166157499"/>
      <w:bookmarkEnd w:id="173"/>
      <w:bookmarkStart w:id="174" w:name="_Toc178705869"/>
      <w:bookmarkEnd w:id="174"/>
      <w:bookmarkStart w:id="175" w:name="_Toc178708847"/>
      <w:bookmarkEnd w:id="175"/>
      <w:bookmarkStart w:id="176" w:name="_Toc173940878"/>
      <w:bookmarkEnd w:id="176"/>
      <w:bookmarkStart w:id="177" w:name="_Toc166157493"/>
      <w:bookmarkEnd w:id="177"/>
      <w:bookmarkStart w:id="178" w:name="_Toc173940877"/>
      <w:bookmarkEnd w:id="178"/>
      <w:bookmarkStart w:id="179" w:name="_Toc166157495"/>
      <w:bookmarkEnd w:id="179"/>
      <w:bookmarkStart w:id="180" w:name="_Toc166157497"/>
      <w:bookmarkEnd w:id="180"/>
      <w:bookmarkStart w:id="181" w:name="_Toc166157498"/>
      <w:bookmarkEnd w:id="181"/>
      <w:bookmarkStart w:id="182" w:name="_Toc166157491"/>
      <w:bookmarkEnd w:id="182"/>
      <w:bookmarkStart w:id="183" w:name="_Toc166157496"/>
      <w:bookmarkEnd w:id="183"/>
      <w:bookmarkStart w:id="184" w:name="_Toc178704967"/>
      <w:bookmarkEnd w:id="184"/>
      <w:bookmarkStart w:id="185" w:name="_Toc178772569"/>
      <w:bookmarkEnd w:id="185"/>
      <w:bookmarkStart w:id="186" w:name="_Toc166157500"/>
      <w:bookmarkEnd w:id="186"/>
      <w:bookmarkStart w:id="187" w:name="_Toc166157492"/>
      <w:bookmarkEnd w:id="187"/>
      <w:bookmarkStart w:id="188" w:name="_Toc173940876"/>
      <w:bookmarkEnd w:id="188"/>
      <w:bookmarkStart w:id="189" w:name="_Toc189845011"/>
      <w:bookmarkStart w:id="190" w:name="_Toc165990977"/>
      <w:r>
        <w:t>Remaining issues for sample-based measurements for model input</w:t>
      </w:r>
      <w:bookmarkEnd w:id="189"/>
    </w:p>
    <w:bookmarkEnd w:id="190"/>
    <w:p w14:paraId="6355C678">
      <w:r>
        <w:t>In RAN1#116, it was agreed to investigate the way timing information was conveyed, i.e., sample-based vs path-based measurements:</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5D05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6CABD51D">
            <w:pPr>
              <w:rPr>
                <w:rFonts w:ascii="Times" w:hAnsi="Times" w:eastAsia="等线"/>
                <w:b/>
                <w:bCs/>
                <w:sz w:val="18"/>
                <w:szCs w:val="18"/>
                <w:highlight w:val="green"/>
                <w:lang w:val="en-GB"/>
              </w:rPr>
            </w:pPr>
            <w:r>
              <w:rPr>
                <w:rFonts w:hint="eastAsia" w:ascii="Times" w:hAnsi="Times" w:eastAsia="等线"/>
                <w:b/>
                <w:bCs/>
                <w:sz w:val="18"/>
                <w:szCs w:val="18"/>
                <w:highlight w:val="green"/>
                <w:lang w:val="en-GB"/>
              </w:rPr>
              <w:t>A</w:t>
            </w:r>
            <w:r>
              <w:rPr>
                <w:rFonts w:ascii="Times" w:hAnsi="Times" w:eastAsia="等线"/>
                <w:b/>
                <w:bCs/>
                <w:sz w:val="18"/>
                <w:szCs w:val="18"/>
                <w:highlight w:val="green"/>
                <w:lang w:val="en-GB"/>
              </w:rPr>
              <w:t>greement</w:t>
            </w:r>
          </w:p>
          <w:p w14:paraId="171BAC7A">
            <w:pPr>
              <w:rPr>
                <w:rFonts w:ascii="Times" w:hAnsi="Times" w:eastAsia="Batang"/>
                <w:sz w:val="18"/>
                <w:szCs w:val="18"/>
                <w:lang w:val="en-GB"/>
              </w:rPr>
            </w:pPr>
            <w:r>
              <w:rPr>
                <w:rFonts w:ascii="Times" w:hAnsi="Times" w:eastAsia="Batang"/>
                <w:sz w:val="18"/>
                <w:szCs w:val="18"/>
                <w:lang w:val="en-GB"/>
              </w:rPr>
              <w:t>In Rel-19 AI/ML based positioning, regarding the time domain channel measurements, RAN1 investigate the following alternatives:</w:t>
            </w:r>
          </w:p>
          <w:p w14:paraId="1BB49060">
            <w:pPr>
              <w:widowControl w:val="0"/>
              <w:numPr>
                <w:ilvl w:val="3"/>
                <w:numId w:val="23"/>
              </w:numPr>
              <w:ind w:left="720"/>
              <w:rPr>
                <w:rFonts w:ascii="Times" w:hAnsi="Times" w:eastAsia="Batang"/>
                <w:sz w:val="18"/>
                <w:szCs w:val="18"/>
                <w:lang w:val="en-GB" w:eastAsia="zh-CN"/>
              </w:rPr>
            </w:pPr>
            <w:r>
              <w:rPr>
                <w:rFonts w:ascii="Times" w:hAnsi="Times" w:eastAsia="Batang"/>
                <w:sz w:val="18"/>
                <w:szCs w:val="18"/>
                <w:lang w:val="en-GB" w:eastAsia="zh-CN"/>
              </w:rPr>
              <w:t xml:space="preserve">Alternative (a).  Sample-based measurements, where the timing information is an integer multiple of sampling periods. </w:t>
            </w:r>
          </w:p>
          <w:p w14:paraId="7913745C">
            <w:pPr>
              <w:widowControl w:val="0"/>
              <w:numPr>
                <w:ilvl w:val="3"/>
                <w:numId w:val="23"/>
              </w:numPr>
              <w:ind w:left="720"/>
              <w:rPr>
                <w:rFonts w:ascii="Times" w:hAnsi="Times" w:eastAsia="Batang"/>
                <w:sz w:val="18"/>
                <w:szCs w:val="18"/>
                <w:lang w:val="en-GB" w:eastAsia="zh-CN"/>
              </w:rPr>
            </w:pPr>
            <w:r>
              <w:rPr>
                <w:rFonts w:ascii="Times" w:hAnsi="Times" w:eastAsia="Batang"/>
                <w:sz w:val="18"/>
                <w:szCs w:val="18"/>
                <w:lang w:val="en-GB" w:eastAsia="zh-CN"/>
              </w:rPr>
              <w:t>Alternative (b).  Path-based measurements, where the timing information is according to the detected path timing and may not be an integer multiple of sampling periods.</w:t>
            </w:r>
          </w:p>
          <w:p w14:paraId="7A63E42E">
            <w:pPr>
              <w:rPr>
                <w:rFonts w:ascii="Times" w:hAnsi="Times" w:eastAsia="Batang"/>
                <w:sz w:val="18"/>
                <w:szCs w:val="18"/>
                <w:lang w:val="en-GB"/>
              </w:rPr>
            </w:pPr>
            <w:r>
              <w:rPr>
                <w:rFonts w:ascii="Times" w:hAnsi="Times" w:eastAsia="Batang"/>
                <w:sz w:val="18"/>
                <w:szCs w:val="18"/>
                <w:lang w:val="en-GB"/>
              </w:rPr>
              <w:t>The issues to be studied include, but not limited to, the following:</w:t>
            </w:r>
          </w:p>
          <w:p w14:paraId="6535B52A">
            <w:pPr>
              <w:widowControl w:val="0"/>
              <w:numPr>
                <w:ilvl w:val="3"/>
                <w:numId w:val="23"/>
              </w:numPr>
              <w:ind w:left="720"/>
              <w:rPr>
                <w:rFonts w:ascii="Times" w:hAnsi="Times" w:eastAsia="Batang"/>
                <w:sz w:val="18"/>
                <w:szCs w:val="18"/>
                <w:lang w:val="en-GB" w:eastAsia="zh-CN"/>
              </w:rPr>
            </w:pPr>
            <w:r>
              <w:rPr>
                <w:rFonts w:ascii="Times" w:hAnsi="Times" w:eastAsia="Batang"/>
                <w:sz w:val="18"/>
                <w:szCs w:val="18"/>
                <w:lang w:val="en-GB" w:eastAsia="zh-CN"/>
              </w:rPr>
              <w:t>Tradeoff of positioning accuracy and signaling overhead</w:t>
            </w:r>
          </w:p>
          <w:p w14:paraId="58740138">
            <w:pPr>
              <w:widowControl w:val="0"/>
              <w:numPr>
                <w:ilvl w:val="3"/>
                <w:numId w:val="23"/>
              </w:numPr>
              <w:ind w:left="720"/>
              <w:rPr>
                <w:rFonts w:ascii="Times" w:hAnsi="Times" w:eastAsia="Batang"/>
                <w:sz w:val="18"/>
                <w:szCs w:val="18"/>
                <w:lang w:val="en-GB" w:eastAsia="zh-CN"/>
              </w:rPr>
            </w:pPr>
            <w:r>
              <w:rPr>
                <w:rFonts w:ascii="Times" w:hAnsi="Times" w:eastAsia="Batang"/>
                <w:sz w:val="18"/>
                <w:szCs w:val="18"/>
                <w:lang w:val="en-GB" w:eastAsia="zh-CN"/>
              </w:rPr>
              <w:t xml:space="preserve">Impact and necessary details of gNB/UE implementation to obtain the channel measurement values. </w:t>
            </w:r>
          </w:p>
          <w:p w14:paraId="755FAFEF">
            <w:pPr>
              <w:widowControl w:val="0"/>
              <w:numPr>
                <w:ilvl w:val="3"/>
                <w:numId w:val="23"/>
              </w:numPr>
              <w:ind w:left="720"/>
              <w:rPr>
                <w:rFonts w:ascii="Times" w:hAnsi="Times" w:eastAsia="Batang"/>
                <w:sz w:val="18"/>
                <w:szCs w:val="18"/>
                <w:lang w:val="en-GB" w:eastAsia="zh-CN"/>
              </w:rPr>
            </w:pPr>
            <w:r>
              <w:rPr>
                <w:rFonts w:ascii="Times" w:hAnsi="Times" w:eastAsia="Batang"/>
                <w:sz w:val="18"/>
                <w:szCs w:val="18"/>
                <w:lang w:val="en-GB" w:eastAsia="zh-CN"/>
              </w:rPr>
              <w:t>Whether the same Alternative(s) applies to all cases</w:t>
            </w:r>
            <w:r>
              <w:rPr>
                <w:rFonts w:ascii="Times" w:hAnsi="Times" w:eastAsia="Batang"/>
                <w:sz w:val="18"/>
                <w:szCs w:val="18"/>
                <w:lang w:eastAsia="zh-CN"/>
              </w:rPr>
              <w:t xml:space="preserve"> </w:t>
            </w:r>
            <w:r>
              <w:rPr>
                <w:rFonts w:ascii="Times" w:hAnsi="Times" w:eastAsia="Batang"/>
                <w:sz w:val="18"/>
                <w:szCs w:val="18"/>
                <w:lang w:val="en-GB" w:eastAsia="zh-CN"/>
              </w:rPr>
              <w:t>or not</w:t>
            </w:r>
          </w:p>
          <w:p w14:paraId="72ED67EC">
            <w:pPr>
              <w:widowControl w:val="0"/>
              <w:numPr>
                <w:ilvl w:val="3"/>
                <w:numId w:val="23"/>
              </w:numPr>
              <w:ind w:left="720"/>
              <w:rPr>
                <w:rFonts w:ascii="Times" w:hAnsi="Times" w:eastAsia="Batang"/>
                <w:sz w:val="18"/>
                <w:szCs w:val="18"/>
                <w:lang w:val="en-GB" w:eastAsia="zh-CN"/>
              </w:rPr>
            </w:pPr>
            <w:r>
              <w:rPr>
                <w:rFonts w:ascii="Times" w:hAnsi="Times" w:eastAsia="Batang"/>
                <w:sz w:val="18"/>
                <w:szCs w:val="18"/>
                <w:lang w:val="en-GB" w:eastAsia="zh-CN"/>
              </w:rPr>
              <w:t>Applicability and necessity of specifying the Alternative(s) to different cases</w:t>
            </w:r>
          </w:p>
          <w:p w14:paraId="18B8AB91">
            <w:pPr>
              <w:widowControl w:val="0"/>
              <w:numPr>
                <w:ilvl w:val="3"/>
                <w:numId w:val="23"/>
              </w:numPr>
              <w:ind w:left="720"/>
              <w:rPr>
                <w:rFonts w:ascii="Times" w:hAnsi="Times" w:eastAsia="Batang"/>
                <w:sz w:val="18"/>
                <w:szCs w:val="18"/>
                <w:lang w:val="en-GB" w:eastAsia="zh-CN"/>
              </w:rPr>
            </w:pPr>
            <w:r>
              <w:rPr>
                <w:rFonts w:ascii="Times" w:hAnsi="Times" w:eastAsia="Batang"/>
                <w:sz w:val="18"/>
                <w:szCs w:val="18"/>
                <w:lang w:val="en-GB" w:eastAsia="zh-CN"/>
              </w:rPr>
              <w:t xml:space="preserve">Note: different sub-cases may have different issues. </w:t>
            </w:r>
          </w:p>
          <w:p w14:paraId="6A843C0A">
            <w:pPr>
              <w:rPr>
                <w:rFonts w:ascii="Times" w:hAnsi="Times" w:eastAsia="Batang"/>
                <w:sz w:val="18"/>
                <w:szCs w:val="18"/>
                <w:lang w:val="en-GB"/>
              </w:rPr>
            </w:pPr>
            <w:r>
              <w:rPr>
                <w:rFonts w:ascii="Times" w:hAnsi="Times" w:eastAsia="Batang"/>
                <w:sz w:val="18"/>
                <w:szCs w:val="18"/>
                <w:lang w:val="en-GB"/>
              </w:rPr>
              <w:t>Note: In addition to timing information, the components for the channel measurement for model input may also include power and potentially phase. To provide the type of the channel measurement in their investigation.</w:t>
            </w:r>
          </w:p>
        </w:tc>
      </w:tr>
    </w:tbl>
    <w:p w14:paraId="1B1131F0"/>
    <w:p w14:paraId="49C5B1AF">
      <w:r>
        <w:t>During RAN1#119, the use of sample based reporting was agreed, together with path based reporting, as the supported options for case 3b:</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65E7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69516E05">
            <w:pPr>
              <w:spacing w:after="0"/>
              <w:rPr>
                <w:rFonts w:eastAsia="等线"/>
                <w:sz w:val="20"/>
                <w:szCs w:val="20"/>
                <w:highlight w:val="green"/>
                <w:lang w:eastAsia="zh-CN"/>
              </w:rPr>
            </w:pPr>
            <w:r>
              <w:rPr>
                <w:rFonts w:hint="eastAsia" w:eastAsia="等线"/>
                <w:sz w:val="20"/>
                <w:szCs w:val="20"/>
                <w:highlight w:val="green"/>
                <w:lang w:eastAsia="zh-CN"/>
              </w:rPr>
              <w:t>Agreement</w:t>
            </w:r>
          </w:p>
          <w:p w14:paraId="73F6A9CD">
            <w:pPr>
              <w:spacing w:after="0"/>
              <w:rPr>
                <w:sz w:val="20"/>
                <w:szCs w:val="20"/>
              </w:rPr>
            </w:pPr>
            <w:r>
              <w:rPr>
                <w:sz w:val="20"/>
                <w:szCs w:val="20"/>
              </w:rPr>
              <w:t xml:space="preserve">For Rel-19 AI/ML based positioning, </w:t>
            </w:r>
            <w:r>
              <w:rPr>
                <w:rFonts w:hint="eastAsia"/>
                <w:sz w:val="20"/>
                <w:szCs w:val="20"/>
              </w:rPr>
              <w:t xml:space="preserve">for </w:t>
            </w:r>
            <w:r>
              <w:rPr>
                <w:sz w:val="20"/>
                <w:szCs w:val="20"/>
              </w:rPr>
              <w:t>C</w:t>
            </w:r>
            <w:r>
              <w:rPr>
                <w:rFonts w:hint="eastAsia"/>
                <w:sz w:val="20"/>
                <w:szCs w:val="20"/>
              </w:rPr>
              <w:t xml:space="preserve">ase 3b, in addition to path-based measurement that is </w:t>
            </w:r>
            <w:r>
              <w:rPr>
                <w:sz w:val="20"/>
                <w:szCs w:val="20"/>
                <w:lang w:eastAsia="zh-CN"/>
              </w:rPr>
              <w:t>refer</w:t>
            </w:r>
            <w:r>
              <w:rPr>
                <w:rFonts w:hint="eastAsia"/>
                <w:sz w:val="20"/>
                <w:szCs w:val="20"/>
              </w:rPr>
              <w:t>ring</w:t>
            </w:r>
            <w:r>
              <w:rPr>
                <w:sz w:val="20"/>
                <w:szCs w:val="20"/>
                <w:lang w:eastAsia="zh-CN"/>
              </w:rPr>
              <w:t xml:space="preserve"> to the measurement in the existing specifications (up to Rel-18)</w:t>
            </w:r>
            <w:r>
              <w:rPr>
                <w:rFonts w:hint="eastAsia"/>
                <w:sz w:val="20"/>
                <w:szCs w:val="20"/>
              </w:rPr>
              <w:t xml:space="preserve">, additionally support </w:t>
            </w:r>
            <w:r>
              <w:rPr>
                <w:sz w:val="20"/>
                <w:szCs w:val="20"/>
              </w:rPr>
              <w:t xml:space="preserve">the following </w:t>
            </w:r>
            <w:r>
              <w:rPr>
                <w:rFonts w:hint="eastAsia"/>
                <w:sz w:val="20"/>
                <w:szCs w:val="20"/>
              </w:rPr>
              <w:t>enhancement to the measurement</w:t>
            </w:r>
            <w:r>
              <w:rPr>
                <w:sz w:val="20"/>
                <w:szCs w:val="20"/>
              </w:rPr>
              <w:t xml:space="preserve">, </w:t>
            </w:r>
          </w:p>
          <w:p w14:paraId="58DD2491">
            <w:pPr>
              <w:widowControl w:val="0"/>
              <w:numPr>
                <w:ilvl w:val="0"/>
                <w:numId w:val="21"/>
              </w:numPr>
              <w:suppressAutoHyphens/>
              <w:spacing w:after="0"/>
              <w:rPr>
                <w:sz w:val="20"/>
                <w:szCs w:val="20"/>
              </w:rPr>
            </w:pPr>
            <w:r>
              <w:rPr>
                <w:sz w:val="20"/>
                <w:szCs w:val="20"/>
              </w:rPr>
              <w:t>The measurement is composed of N</w:t>
            </w:r>
            <w:r>
              <w:rPr>
                <w:sz w:val="20"/>
                <w:szCs w:val="20"/>
                <w:vertAlign w:val="subscript"/>
              </w:rPr>
              <w:t>t</w:t>
            </w:r>
            <w:r>
              <w:rPr>
                <w:sz w:val="20"/>
                <w:szCs w:val="20"/>
              </w:rPr>
              <w:t>' values</w:t>
            </w:r>
            <w:r>
              <w:rPr>
                <w:rFonts w:hint="eastAsia"/>
                <w:sz w:val="20"/>
                <w:szCs w:val="20"/>
              </w:rPr>
              <w:t xml:space="preserve"> </w:t>
            </w:r>
            <w:r>
              <w:rPr>
                <w:sz w:val="20"/>
                <w:szCs w:val="20"/>
              </w:rPr>
              <w:t>of the estimated channel response in time domain. The N</w:t>
            </w:r>
            <w:r>
              <w:rPr>
                <w:sz w:val="20"/>
                <w:szCs w:val="20"/>
                <w:vertAlign w:val="subscript"/>
              </w:rPr>
              <w:t>t</w:t>
            </w:r>
            <w:r>
              <w:rPr>
                <w:sz w:val="20"/>
                <w:szCs w:val="20"/>
              </w:rPr>
              <w:t>’ values are selected from a list of N</w:t>
            </w:r>
            <w:r>
              <w:rPr>
                <w:sz w:val="20"/>
                <w:szCs w:val="20"/>
                <w:vertAlign w:val="subscript"/>
              </w:rPr>
              <w:t>t</w:t>
            </w:r>
            <w:r>
              <w:rPr>
                <w:sz w:val="20"/>
                <w:szCs w:val="20"/>
              </w:rPr>
              <w:t xml:space="preserve"> consecutive channel response values, which have timing granularity T. </w:t>
            </w:r>
          </w:p>
          <w:p w14:paraId="36D0BBB3">
            <w:pPr>
              <w:widowControl w:val="0"/>
              <w:numPr>
                <w:ilvl w:val="0"/>
                <w:numId w:val="21"/>
              </w:numPr>
              <w:suppressAutoHyphens/>
              <w:spacing w:after="0"/>
              <w:rPr>
                <w:sz w:val="20"/>
                <w:szCs w:val="20"/>
              </w:rPr>
            </w:pPr>
            <w:r>
              <w:rPr>
                <w:sz w:val="20"/>
                <w:szCs w:val="20"/>
              </w:rPr>
              <w:t>The timing information for the N</w:t>
            </w:r>
            <w:r>
              <w:rPr>
                <w:sz w:val="20"/>
                <w:szCs w:val="20"/>
                <w:vertAlign w:val="subscript"/>
              </w:rPr>
              <w:t>t</w:t>
            </w:r>
            <w:r>
              <w:rPr>
                <w:sz w:val="20"/>
                <w:szCs w:val="20"/>
              </w:rPr>
              <w:t>' values are reported with a timing granularity T, where T=2</w:t>
            </w:r>
            <w:r>
              <w:rPr>
                <w:sz w:val="20"/>
                <w:szCs w:val="20"/>
                <w:vertAlign w:val="superscript"/>
              </w:rPr>
              <w:t>k</w:t>
            </w:r>
            <w:r>
              <w:rPr>
                <w:sz w:val="20"/>
                <w:szCs w:val="20"/>
              </w:rPr>
              <w:t>xT</w:t>
            </w:r>
            <w:r>
              <w:rPr>
                <w:sz w:val="20"/>
                <w:szCs w:val="20"/>
                <w:vertAlign w:val="subscript"/>
              </w:rPr>
              <w:t>c</w:t>
            </w:r>
            <w:r>
              <w:rPr>
                <w:sz w:val="20"/>
                <w:szCs w:val="20"/>
              </w:rPr>
              <w:t>. k represents the timing reporting granularity factor. T</w:t>
            </w:r>
            <w:r>
              <w:rPr>
                <w:sz w:val="20"/>
                <w:szCs w:val="20"/>
                <w:vertAlign w:val="subscript"/>
              </w:rPr>
              <w:t>c</w:t>
            </w:r>
            <w:r>
              <w:rPr>
                <w:sz w:val="20"/>
                <w:szCs w:val="20"/>
              </w:rPr>
              <w:t xml:space="preserve"> is the basic time unit for NR. </w:t>
            </w:r>
          </w:p>
          <w:p w14:paraId="00BD8086">
            <w:pPr>
              <w:widowControl w:val="0"/>
              <w:numPr>
                <w:ilvl w:val="1"/>
                <w:numId w:val="21"/>
              </w:numPr>
              <w:suppressAutoHyphens/>
              <w:spacing w:after="0"/>
              <w:rPr>
                <w:sz w:val="20"/>
                <w:szCs w:val="20"/>
              </w:rPr>
            </w:pPr>
            <w:r>
              <w:rPr>
                <w:sz w:val="20"/>
                <w:szCs w:val="20"/>
              </w:rPr>
              <w:t>The associated measurement (e.g., power if reported) corresponds to the measurement for the reported N</w:t>
            </w:r>
            <w:r>
              <w:rPr>
                <w:sz w:val="20"/>
                <w:szCs w:val="20"/>
                <w:vertAlign w:val="subscript"/>
              </w:rPr>
              <w:t>t</w:t>
            </w:r>
            <w:r>
              <w:rPr>
                <w:sz w:val="20"/>
                <w:szCs w:val="20"/>
              </w:rPr>
              <w:t>' values.</w:t>
            </w:r>
          </w:p>
          <w:p w14:paraId="00F83487">
            <w:pPr>
              <w:pStyle w:val="133"/>
              <w:widowControl w:val="0"/>
              <w:numPr>
                <w:ilvl w:val="0"/>
                <w:numId w:val="21"/>
              </w:numPr>
              <w:tabs>
                <w:tab w:val="clear" w:pos="0"/>
              </w:tabs>
              <w:suppressAutoHyphens w:val="0"/>
              <w:rPr>
                <w:sz w:val="20"/>
              </w:rPr>
            </w:pPr>
            <w:r>
              <w:rPr>
                <w:sz w:val="20"/>
              </w:rPr>
              <w:t xml:space="preserve">The </w:t>
            </w:r>
            <w:r>
              <w:rPr>
                <w:rFonts w:hint="eastAsia"/>
                <w:sz w:val="20"/>
              </w:rPr>
              <w:t>timing information is</w:t>
            </w:r>
            <w:r>
              <w:rPr>
                <w:sz w:val="20"/>
              </w:rPr>
              <w:t xml:space="preserve"> defined relative to a reference time</w:t>
            </w:r>
            <w:r>
              <w:rPr>
                <w:rFonts w:hint="eastAsia" w:eastAsia="等线"/>
                <w:sz w:val="20"/>
              </w:rPr>
              <w:t>, same as the path-based measurement</w:t>
            </w:r>
            <w:r>
              <w:rPr>
                <w:sz w:val="20"/>
              </w:rPr>
              <w:t xml:space="preserve">. </w:t>
            </w:r>
          </w:p>
          <w:p w14:paraId="4D03DA16">
            <w:pPr>
              <w:widowControl w:val="0"/>
              <w:numPr>
                <w:ilvl w:val="0"/>
                <w:numId w:val="21"/>
              </w:numPr>
              <w:suppressAutoHyphens/>
              <w:spacing w:after="0"/>
              <w:rPr>
                <w:sz w:val="20"/>
                <w:szCs w:val="20"/>
              </w:rPr>
            </w:pPr>
            <w:r>
              <w:rPr>
                <w:sz w:val="20"/>
                <w:szCs w:val="20"/>
              </w:rPr>
              <w:t>The N</w:t>
            </w:r>
            <w:r>
              <w:rPr>
                <w:sz w:val="20"/>
                <w:szCs w:val="20"/>
                <w:vertAlign w:val="subscript"/>
              </w:rPr>
              <w:t>t</w:t>
            </w:r>
            <w:r>
              <w:rPr>
                <w:sz w:val="20"/>
                <w:szCs w:val="20"/>
              </w:rPr>
              <w:t>’ selected time domain channel measurement values are expected to be those with the highest power.</w:t>
            </w:r>
          </w:p>
          <w:p w14:paraId="27D2686D">
            <w:pPr>
              <w:widowControl w:val="0"/>
              <w:numPr>
                <w:ilvl w:val="0"/>
                <w:numId w:val="21"/>
              </w:numPr>
              <w:suppressAutoHyphens/>
              <w:spacing w:after="0"/>
              <w:rPr>
                <w:sz w:val="20"/>
                <w:szCs w:val="20"/>
              </w:rPr>
            </w:pPr>
            <w:r>
              <w:rPr>
                <w:sz w:val="20"/>
                <w:szCs w:val="20"/>
              </w:rPr>
              <w:t>The starting time of the list of N</w:t>
            </w:r>
            <w:r>
              <w:rPr>
                <w:sz w:val="20"/>
                <w:szCs w:val="20"/>
                <w:vertAlign w:val="subscript"/>
              </w:rPr>
              <w:t>t</w:t>
            </w:r>
            <w:r>
              <w:rPr>
                <w:sz w:val="20"/>
                <w:szCs w:val="20"/>
              </w:rPr>
              <w:t xml:space="preserve"> consecutive values is determined as: starting time = first detected path rounded down with timing granularity T</w:t>
            </w:r>
            <w:r>
              <w:rPr>
                <w:rFonts w:eastAsia="Calibri"/>
                <w:sz w:val="20"/>
                <w:szCs w:val="20"/>
              </w:rPr>
              <w:t>.</w:t>
            </w:r>
          </w:p>
          <w:p w14:paraId="4DFCF470">
            <w:pPr>
              <w:widowControl w:val="0"/>
              <w:numPr>
                <w:ilvl w:val="0"/>
                <w:numId w:val="21"/>
              </w:numPr>
              <w:suppressAutoHyphens/>
              <w:spacing w:after="0"/>
              <w:rPr>
                <w:sz w:val="20"/>
                <w:szCs w:val="20"/>
              </w:rPr>
            </w:pPr>
            <w:r>
              <w:rPr>
                <w:sz w:val="20"/>
                <w:szCs w:val="20"/>
              </w:rPr>
              <w:t xml:space="preserve">LMF </w:t>
            </w:r>
            <w:r>
              <w:rPr>
                <w:rFonts w:hint="eastAsia"/>
                <w:sz w:val="20"/>
                <w:szCs w:val="20"/>
              </w:rPr>
              <w:t xml:space="preserve">can </w:t>
            </w:r>
            <w:r>
              <w:rPr>
                <w:sz w:val="20"/>
                <w:szCs w:val="20"/>
              </w:rPr>
              <w:t>signal parameter values of N</w:t>
            </w:r>
            <w:r>
              <w:rPr>
                <w:sz w:val="20"/>
                <w:szCs w:val="20"/>
                <w:vertAlign w:val="subscript"/>
              </w:rPr>
              <w:t>t</w:t>
            </w:r>
            <w:r>
              <w:rPr>
                <w:sz w:val="20"/>
                <w:szCs w:val="20"/>
              </w:rPr>
              <w:t>, N</w:t>
            </w:r>
            <w:r>
              <w:rPr>
                <w:sz w:val="20"/>
                <w:szCs w:val="20"/>
                <w:vertAlign w:val="subscript"/>
              </w:rPr>
              <w:t>t</w:t>
            </w:r>
            <w:r>
              <w:rPr>
                <w:sz w:val="20"/>
                <w:szCs w:val="20"/>
              </w:rPr>
              <w:t>', k to gNB via NRPPa. Candi</w:t>
            </w:r>
            <w:r>
              <w:rPr>
                <w:rFonts w:hint="eastAsia"/>
                <w:sz w:val="20"/>
                <w:szCs w:val="20"/>
              </w:rPr>
              <w:t>d</w:t>
            </w:r>
            <w:r>
              <w:rPr>
                <w:sz w:val="20"/>
                <w:szCs w:val="20"/>
              </w:rPr>
              <w:t>ate set values:</w:t>
            </w:r>
          </w:p>
          <w:p w14:paraId="7C3A5A87">
            <w:pPr>
              <w:widowControl w:val="0"/>
              <w:numPr>
                <w:ilvl w:val="1"/>
                <w:numId w:val="21"/>
              </w:numPr>
              <w:suppressAutoHyphens/>
              <w:spacing w:after="0"/>
              <w:rPr>
                <w:sz w:val="20"/>
                <w:szCs w:val="20"/>
              </w:rPr>
            </w:pPr>
            <w:r>
              <w:rPr>
                <w:sz w:val="20"/>
                <w:szCs w:val="20"/>
              </w:rPr>
              <w:t>N</w:t>
            </w:r>
            <w:r>
              <w:rPr>
                <w:sz w:val="20"/>
                <w:szCs w:val="20"/>
                <w:vertAlign w:val="subscript"/>
              </w:rPr>
              <w:t>t</w:t>
            </w:r>
            <w:r>
              <w:rPr>
                <w:sz w:val="20"/>
                <w:szCs w:val="20"/>
              </w:rPr>
              <w:t xml:space="preserve">'&lt;=24. </w:t>
            </w:r>
            <w:r>
              <w:rPr>
                <w:rFonts w:hint="eastAsia"/>
                <w:sz w:val="20"/>
                <w:szCs w:val="20"/>
              </w:rPr>
              <w:t>FFS:</w:t>
            </w:r>
            <w:r>
              <w:rPr>
                <w:sz w:val="20"/>
                <w:szCs w:val="20"/>
              </w:rPr>
              <w:t xml:space="preserve"> N</w:t>
            </w:r>
            <w:r>
              <w:rPr>
                <w:sz w:val="20"/>
                <w:szCs w:val="20"/>
                <w:vertAlign w:val="subscript"/>
              </w:rPr>
              <w:t>t</w:t>
            </w:r>
            <w:r>
              <w:rPr>
                <w:sz w:val="20"/>
                <w:szCs w:val="20"/>
              </w:rPr>
              <w:t>' values.</w:t>
            </w:r>
            <w:r>
              <w:rPr>
                <w:rFonts w:hint="eastAsia"/>
                <w:sz w:val="20"/>
                <w:szCs w:val="20"/>
              </w:rPr>
              <w:t xml:space="preserve"> </w:t>
            </w:r>
            <w:r>
              <w:rPr>
                <w:sz w:val="20"/>
                <w:szCs w:val="20"/>
              </w:rPr>
              <w:t xml:space="preserve"> </w:t>
            </w:r>
          </w:p>
          <w:p w14:paraId="65AFF82F">
            <w:pPr>
              <w:widowControl w:val="0"/>
              <w:numPr>
                <w:ilvl w:val="1"/>
                <w:numId w:val="21"/>
              </w:numPr>
              <w:suppressAutoHyphens/>
              <w:spacing w:after="0"/>
              <w:rPr>
                <w:sz w:val="20"/>
                <w:szCs w:val="20"/>
              </w:rPr>
            </w:pPr>
            <w:r>
              <w:rPr>
                <w:sz w:val="20"/>
                <w:szCs w:val="20"/>
              </w:rPr>
              <w:t>N</w:t>
            </w:r>
            <w:r>
              <w:rPr>
                <w:sz w:val="20"/>
                <w:szCs w:val="20"/>
                <w:vertAlign w:val="subscript"/>
              </w:rPr>
              <w:t>t</w:t>
            </w:r>
            <w:r>
              <w:rPr>
                <w:sz w:val="20"/>
                <w:szCs w:val="20"/>
              </w:rPr>
              <w:t xml:space="preserve"> = {32, 64, 128}</w:t>
            </w:r>
          </w:p>
          <w:p w14:paraId="2AD108C1">
            <w:pPr>
              <w:widowControl w:val="0"/>
              <w:numPr>
                <w:ilvl w:val="1"/>
                <w:numId w:val="21"/>
              </w:numPr>
              <w:suppressAutoHyphens/>
              <w:spacing w:after="0"/>
              <w:rPr>
                <w:sz w:val="20"/>
                <w:szCs w:val="20"/>
              </w:rPr>
            </w:pPr>
            <w:r>
              <w:rPr>
                <w:rFonts w:hint="eastAsia"/>
                <w:sz w:val="20"/>
                <w:szCs w:val="20"/>
              </w:rPr>
              <w:t xml:space="preserve">FFS: </w:t>
            </w:r>
            <w:r>
              <w:rPr>
                <w:sz w:val="20"/>
                <w:szCs w:val="20"/>
              </w:rPr>
              <w:t xml:space="preserve">k </w:t>
            </w:r>
          </w:p>
          <w:p w14:paraId="30499A3F">
            <w:pPr>
              <w:widowControl w:val="0"/>
              <w:numPr>
                <w:ilvl w:val="1"/>
                <w:numId w:val="21"/>
              </w:numPr>
              <w:suppressAutoHyphens/>
              <w:spacing w:after="0"/>
              <w:rPr>
                <w:sz w:val="20"/>
                <w:szCs w:val="20"/>
              </w:rPr>
            </w:pPr>
            <w:r>
              <w:rPr>
                <w:sz w:val="20"/>
                <w:szCs w:val="20"/>
              </w:rPr>
              <w:t>The gNB/TRP may use different N</w:t>
            </w:r>
            <w:r>
              <w:rPr>
                <w:sz w:val="20"/>
                <w:szCs w:val="20"/>
                <w:vertAlign w:val="subscript"/>
              </w:rPr>
              <w:t>t</w:t>
            </w:r>
            <w:r>
              <w:rPr>
                <w:sz w:val="20"/>
                <w:szCs w:val="20"/>
              </w:rPr>
              <w:t>'</w:t>
            </w:r>
            <w:r>
              <w:rPr>
                <w:rFonts w:hint="eastAsia"/>
                <w:sz w:val="20"/>
                <w:szCs w:val="20"/>
              </w:rPr>
              <w:t xml:space="preserve">, </w:t>
            </w:r>
            <w:r>
              <w:rPr>
                <w:sz w:val="20"/>
                <w:szCs w:val="20"/>
              </w:rPr>
              <w:t>N</w:t>
            </w:r>
            <w:r>
              <w:rPr>
                <w:sz w:val="20"/>
                <w:szCs w:val="20"/>
                <w:vertAlign w:val="subscript"/>
              </w:rPr>
              <w:t>t</w:t>
            </w:r>
            <w:r>
              <w:rPr>
                <w:sz w:val="20"/>
                <w:szCs w:val="20"/>
              </w:rPr>
              <w:t xml:space="preserve"> and/or k values other than the signalled parameter for measurement reporting. In this case, it’s up to LMF implementation to process the reported measurement</w:t>
            </w:r>
          </w:p>
          <w:p w14:paraId="12AF3D54">
            <w:pPr>
              <w:widowControl w:val="0"/>
              <w:numPr>
                <w:ilvl w:val="0"/>
                <w:numId w:val="21"/>
              </w:numPr>
              <w:tabs>
                <w:tab w:val="left" w:pos="720"/>
              </w:tabs>
              <w:suppressAutoHyphens/>
              <w:spacing w:after="0"/>
              <w:rPr>
                <w:color w:val="0070C0"/>
                <w:sz w:val="20"/>
                <w:szCs w:val="20"/>
              </w:rPr>
            </w:pPr>
            <w:r>
              <w:rPr>
                <w:rFonts w:hint="eastAsia"/>
                <w:color w:val="0070C0"/>
                <w:sz w:val="20"/>
                <w:szCs w:val="20"/>
              </w:rPr>
              <w:t>FFS: whether transmit offset from gNB to LMF</w:t>
            </w:r>
          </w:p>
          <w:p w14:paraId="67D07C35">
            <w:pPr>
              <w:spacing w:after="0"/>
              <w:rPr>
                <w:sz w:val="20"/>
                <w:szCs w:val="20"/>
              </w:rPr>
            </w:pPr>
            <w:r>
              <w:rPr>
                <w:sz w:val="20"/>
                <w:szCs w:val="20"/>
              </w:rPr>
              <w:t>Note: measurement by UE is a separate discussion.</w:t>
            </w:r>
          </w:p>
          <w:p w14:paraId="1F6E4F60">
            <w:pPr>
              <w:spacing w:after="0"/>
              <w:rPr>
                <w:sz w:val="20"/>
                <w:szCs w:val="20"/>
              </w:rPr>
            </w:pPr>
            <w:r>
              <w:rPr>
                <w:sz w:val="20"/>
                <w:szCs w:val="20"/>
              </w:rPr>
              <w:t xml:space="preserve">Note: the purpose of the time domain channel measurements, such as for Rel-19 AI/ML based positioning, is not specified </w:t>
            </w:r>
          </w:p>
        </w:tc>
      </w:tr>
    </w:tbl>
    <w:p w14:paraId="00DF4C13"/>
    <w:p w14:paraId="4EB47298">
      <w:r>
        <w:t>The remaining issues to be discussed are thus:</w:t>
      </w:r>
    </w:p>
    <w:p w14:paraId="0CE2CFA4">
      <w:pPr>
        <w:pStyle w:val="133"/>
        <w:numPr>
          <w:ilvl w:val="0"/>
          <w:numId w:val="21"/>
        </w:numPr>
      </w:pPr>
      <w:r>
        <w:t>Parameter values for Nt, Nt', k.</w:t>
      </w:r>
    </w:p>
    <w:p w14:paraId="43C7F3CC">
      <w:pPr>
        <w:pStyle w:val="133"/>
        <w:numPr>
          <w:ilvl w:val="0"/>
          <w:numId w:val="21"/>
        </w:numPr>
      </w:pPr>
      <w:r>
        <w:t xml:space="preserve">Support of sample based reporting for UE measurement reports. </w:t>
      </w:r>
    </w:p>
    <w:p w14:paraId="0C220DAC">
      <w:pPr>
        <w:pStyle w:val="133"/>
        <w:numPr>
          <w:ilvl w:val="0"/>
          <w:numId w:val="21"/>
        </w:numPr>
      </w:pPr>
      <w:r>
        <w:t>How the LMF can request sample or path based measurement reports.</w:t>
      </w:r>
      <w:bookmarkStart w:id="191" w:name="_Toc173940645"/>
      <w:bookmarkEnd w:id="191"/>
      <w:bookmarkStart w:id="192" w:name="_Toc173940644"/>
      <w:bookmarkEnd w:id="192"/>
      <w:bookmarkStart w:id="193" w:name="_Toc173940647"/>
      <w:bookmarkEnd w:id="193"/>
      <w:bookmarkStart w:id="194" w:name="_Toc173940646"/>
      <w:bookmarkEnd w:id="194"/>
    </w:p>
    <w:p w14:paraId="3ABFA55A"/>
    <w:p w14:paraId="404B7DF9">
      <w:pPr>
        <w:pStyle w:val="4"/>
      </w:pPr>
      <w:bookmarkStart w:id="195" w:name="_Toc189845012"/>
      <w:r>
        <w:rPr>
          <w:lang w:val="en-US"/>
        </w:rPr>
        <w:t>Value range for parameters {N</w:t>
      </w:r>
      <w:r>
        <w:rPr>
          <w:vertAlign w:val="subscript"/>
          <w:lang w:val="en-US"/>
        </w:rPr>
        <w:t>t</w:t>
      </w:r>
      <w:r>
        <w:rPr>
          <w:lang w:val="en-US"/>
        </w:rPr>
        <w:t>, N</w:t>
      </w:r>
      <w:r>
        <w:rPr>
          <w:vertAlign w:val="subscript"/>
          <w:lang w:val="en-US"/>
        </w:rPr>
        <w:t>t</w:t>
      </w:r>
      <w:r>
        <w:rPr>
          <w:lang w:val="en-US"/>
        </w:rPr>
        <w:t>', k}</w:t>
      </w:r>
      <w:bookmarkEnd w:id="195"/>
    </w:p>
    <w:p w14:paraId="4DAB4AAA">
      <w:r>
        <w:t>Another open issue in the agreed definition of sample-based measurement is the value range of parameters N</w:t>
      </w:r>
      <w:r>
        <w:rPr>
          <w:vertAlign w:val="subscript"/>
        </w:rPr>
        <w:t>t</w:t>
      </w:r>
      <w:r>
        <w:t>, N</w:t>
      </w:r>
      <w:r>
        <w:rPr>
          <w:vertAlign w:val="subscript"/>
        </w:rPr>
        <w:t>t</w:t>
      </w:r>
      <w:r>
        <w:t>' and k for sample-based measurement.</w:t>
      </w:r>
    </w:p>
    <w:p w14:paraId="325B61C0">
      <w:r>
        <w:t>For Case 3b, parameters N</w:t>
      </w:r>
      <w:r>
        <w:rPr>
          <w:vertAlign w:val="subscript"/>
        </w:rPr>
        <w:t>t</w:t>
      </w:r>
      <w:r>
        <w:t>, N</w:t>
      </w:r>
      <w:r>
        <w:rPr>
          <w:vertAlign w:val="subscript"/>
        </w:rPr>
        <w:t>t</w:t>
      </w:r>
      <w:r>
        <w:t>' and k are selected by LMF and sent to gNB in the measurement request, and the gNB provide measurement report based on the {N</w:t>
      </w:r>
      <w:r>
        <w:rPr>
          <w:vertAlign w:val="subscript"/>
        </w:rPr>
        <w:t>t</w:t>
      </w:r>
      <w:r>
        <w:t>, N</w:t>
      </w:r>
      <w:r>
        <w:rPr>
          <w:vertAlign w:val="subscript"/>
        </w:rPr>
        <w:t>t</w:t>
      </w:r>
      <w:r>
        <w:t>', k} values by LMF. The value range of parameters {N</w:t>
      </w:r>
      <w:r>
        <w:rPr>
          <w:vertAlign w:val="subscript"/>
        </w:rPr>
        <w:t>t</w:t>
      </w:r>
      <w:r>
        <w:t>, N</w:t>
      </w:r>
      <w:r>
        <w:rPr>
          <w:vertAlign w:val="subscript"/>
        </w:rPr>
        <w:t>t</w:t>
      </w:r>
      <w:r>
        <w:t>', k} should not be excessive, because the LMF need to collect data and train a different model for different parameter settings, for example, a different model for each combination of {N</w:t>
      </w:r>
      <w:r>
        <w:rPr>
          <w:vertAlign w:val="subscript"/>
        </w:rPr>
        <w:t>t</w:t>
      </w:r>
      <w:r>
        <w:t>, N</w:t>
      </w:r>
      <w:r>
        <w:rPr>
          <w:vertAlign w:val="subscript"/>
        </w:rPr>
        <w:t>t</w:t>
      </w:r>
      <w:r>
        <w:t>', k}.</w:t>
      </w:r>
    </w:p>
    <w:p w14:paraId="45A8C213">
      <w:r>
        <w:t>From the available range for Nt and Nt’ agreed in RAN1#119, The evaluation results in Rel-18 study item phase as well as Rel-19 show that the maximum value of N</w:t>
      </w:r>
      <w:r>
        <w:rPr>
          <w:vertAlign w:val="subscript"/>
        </w:rPr>
        <w:t>t</w:t>
      </w:r>
      <w:r>
        <w:t xml:space="preserve"> can be set as 64, since it shows no tangible performance degradation compared to 128.</w:t>
      </w:r>
    </w:p>
    <w:p w14:paraId="229DF10A">
      <w:pPr>
        <w:pStyle w:val="97"/>
        <w:rPr>
          <w:lang w:eastAsia="en-GB"/>
        </w:rPr>
      </w:pPr>
      <w:bookmarkStart w:id="196" w:name="_Toc189845061"/>
      <w:r>
        <w:rPr>
          <w:lang w:eastAsia="en-GB"/>
        </w:rPr>
        <w:t xml:space="preserve">From the candidate values agreed in RAN1#119 for </w:t>
      </w:r>
      <w:r>
        <w:t>N</w:t>
      </w:r>
      <w:r>
        <w:rPr>
          <w:vertAlign w:val="subscript"/>
        </w:rPr>
        <w:t>t</w:t>
      </w:r>
      <w:r>
        <w:rPr>
          <w:lang w:eastAsia="en-GB"/>
        </w:rPr>
        <w:t xml:space="preserve"> (N</w:t>
      </w:r>
      <w:r>
        <w:rPr>
          <w:vertAlign w:val="subscript"/>
          <w:lang w:eastAsia="en-GB"/>
        </w:rPr>
        <w:t>t</w:t>
      </w:r>
      <w:r>
        <w:rPr>
          <w:lang w:eastAsia="en-GB"/>
        </w:rPr>
        <w:t xml:space="preserve"> = {32, 64, 128} ), N</w:t>
      </w:r>
      <w:r>
        <w:rPr>
          <w:vertAlign w:val="subscript"/>
          <w:lang w:eastAsia="en-GB"/>
        </w:rPr>
        <w:t>t</w:t>
      </w:r>
      <w:r>
        <w:rPr>
          <w:lang w:eastAsia="en-GB"/>
        </w:rPr>
        <w:t xml:space="preserve"> = 128 does not provide a significant gain.</w:t>
      </w:r>
      <w:bookmarkEnd w:id="196"/>
    </w:p>
    <w:p w14:paraId="276D7F70">
      <w:pPr>
        <w:pStyle w:val="73"/>
        <w:rPr>
          <w:lang w:eastAsia="en-GB"/>
        </w:rPr>
      </w:pPr>
      <w:bookmarkStart w:id="197" w:name="_Toc189845100"/>
      <w:r>
        <w:rPr>
          <w:lang w:eastAsia="en-GB"/>
        </w:rPr>
        <w:t xml:space="preserve">From the candidate values agreed in RAN1#119 for </w:t>
      </w:r>
      <w:r>
        <w:t>N</w:t>
      </w:r>
      <w:r>
        <w:rPr>
          <w:vertAlign w:val="subscript"/>
        </w:rPr>
        <w:t>t</w:t>
      </w:r>
      <w:r>
        <w:rPr>
          <w:lang w:eastAsia="en-GB"/>
        </w:rPr>
        <w:t xml:space="preserve"> (N</w:t>
      </w:r>
      <w:r>
        <w:rPr>
          <w:vertAlign w:val="subscript"/>
          <w:lang w:eastAsia="en-GB"/>
        </w:rPr>
        <w:t>t</w:t>
      </w:r>
      <w:r>
        <w:rPr>
          <w:lang w:eastAsia="en-GB"/>
        </w:rPr>
        <w:t xml:space="preserve"> = {32, 64, 128} ), support N</w:t>
      </w:r>
      <w:r>
        <w:rPr>
          <w:vertAlign w:val="subscript"/>
          <w:lang w:eastAsia="en-GB"/>
        </w:rPr>
        <w:t>t</w:t>
      </w:r>
      <w:r>
        <w:rPr>
          <w:lang w:eastAsia="en-GB"/>
        </w:rPr>
        <w:t xml:space="preserve"> = {32, 64}.</w:t>
      </w:r>
      <w:bookmarkEnd w:id="197"/>
    </w:p>
    <w:p w14:paraId="3988EF4F"/>
    <w:p w14:paraId="0B07A51B">
      <w:r>
        <w:t>For the values of N</w:t>
      </w:r>
      <w:r>
        <w:rPr>
          <w:vertAlign w:val="subscript"/>
        </w:rPr>
        <w:t>t</w:t>
      </w:r>
      <w:r>
        <w:t>’, it was agreed that N</w:t>
      </w:r>
      <w:r>
        <w:rPr>
          <w:vertAlign w:val="subscript"/>
        </w:rPr>
        <w:t>t</w:t>
      </w:r>
      <w:r>
        <w:t>'&lt;=24. The minimum value of N</w:t>
      </w:r>
      <w:r>
        <w:rPr>
          <w:vertAlign w:val="subscript"/>
        </w:rPr>
        <w:t>t</w:t>
      </w:r>
      <w:r>
        <w:t xml:space="preserve"> can be set as 9, the same as the maximum number of paths in the existing measurement report. As seen in the study from Rel-18, there are benefit in reporting up to the full 24 samples (the SI reports shows benefits up to N</w:t>
      </w:r>
      <w:r>
        <w:rPr>
          <w:vertAlign w:val="subscript"/>
        </w:rPr>
        <w:t>t</w:t>
      </w:r>
      <w:r>
        <w:t xml:space="preserve">’=64) </w:t>
      </w:r>
    </w:p>
    <w:p w14:paraId="7059222A">
      <w:r>
        <w:t>For the different combination of N</w:t>
      </w:r>
      <w:r>
        <w:rPr>
          <w:vertAlign w:val="subscript"/>
        </w:rPr>
        <w:t>t</w:t>
      </w:r>
      <w:r>
        <w:t>', N</w:t>
      </w:r>
      <w:r>
        <w:rPr>
          <w:vertAlign w:val="subscript"/>
        </w:rPr>
        <w:t>t</w:t>
      </w:r>
      <w:r>
        <w:t>', at least the legacy for  N</w:t>
      </w:r>
      <w:r>
        <w:rPr>
          <w:vertAlign w:val="subscript"/>
        </w:rPr>
        <w:t>t</w:t>
      </w:r>
      <w:r>
        <w:t>'= 9 values should be supported. Since larger N</w:t>
      </w:r>
      <w:r>
        <w:rPr>
          <w:vertAlign w:val="subscript"/>
        </w:rPr>
        <w:t>t</w:t>
      </w:r>
      <w:r>
        <w:t>’ (e.g., N</w:t>
      </w:r>
      <w:r>
        <w:rPr>
          <w:vertAlign w:val="subscript"/>
        </w:rPr>
        <w:t>t</w:t>
      </w:r>
      <w:r>
        <w:t>’=64) values have been shown to provide performance benefit, the largest agreed value N</w:t>
      </w:r>
      <w:r>
        <w:rPr>
          <w:vertAlign w:val="subscript"/>
        </w:rPr>
        <w:t>t</w:t>
      </w:r>
      <w:r>
        <w:t>’=24 should be supported. In summary, the following parameter combinations can be supported:</w:t>
      </w:r>
    </w:p>
    <w:p w14:paraId="1527C167">
      <w:pPr>
        <w:pStyle w:val="133"/>
        <w:numPr>
          <w:ilvl w:val="1"/>
          <w:numId w:val="24"/>
        </w:numPr>
      </w:pPr>
      <w:r>
        <w:t>For N</w:t>
      </w:r>
      <w:r>
        <w:rPr>
          <w:vertAlign w:val="subscript"/>
        </w:rPr>
        <w:t>t</w:t>
      </w:r>
      <w:r>
        <w:t xml:space="preserve"> = 32: {N</w:t>
      </w:r>
      <w:r>
        <w:rPr>
          <w:vertAlign w:val="subscript"/>
        </w:rPr>
        <w:t>t</w:t>
      </w:r>
      <w:r>
        <w:t>, N</w:t>
      </w:r>
      <w:r>
        <w:rPr>
          <w:vertAlign w:val="subscript"/>
        </w:rPr>
        <w:t>t</w:t>
      </w:r>
      <w:r>
        <w:t>'} = {32, 24}, {32, 9};</w:t>
      </w:r>
    </w:p>
    <w:p w14:paraId="2EBB95EF">
      <w:pPr>
        <w:pStyle w:val="133"/>
        <w:numPr>
          <w:ilvl w:val="1"/>
          <w:numId w:val="24"/>
        </w:numPr>
      </w:pPr>
      <w:r>
        <w:t>For N</w:t>
      </w:r>
      <w:r>
        <w:rPr>
          <w:vertAlign w:val="subscript"/>
        </w:rPr>
        <w:t>t</w:t>
      </w:r>
      <w:r>
        <w:t xml:space="preserve"> = 64: {N</w:t>
      </w:r>
      <w:r>
        <w:rPr>
          <w:vertAlign w:val="subscript"/>
        </w:rPr>
        <w:t>t</w:t>
      </w:r>
      <w:r>
        <w:t>, N</w:t>
      </w:r>
      <w:r>
        <w:rPr>
          <w:vertAlign w:val="subscript"/>
        </w:rPr>
        <w:t>t</w:t>
      </w:r>
      <w:r>
        <w:t>'} = {64, 24}, {64, 16}, {64, 9};</w:t>
      </w:r>
    </w:p>
    <w:p w14:paraId="476F659D"/>
    <w:p w14:paraId="251492F6">
      <w:pPr>
        <w:pStyle w:val="73"/>
        <w:rPr>
          <w:lang w:eastAsia="en-GB"/>
        </w:rPr>
      </w:pPr>
      <w:bookmarkStart w:id="198" w:name="_Toc189845101"/>
      <w:r>
        <w:rPr>
          <w:lang w:eastAsia="en-GB"/>
        </w:rPr>
        <w:t xml:space="preserve">From the candidate values agreed in RAN1#119 for </w:t>
      </w:r>
      <w:r>
        <w:t>N</w:t>
      </w:r>
      <w:r>
        <w:rPr>
          <w:vertAlign w:val="subscript"/>
        </w:rPr>
        <w:t>t</w:t>
      </w:r>
      <w:r>
        <w:t>'</w:t>
      </w:r>
      <w:r>
        <w:rPr>
          <w:lang w:eastAsia="en-GB"/>
        </w:rPr>
        <w:t xml:space="preserve"> (</w:t>
      </w:r>
      <w:r>
        <w:t>N</w:t>
      </w:r>
      <w:r>
        <w:rPr>
          <w:vertAlign w:val="subscript"/>
        </w:rPr>
        <w:t>t</w:t>
      </w:r>
      <w:r>
        <w:t>'</w:t>
      </w:r>
      <w:r>
        <w:rPr>
          <w:lang w:eastAsia="en-GB"/>
        </w:rPr>
        <w:t xml:space="preserve"> &lt;=24), </w:t>
      </w:r>
      <w:r>
        <w:t>N</w:t>
      </w:r>
      <w:r>
        <w:rPr>
          <w:vertAlign w:val="subscript"/>
        </w:rPr>
        <w:t>t</w:t>
      </w:r>
      <w:r>
        <w:t xml:space="preserve">' </w:t>
      </w:r>
      <w:r>
        <w:rPr>
          <w:lang w:eastAsia="en-GB"/>
        </w:rPr>
        <w:t>values {9, 16, 24} are supported.</w:t>
      </w:r>
      <w:bookmarkEnd w:id="198"/>
    </w:p>
    <w:p w14:paraId="1B579742">
      <w:pPr>
        <w:pStyle w:val="73"/>
        <w:rPr>
          <w:lang w:eastAsia="en-GB"/>
        </w:rPr>
      </w:pPr>
      <w:bookmarkStart w:id="199" w:name="_Toc189845102"/>
      <w:r>
        <w:rPr>
          <w:lang w:eastAsia="en-GB"/>
        </w:rPr>
        <w:t xml:space="preserve">For </w:t>
      </w:r>
      <w:r>
        <w:t>{N</w:t>
      </w:r>
      <w:r>
        <w:rPr>
          <w:vertAlign w:val="subscript"/>
        </w:rPr>
        <w:t>t</w:t>
      </w:r>
      <w:r>
        <w:t>, N</w:t>
      </w:r>
      <w:r>
        <w:rPr>
          <w:vertAlign w:val="subscript"/>
        </w:rPr>
        <w:t>t</w:t>
      </w:r>
      <w:r>
        <w:t>'}, support these combinations: {32, 24}, {32, 9}; {64, 24}, {64, 16}, {64, 9}.</w:t>
      </w:r>
      <w:bookmarkEnd w:id="199"/>
    </w:p>
    <w:p w14:paraId="3DF2C24B"/>
    <w:p w14:paraId="55BF9597">
      <w:r>
        <w:t>The exact {N</w:t>
      </w:r>
      <w:r>
        <w:rPr>
          <w:vertAlign w:val="subscript"/>
        </w:rPr>
        <w:t>t</w:t>
      </w:r>
      <w:r>
        <w:t>, N</w:t>
      </w:r>
      <w:r>
        <w:rPr>
          <w:vertAlign w:val="subscript"/>
        </w:rPr>
        <w:t>t</w:t>
      </w:r>
      <w:r>
        <w:t>'} value to configure may depends on the deployment environment (e.g., heavily NLoS or not), system parameters including SRS configuration (e.g., carrier frequency, SRS bandwidth), and the k values for timing granularity. Exactly how to select the {N</w:t>
      </w:r>
      <w:r>
        <w:rPr>
          <w:vertAlign w:val="subscript"/>
        </w:rPr>
        <w:t>t</w:t>
      </w:r>
      <w:r>
        <w:t>, N</w:t>
      </w:r>
      <w:r>
        <w:rPr>
          <w:vertAlign w:val="subscript"/>
        </w:rPr>
        <w:t>t</w:t>
      </w:r>
      <w:r>
        <w:t>'} value from the possible combinations can be up to LMF implementation.</w:t>
      </w:r>
    </w:p>
    <w:p w14:paraId="76165FB1">
      <w:r>
        <w:t>In terms of k values, for legacy measurement report for DL-TDOA and multi-RTT,</w:t>
      </w:r>
    </w:p>
    <w:p w14:paraId="53621019">
      <w:pPr>
        <w:pStyle w:val="133"/>
        <w:numPr>
          <w:ilvl w:val="0"/>
          <w:numId w:val="25"/>
        </w:numPr>
      </w:pPr>
      <w:r>
        <w:t xml:space="preserve">Up to Rel-17, the set of possible k values are: {0…5}. That is, the timing measurement granularity ranges from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c</m:t>
            </m:r>
            <m:ctrlPr>
              <w:rPr>
                <w:rFonts w:ascii="Cambria Math" w:hAnsi="Cambria Math"/>
                <w:i/>
              </w:rPr>
            </m:ctrlPr>
          </m:sub>
        </m:sSub>
      </m:oMath>
      <w:r>
        <w:t xml:space="preserve"> (i.e., 0.51 ns) to </w:t>
      </w:r>
      <m:oMath>
        <m:r>
          <m:rPr/>
          <w:rPr>
            <w:rFonts w:ascii="Cambria Math" w:hAnsi="Cambria Math"/>
          </w:rPr>
          <m:t>32×</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c</m:t>
            </m:r>
            <m:ctrlPr>
              <w:rPr>
                <w:rFonts w:ascii="Cambria Math" w:hAnsi="Cambria Math"/>
                <w:i/>
              </w:rPr>
            </m:ctrlPr>
          </m:sub>
        </m:sSub>
      </m:oMath>
      <w:r>
        <w:t xml:space="preserve"> (i.e., 18.75 ns). </w:t>
      </w:r>
    </w:p>
    <w:p w14:paraId="7410603A">
      <w:pPr>
        <w:pStyle w:val="133"/>
        <w:numPr>
          <w:ilvl w:val="0"/>
          <w:numId w:val="25"/>
        </w:numPr>
      </w:pPr>
      <w:r>
        <w:t xml:space="preserve">In Rel-18, new </w:t>
      </w:r>
      <w:r>
        <w:rPr>
          <w:i/>
          <w:iCs/>
        </w:rPr>
        <w:t>ReportingGranularityfactor</w:t>
      </w:r>
      <w:r>
        <w:t xml:space="preserve"> values are added for Carrier Phase Positioning: {-6 … -1}. That is, the new timing measurement granularity ranges from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/64</m:t>
        </m:r>
      </m:oMath>
      <w:r>
        <w:t xml:space="preserve"> (i.e., 0.008 ns) to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/2</m:t>
        </m:r>
      </m:oMath>
      <w:r>
        <w:t xml:space="preserve"> (i.e.,0.25 ns).</w:t>
      </w:r>
    </w:p>
    <w:p w14:paraId="33488669">
      <w:r>
        <w:rPr>
          <w:rFonts w:cs="Arial"/>
          <w:szCs w:val="20"/>
        </w:rPr>
        <w:t xml:space="preserve">Note: </w:t>
      </w:r>
      <w:r>
        <w:rPr>
          <w:rFonts w:cs="Arial"/>
          <w:i/>
          <w:szCs w:val="20"/>
        </w:rPr>
        <w:t>T</w:t>
      </w:r>
      <w:r>
        <w:rPr>
          <w:rFonts w:cs="Arial"/>
          <w:szCs w:val="20"/>
          <w:vertAlign w:val="subscript"/>
        </w:rPr>
        <w:t>c</w:t>
      </w:r>
      <w:r>
        <w:rPr>
          <w:rFonts w:cs="Arial"/>
          <w:szCs w:val="20"/>
        </w:rPr>
        <w:t xml:space="preserve"> is the basic NR timing unit, and </w:t>
      </w:r>
      <w:r>
        <w:rPr>
          <w:rFonts w:cs="Arial"/>
          <w:i/>
          <w:szCs w:val="20"/>
        </w:rPr>
        <w:t>T</w:t>
      </w:r>
      <w:r>
        <w:rPr>
          <w:rFonts w:cs="Arial"/>
          <w:szCs w:val="20"/>
          <w:vertAlign w:val="subscript"/>
        </w:rPr>
        <w:t>c</w:t>
      </w:r>
      <w:r>
        <w:rPr>
          <w:rFonts w:cs="Arial"/>
          <w:szCs w:val="20"/>
        </w:rPr>
        <w:t xml:space="preserve"> </w:t>
      </w:r>
      <w:r>
        <w:rPr>
          <w:rFonts w:eastAsia="SymbolMT" w:cs="Arial"/>
          <w:szCs w:val="20"/>
        </w:rPr>
        <w:t xml:space="preserve">= </w:t>
      </w:r>
      <w:r>
        <w:rPr>
          <w:rFonts w:cs="Arial"/>
          <w:szCs w:val="20"/>
        </w:rPr>
        <w:t>1/ (</w:t>
      </w:r>
      <w:r>
        <w:rPr>
          <w:rFonts w:eastAsia="SymbolMT" w:cs="Arial"/>
          <w:szCs w:val="20"/>
        </w:rPr>
        <w:t>Δ</w:t>
      </w:r>
      <w:r>
        <w:rPr>
          <w:rFonts w:ascii="Cambria Math" w:hAnsi="Cambria Math" w:eastAsia="CambriaMath" w:cs="Cambria Math"/>
          <w:szCs w:val="20"/>
        </w:rPr>
        <w:t>𝑓</w:t>
      </w:r>
      <w:r>
        <w:rPr>
          <w:rFonts w:cs="Arial"/>
          <w:szCs w:val="20"/>
          <w:vertAlign w:val="subscript"/>
        </w:rPr>
        <w:t>max</w:t>
      </w:r>
      <w:r>
        <w:rPr>
          <w:rFonts w:cs="Arial"/>
          <w:szCs w:val="20"/>
        </w:rPr>
        <w:t xml:space="preserve"> </w:t>
      </w:r>
      <w:r>
        <w:rPr>
          <w:rFonts w:ascii="Cambria Math" w:hAnsi="Cambria Math" w:eastAsia="SymbolMT" w:cs="Cambria Math"/>
          <w:szCs w:val="20"/>
        </w:rPr>
        <w:t>⋅</w:t>
      </w:r>
      <w:r>
        <w:rPr>
          <w:rFonts w:eastAsia="SymbolMT" w:cs="Arial"/>
          <w:szCs w:val="20"/>
        </w:rPr>
        <w:t xml:space="preserve"> </w:t>
      </w:r>
      <w:r>
        <w:rPr>
          <w:rFonts w:eastAsia="宋体" w:cs="Times New Roman"/>
          <w:i/>
          <w:szCs w:val="20"/>
        </w:rPr>
        <w:t>N</w:t>
      </w:r>
      <w:r>
        <w:rPr>
          <w:rFonts w:eastAsia="宋体" w:cs="Times New Roman"/>
          <w:iCs/>
          <w:szCs w:val="20"/>
          <w:vertAlign w:val="subscript"/>
        </w:rPr>
        <w:t>f</w:t>
      </w:r>
      <w:r>
        <w:rPr>
          <w:rFonts w:cs="Arial"/>
          <w:szCs w:val="20"/>
        </w:rPr>
        <w:t>)</w:t>
      </w:r>
      <w:r>
        <w:t xml:space="preserve"> = 1/(480*10</w:t>
      </w:r>
      <w:r>
        <w:rPr>
          <w:vertAlign w:val="superscript"/>
        </w:rPr>
        <w:t>3</w:t>
      </w:r>
      <w:r>
        <w:t>*4096) = 0.5086 (ns).</w:t>
      </w:r>
    </w:p>
    <w:p w14:paraId="00592F02"/>
    <w:p w14:paraId="786D106D">
      <w:r>
        <w:t xml:space="preserve">According to the existing specification (see extracted texts for DL-TDOA below), the Rel-16 </w:t>
      </w:r>
      <w:r>
        <w:rPr>
          <w:i/>
          <w:iCs/>
          <w:szCs w:val="20"/>
        </w:rPr>
        <w:t>ReportingGranularityfactor</w:t>
      </w:r>
      <w:r>
        <w:t xml:space="preserve"> and Rel-18 </w:t>
      </w:r>
      <w:r>
        <w:rPr>
          <w:i/>
          <w:iCs/>
        </w:rPr>
        <w:t>timingReportingGranularityFactorExt</w:t>
      </w:r>
      <w:r>
        <w:t xml:space="preserve"> are not used at the same time, i.e., only one is included.</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19DFD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0B1C285A">
            <w:r>
              <w:t>TS 37.355 v18.2.0</w:t>
            </w:r>
          </w:p>
          <w:p w14:paraId="5244C535">
            <w:pPr>
              <w:pStyle w:val="137"/>
              <w:rPr>
                <w:snapToGrid w:val="0"/>
                <w:szCs w:val="22"/>
                <w:lang w:val="de-DE"/>
              </w:rPr>
            </w:pPr>
            <w:r>
              <w:rPr>
                <w:snapToGrid w:val="0"/>
                <w:szCs w:val="22"/>
                <w:lang w:val="de-DE"/>
              </w:rPr>
              <w:t>NR-DL-TDOA-ReportConfig-r16 ::= SEQUENCE {</w:t>
            </w:r>
          </w:p>
          <w:p w14:paraId="334E6B28">
            <w:pPr>
              <w:pStyle w:val="137"/>
              <w:rPr>
                <w:snapToGrid w:val="0"/>
                <w:szCs w:val="22"/>
                <w:lang w:val="de-DE"/>
              </w:rPr>
            </w:pPr>
            <w:r>
              <w:rPr>
                <w:szCs w:val="22"/>
                <w:lang w:val="de-DE"/>
              </w:rPr>
              <w:tab/>
            </w:r>
            <w:r>
              <w:rPr>
                <w:szCs w:val="22"/>
                <w:lang w:val="de-DE"/>
              </w:rPr>
              <w:t>maxDL-PRS-RSTD-MeasurementsPerTRP-Pair-r16</w:t>
            </w:r>
            <w:r>
              <w:rPr>
                <w:szCs w:val="22"/>
                <w:lang w:val="de-DE"/>
              </w:rPr>
              <w:tab/>
            </w:r>
            <w:r>
              <w:rPr>
                <w:snapToGrid w:val="0"/>
                <w:szCs w:val="22"/>
                <w:lang w:val="de-DE"/>
              </w:rPr>
              <w:t>INTEGER (1..4)</w:t>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OPTIONAL, -- Need ON</w:t>
            </w:r>
          </w:p>
          <w:p w14:paraId="62719C65">
            <w:pPr>
              <w:pStyle w:val="137"/>
              <w:rPr>
                <w:snapToGrid w:val="0"/>
                <w:szCs w:val="22"/>
                <w:lang w:val="de-DE"/>
              </w:rPr>
            </w:pPr>
            <w:r>
              <w:rPr>
                <w:snapToGrid w:val="0"/>
                <w:szCs w:val="22"/>
                <w:lang w:val="de-DE"/>
              </w:rPr>
              <w:tab/>
            </w:r>
            <w:r>
              <w:rPr>
                <w:snapToGrid w:val="0"/>
                <w:color w:val="FF0000"/>
                <w:szCs w:val="22"/>
                <w:lang w:val="de-DE"/>
              </w:rPr>
              <w:t>timingReportingGranularityFactor-r16</w:t>
            </w:r>
            <w:r>
              <w:rPr>
                <w:snapToGrid w:val="0"/>
                <w:color w:val="FF0000"/>
                <w:szCs w:val="22"/>
                <w:lang w:val="de-DE"/>
              </w:rPr>
              <w:tab/>
            </w:r>
            <w:r>
              <w:rPr>
                <w:snapToGrid w:val="0"/>
                <w:color w:val="FF0000"/>
                <w:szCs w:val="22"/>
                <w:lang w:val="de-DE"/>
              </w:rPr>
              <w:tab/>
            </w:r>
            <w:r>
              <w:rPr>
                <w:snapToGrid w:val="0"/>
                <w:color w:val="FF0000"/>
                <w:szCs w:val="22"/>
                <w:lang w:val="de-DE"/>
              </w:rPr>
              <w:t>INTEGER (0..5)</w:t>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OPTIONAL, -- Need ON</w:t>
            </w:r>
          </w:p>
          <w:p w14:paraId="3B89B7BE">
            <w:pPr>
              <w:pStyle w:val="137"/>
              <w:rPr>
                <w:snapToGrid w:val="0"/>
                <w:szCs w:val="22"/>
                <w:lang w:val="de-DE"/>
              </w:rPr>
            </w:pPr>
            <w:r>
              <w:rPr>
                <w:snapToGrid w:val="0"/>
                <w:szCs w:val="22"/>
                <w:lang w:val="de-DE"/>
              </w:rPr>
              <w:tab/>
            </w:r>
            <w:r>
              <w:rPr>
                <w:snapToGrid w:val="0"/>
                <w:szCs w:val="22"/>
                <w:lang w:val="de-DE"/>
              </w:rPr>
              <w:t>...,</w:t>
            </w:r>
          </w:p>
          <w:p w14:paraId="2D5AC0D4">
            <w:pPr>
              <w:pStyle w:val="137"/>
              <w:rPr>
                <w:snapToGrid w:val="0"/>
                <w:szCs w:val="22"/>
                <w:lang w:val="de-DE"/>
              </w:rPr>
            </w:pPr>
            <w:r>
              <w:rPr>
                <w:snapToGrid w:val="0"/>
                <w:szCs w:val="22"/>
                <w:lang w:val="de-DE"/>
              </w:rPr>
              <w:tab/>
            </w:r>
            <w:r>
              <w:rPr>
                <w:snapToGrid w:val="0"/>
                <w:szCs w:val="22"/>
                <w:lang w:val="de-DE"/>
              </w:rPr>
              <w:t>[[</w:t>
            </w:r>
          </w:p>
          <w:p w14:paraId="0DA43F77">
            <w:pPr>
              <w:pStyle w:val="137"/>
              <w:rPr>
                <w:snapToGrid w:val="0"/>
                <w:szCs w:val="22"/>
                <w:lang w:val="de-DE"/>
              </w:rPr>
            </w:pPr>
            <w:r>
              <w:rPr>
                <w:snapToGrid w:val="0"/>
                <w:szCs w:val="22"/>
                <w:lang w:val="de-DE"/>
              </w:rPr>
              <w:tab/>
            </w:r>
            <w:r>
              <w:rPr>
                <w:snapToGrid w:val="0"/>
                <w:szCs w:val="22"/>
                <w:lang w:val="de-DE"/>
              </w:rPr>
              <w:t>measureSameDL-PRS-ResourceWithDifferentRxTEGs-r17</w:t>
            </w:r>
          </w:p>
          <w:p w14:paraId="71235F6A">
            <w:pPr>
              <w:pStyle w:val="137"/>
              <w:rPr>
                <w:snapToGrid w:val="0"/>
                <w:szCs w:val="22"/>
                <w:lang w:val="de-DE"/>
              </w:rPr>
            </w:pP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ENUMERATED { n0, n2, n3, n4, n6, n8, ... }</w:t>
            </w:r>
          </w:p>
          <w:p w14:paraId="751065A2">
            <w:pPr>
              <w:pStyle w:val="137"/>
              <w:rPr>
                <w:snapToGrid w:val="0"/>
                <w:szCs w:val="22"/>
                <w:lang w:val="de-DE"/>
              </w:rPr>
            </w:pP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OPTIONAL, -- Need ON</w:t>
            </w:r>
          </w:p>
          <w:p w14:paraId="1117E912">
            <w:pPr>
              <w:pStyle w:val="137"/>
              <w:rPr>
                <w:snapToGrid w:val="0"/>
                <w:szCs w:val="22"/>
                <w:lang w:val="de-DE"/>
              </w:rPr>
            </w:pPr>
            <w:r>
              <w:rPr>
                <w:snapToGrid w:val="0"/>
                <w:szCs w:val="22"/>
                <w:lang w:val="de-DE"/>
              </w:rPr>
              <w:tab/>
            </w:r>
            <w:r>
              <w:rPr>
                <w:snapToGrid w:val="0"/>
                <w:szCs w:val="22"/>
                <w:lang w:val="de-DE"/>
              </w:rPr>
              <w:t>reducedDL-PRS-ProcessingSamples-r17</w:t>
            </w:r>
            <w:r>
              <w:rPr>
                <w:snapToGrid w:val="0"/>
                <w:szCs w:val="22"/>
                <w:lang w:val="de-DE"/>
              </w:rPr>
              <w:tab/>
            </w:r>
            <w:r>
              <w:rPr>
                <w:snapToGrid w:val="0"/>
                <w:szCs w:val="22"/>
                <w:lang w:val="de-DE"/>
              </w:rPr>
              <w:tab/>
            </w:r>
            <w:r>
              <w:rPr>
                <w:snapToGrid w:val="0"/>
                <w:szCs w:val="22"/>
                <w:lang w:val="de-DE"/>
              </w:rPr>
              <w:tab/>
            </w:r>
            <w:r>
              <w:rPr>
                <w:snapToGrid w:val="0"/>
                <w:szCs w:val="22"/>
                <w:lang w:val="de-DE"/>
              </w:rPr>
              <w:t>ENUMERATED { requested, ... }</w:t>
            </w:r>
            <w:r>
              <w:rPr>
                <w:snapToGrid w:val="0"/>
                <w:szCs w:val="22"/>
                <w:lang w:val="de-DE"/>
              </w:rPr>
              <w:tab/>
            </w:r>
            <w:r>
              <w:rPr>
                <w:snapToGrid w:val="0"/>
                <w:szCs w:val="22"/>
                <w:lang w:val="de-DE"/>
              </w:rPr>
              <w:t>OPTIONAL, -- Need ON</w:t>
            </w:r>
          </w:p>
          <w:p w14:paraId="5D551CB2">
            <w:pPr>
              <w:pStyle w:val="137"/>
              <w:rPr>
                <w:snapToGrid w:val="0"/>
                <w:szCs w:val="22"/>
                <w:lang w:val="de-DE"/>
              </w:rPr>
            </w:pPr>
            <w:r>
              <w:rPr>
                <w:snapToGrid w:val="0"/>
                <w:szCs w:val="22"/>
                <w:lang w:val="de-DE"/>
              </w:rPr>
              <w:tab/>
            </w:r>
            <w:r>
              <w:rPr>
                <w:snapToGrid w:val="0"/>
                <w:szCs w:val="22"/>
                <w:lang w:val="de-DE"/>
              </w:rPr>
              <w:t>l</w:t>
            </w:r>
            <w:r>
              <w:rPr>
                <w:szCs w:val="22"/>
                <w:lang w:val="de-DE"/>
              </w:rPr>
              <w:t>owerRxBeamSweepingFactor-FR2-r17</w:t>
            </w:r>
            <w:r>
              <w:rPr>
                <w:szCs w:val="22"/>
                <w:lang w:val="de-DE"/>
              </w:rPr>
              <w:tab/>
            </w:r>
            <w:r>
              <w:rPr>
                <w:szCs w:val="22"/>
                <w:lang w:val="de-DE"/>
              </w:rPr>
              <w:tab/>
            </w:r>
            <w:r>
              <w:rPr>
                <w:szCs w:val="22"/>
                <w:lang w:val="de-DE"/>
              </w:rPr>
              <w:tab/>
            </w:r>
            <w:r>
              <w:rPr>
                <w:szCs w:val="22"/>
                <w:lang w:val="de-DE"/>
              </w:rPr>
              <w:t>ENUMERATED { requested }</w:t>
            </w:r>
            <w:r>
              <w:rPr>
                <w:szCs w:val="22"/>
                <w:lang w:val="de-DE"/>
              </w:rPr>
              <w:tab/>
            </w:r>
            <w:r>
              <w:rPr>
                <w:szCs w:val="22"/>
                <w:lang w:val="de-DE"/>
              </w:rPr>
              <w:tab/>
            </w:r>
            <w:r>
              <w:rPr>
                <w:szCs w:val="22"/>
                <w:lang w:val="de-DE"/>
              </w:rPr>
              <w:t>OPTIONAL  -- Need ON</w:t>
            </w:r>
          </w:p>
          <w:p w14:paraId="253ACB9B">
            <w:pPr>
              <w:pStyle w:val="137"/>
              <w:rPr>
                <w:snapToGrid w:val="0"/>
                <w:szCs w:val="22"/>
                <w:lang w:val="de-DE"/>
              </w:rPr>
            </w:pPr>
            <w:r>
              <w:rPr>
                <w:snapToGrid w:val="0"/>
                <w:szCs w:val="22"/>
                <w:lang w:val="de-DE"/>
              </w:rPr>
              <w:tab/>
            </w:r>
            <w:r>
              <w:rPr>
                <w:snapToGrid w:val="0"/>
                <w:szCs w:val="22"/>
                <w:lang w:val="de-DE"/>
              </w:rPr>
              <w:t>]],</w:t>
            </w:r>
          </w:p>
          <w:p w14:paraId="5BA1C536">
            <w:pPr>
              <w:pStyle w:val="137"/>
              <w:rPr>
                <w:snapToGrid w:val="0"/>
                <w:szCs w:val="22"/>
                <w:lang w:val="de-DE"/>
              </w:rPr>
            </w:pPr>
            <w:r>
              <w:rPr>
                <w:snapToGrid w:val="0"/>
                <w:szCs w:val="22"/>
                <w:lang w:val="de-DE"/>
              </w:rPr>
              <w:tab/>
            </w:r>
            <w:r>
              <w:rPr>
                <w:snapToGrid w:val="0"/>
                <w:szCs w:val="22"/>
                <w:lang w:val="de-DE"/>
              </w:rPr>
              <w:t>[[</w:t>
            </w:r>
          </w:p>
          <w:p w14:paraId="68178287">
            <w:pPr>
              <w:pStyle w:val="137"/>
              <w:rPr>
                <w:snapToGrid w:val="0"/>
                <w:szCs w:val="22"/>
                <w:lang w:val="de-DE"/>
              </w:rPr>
            </w:pPr>
            <w:r>
              <w:rPr>
                <w:snapToGrid w:val="0"/>
                <w:szCs w:val="22"/>
                <w:lang w:val="de-DE"/>
              </w:rPr>
              <w:tab/>
            </w:r>
            <w:r>
              <w:rPr>
                <w:snapToGrid w:val="0"/>
                <w:color w:val="FF0000"/>
                <w:szCs w:val="22"/>
                <w:lang w:val="de-DE"/>
              </w:rPr>
              <w:t>timingReportingGranularityFactorExt-r18</w:t>
            </w:r>
            <w:r>
              <w:rPr>
                <w:snapToGrid w:val="0"/>
                <w:color w:val="FF0000"/>
                <w:szCs w:val="22"/>
                <w:lang w:val="de-DE"/>
              </w:rPr>
              <w:tab/>
            </w:r>
            <w:r>
              <w:rPr>
                <w:snapToGrid w:val="0"/>
                <w:color w:val="FF0000"/>
                <w:szCs w:val="22"/>
                <w:lang w:val="de-DE"/>
              </w:rPr>
              <w:tab/>
            </w:r>
            <w:r>
              <w:rPr>
                <w:snapToGrid w:val="0"/>
                <w:color w:val="FF0000"/>
                <w:szCs w:val="22"/>
                <w:lang w:val="de-DE"/>
              </w:rPr>
              <w:t>INTEGER (-6..-1)</w:t>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OPTIONAL, -- Need ON</w:t>
            </w:r>
          </w:p>
          <w:p w14:paraId="68F7740B">
            <w:pPr>
              <w:pStyle w:val="137"/>
              <w:rPr>
                <w:snapToGrid w:val="0"/>
                <w:szCs w:val="22"/>
                <w:lang w:val="de-DE"/>
              </w:rPr>
            </w:pPr>
            <w:r>
              <w:rPr>
                <w:snapToGrid w:val="0"/>
                <w:szCs w:val="22"/>
                <w:lang w:val="de-DE"/>
              </w:rPr>
              <w:tab/>
            </w:r>
            <w:r>
              <w:rPr>
                <w:snapToGrid w:val="0"/>
                <w:szCs w:val="22"/>
                <w:lang w:val="de-DE"/>
              </w:rPr>
              <w:t>nr-DL-PRS-MeasurementTimeWindowsConfig-r18</w:t>
            </w:r>
          </w:p>
          <w:p w14:paraId="782BC5A0">
            <w:pPr>
              <w:pStyle w:val="137"/>
              <w:rPr>
                <w:snapToGrid w:val="0"/>
                <w:szCs w:val="22"/>
                <w:lang w:val="de-DE"/>
              </w:rPr>
            </w:pP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NR-DL-PRS-MeasurementTimeWindowsConfig-r18</w:t>
            </w:r>
            <w:r>
              <w:rPr>
                <w:snapToGrid w:val="0"/>
                <w:szCs w:val="22"/>
                <w:lang w:val="de-DE"/>
              </w:rPr>
              <w:tab/>
            </w:r>
            <w:r>
              <w:rPr>
                <w:snapToGrid w:val="0"/>
                <w:szCs w:val="22"/>
                <w:lang w:val="de-DE"/>
              </w:rPr>
              <w:tab/>
            </w:r>
            <w:r>
              <w:rPr>
                <w:snapToGrid w:val="0"/>
                <w:szCs w:val="22"/>
                <w:lang w:val="de-DE"/>
              </w:rPr>
              <w:tab/>
            </w:r>
            <w:r>
              <w:rPr>
                <w:snapToGrid w:val="0"/>
                <w:szCs w:val="22"/>
                <w:lang w:val="de-DE"/>
              </w:rPr>
              <w:t>OPTIONAL  -- Need ON</w:t>
            </w:r>
          </w:p>
          <w:p w14:paraId="42498017">
            <w:pPr>
              <w:pStyle w:val="137"/>
              <w:rPr>
                <w:snapToGrid w:val="0"/>
                <w:szCs w:val="22"/>
                <w:lang w:val="de-DE"/>
              </w:rPr>
            </w:pPr>
            <w:r>
              <w:rPr>
                <w:snapToGrid w:val="0"/>
                <w:szCs w:val="22"/>
                <w:lang w:val="de-DE"/>
              </w:rPr>
              <w:tab/>
            </w:r>
            <w:r>
              <w:rPr>
                <w:snapToGrid w:val="0"/>
                <w:szCs w:val="22"/>
                <w:lang w:val="de-DE"/>
              </w:rPr>
              <w:t>]]</w:t>
            </w:r>
          </w:p>
          <w:p w14:paraId="18C3BAAA">
            <w:pPr>
              <w:pStyle w:val="137"/>
              <w:rPr>
                <w:szCs w:val="22"/>
                <w:lang w:val="de-DE"/>
              </w:rPr>
            </w:pPr>
            <w:r>
              <w:rPr>
                <w:szCs w:val="22"/>
                <w:lang w:val="de-DE"/>
              </w:rPr>
              <w:t>}</w:t>
            </w:r>
          </w:p>
          <w:p w14:paraId="27DCCA1A"/>
          <w:tbl>
            <w:tblPr>
              <w:tblStyle w:val="51"/>
              <w:tblW w:w="9639"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9639"/>
            </w:tblGrid>
            <w:tr w14:paraId="5F91452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9639" w:type="dxa"/>
                </w:tcPr>
                <w:p w14:paraId="5C41FFB7">
                  <w:pPr>
                    <w:pStyle w:val="78"/>
                    <w:keepNext w:val="0"/>
                    <w:keepLines w:val="0"/>
                    <w:widowControl w:val="0"/>
                    <w:rPr>
                      <w:b/>
                      <w:bCs/>
                      <w:i/>
                      <w:iCs/>
                    </w:rPr>
                  </w:pPr>
                  <w:r>
                    <w:rPr>
                      <w:b/>
                      <w:bCs/>
                      <w:i/>
                      <w:iCs/>
                    </w:rPr>
                    <w:t>timingReportingGranularityFactor</w:t>
                  </w:r>
                  <w:r>
                    <w:rPr>
                      <w:b/>
                      <w:bCs/>
                      <w:i/>
                      <w:iCs/>
                      <w:lang w:eastAsia="zh-CN"/>
                    </w:rPr>
                    <w:t xml:space="preserve">, </w:t>
                  </w:r>
                  <w:r>
                    <w:rPr>
                      <w:rFonts w:eastAsia="Yu Mincho"/>
                      <w:b/>
                      <w:bCs/>
                      <w:i/>
                      <w:iCs/>
                    </w:rPr>
                    <w:t>timingReportingGranularityFactor</w:t>
                  </w:r>
                  <w:r>
                    <w:rPr>
                      <w:rFonts w:eastAsia="Yu Mincho"/>
                      <w:b/>
                      <w:bCs/>
                      <w:i/>
                      <w:iCs/>
                      <w:lang w:eastAsia="zh-CN"/>
                    </w:rPr>
                    <w:t>Ext</w:t>
                  </w:r>
                </w:p>
                <w:p w14:paraId="6AFBF921">
                  <w:pPr>
                    <w:pStyle w:val="78"/>
                    <w:keepNext w:val="0"/>
                    <w:keepLines w:val="0"/>
                    <w:widowControl w:val="0"/>
                    <w:rPr>
                      <w:b/>
                      <w:i/>
                    </w:rPr>
                  </w:pPr>
                  <w:r>
                    <w:rPr>
                      <w:bCs/>
                      <w:iCs/>
                    </w:rPr>
                    <w:t>This field specifies the recommended reporting granularity for the DL RSTD measurements. Value (0..5) corresponds to (</w:t>
                  </w:r>
                  <w:r>
                    <w:rPr>
                      <w:bCs/>
                      <w:i/>
                    </w:rPr>
                    <w:t>k0</w:t>
                  </w:r>
                  <w:r>
                    <w:rPr>
                      <w:bCs/>
                      <w:iCs/>
                    </w:rPr>
                    <w:t>..</w:t>
                  </w:r>
                  <w:r>
                    <w:rPr>
                      <w:bCs/>
                      <w:i/>
                    </w:rPr>
                    <w:t>k5</w:t>
                  </w:r>
                  <w:r>
                    <w:rPr>
                      <w:bCs/>
                      <w:iCs/>
                    </w:rPr>
                    <w:t xml:space="preserve">) </w:t>
                  </w:r>
                  <w:r>
                    <w:rPr>
                      <w:rFonts w:eastAsia="Yu Mincho"/>
                      <w:bCs/>
                      <w:iCs/>
                    </w:rPr>
                    <w:t>and value (-6..-1) corresponds to (</w:t>
                  </w:r>
                  <w:r>
                    <w:rPr>
                      <w:rFonts w:eastAsia="Yu Mincho"/>
                      <w:bCs/>
                      <w:i/>
                    </w:rPr>
                    <w:t>kMinus6</w:t>
                  </w:r>
                  <w:r>
                    <w:rPr>
                      <w:rFonts w:eastAsia="Yu Mincho"/>
                      <w:bCs/>
                      <w:iCs/>
                    </w:rPr>
                    <w:t>..</w:t>
                  </w:r>
                  <w:r>
                    <w:rPr>
                      <w:rFonts w:eastAsia="Yu Mincho"/>
                      <w:bCs/>
                      <w:i/>
                    </w:rPr>
                    <w:t>kMinus1</w:t>
                  </w:r>
                  <w:r>
                    <w:rPr>
                      <w:rFonts w:eastAsia="Yu Mincho"/>
                      <w:bCs/>
                      <w:iCs/>
                    </w:rPr>
                    <w:t xml:space="preserve">) </w:t>
                  </w:r>
                  <w:r>
                    <w:rPr>
                      <w:bCs/>
                      <w:iCs/>
                    </w:rPr>
                    <w:t xml:space="preserve">used for </w:t>
                  </w:r>
                  <w:r>
                    <w:rPr>
                      <w:bCs/>
                      <w:i/>
                    </w:rPr>
                    <w:t xml:space="preserve">nr-RSTD </w:t>
                  </w:r>
                  <w:r>
                    <w:rPr>
                      <w:bCs/>
                      <w:iCs/>
                    </w:rPr>
                    <w:t xml:space="preserve">and </w:t>
                  </w:r>
                  <w:r>
                    <w:rPr>
                      <w:bCs/>
                      <w:i/>
                    </w:rPr>
                    <w:t>nr-RSTD-ResultDiff</w:t>
                  </w:r>
                  <w:r>
                    <w:rPr>
                      <w:bCs/>
                      <w:iCs/>
                    </w:rPr>
                    <w:t xml:space="preserve"> in </w:t>
                  </w:r>
                  <w:r>
                    <w:rPr>
                      <w:bCs/>
                      <w:i/>
                    </w:rPr>
                    <w:t>NR-DL-TDOA-MeasElement</w:t>
                  </w:r>
                  <w:r>
                    <w:rPr>
                      <w:bCs/>
                      <w:iCs/>
                      <w:color w:val="000000" w:themeColor="text1"/>
                      <w14:textFill>
                        <w14:solidFill>
                          <w14:schemeClr w14:val="tx1"/>
                        </w14:solidFill>
                      </w14:textFill>
                    </w:rPr>
                    <w:t xml:space="preserve">. The UE may select a different granularity value for </w:t>
                  </w:r>
                  <w:r>
                    <w:rPr>
                      <w:bCs/>
                      <w:i/>
                      <w:color w:val="000000" w:themeColor="text1"/>
                      <w14:textFill>
                        <w14:solidFill>
                          <w14:schemeClr w14:val="tx1"/>
                        </w14:solidFill>
                      </w14:textFill>
                    </w:rPr>
                    <w:t>nr-RSTD</w:t>
                  </w:r>
                  <w:r>
                    <w:rPr>
                      <w:bCs/>
                      <w:iCs/>
                      <w:color w:val="000000" w:themeColor="text1"/>
                      <w14:textFill>
                        <w14:solidFill>
                          <w14:schemeClr w14:val="tx1"/>
                        </w14:solidFill>
                      </w14:textFill>
                    </w:rPr>
                    <w:t xml:space="preserve"> and </w:t>
                  </w:r>
                  <w:r>
                    <w:rPr>
                      <w:bCs/>
                      <w:i/>
                      <w:color w:val="000000" w:themeColor="text1"/>
                      <w14:textFill>
                        <w14:solidFill>
                          <w14:schemeClr w14:val="tx1"/>
                        </w14:solidFill>
                      </w14:textFill>
                    </w:rPr>
                    <w:t>nr-RSTD-ResultDiff</w:t>
                  </w:r>
                  <w:r>
                    <w:rPr>
                      <w:bCs/>
                      <w:iCs/>
                      <w:color w:val="000000" w:themeColor="text1"/>
                      <w14:textFill>
                        <w14:solidFill>
                          <w14:schemeClr w14:val="tx1"/>
                        </w14:solidFill>
                      </w14:textFill>
                    </w:rPr>
                    <w:t>.</w:t>
                  </w:r>
                  <w:r>
                    <w:rPr>
                      <w:rFonts w:eastAsia="Yu Mincho"/>
                      <w:bCs/>
                      <w:iCs/>
                      <w:color w:val="000000" w:themeColor="text1"/>
                      <w:lang w:eastAsia="zh-CN"/>
                      <w14:textFill>
                        <w14:solidFill>
                          <w14:schemeClr w14:val="tx1"/>
                        </w14:solidFill>
                      </w14:textFill>
                    </w:rPr>
                    <w:t xml:space="preserve"> </w:t>
                  </w:r>
                  <w:r>
                    <w:rPr>
                      <w:rFonts w:eastAsia="Yu Mincho"/>
                      <w:bCs/>
                      <w:iCs/>
                      <w:color w:val="FF0000"/>
                      <w:lang w:eastAsia="zh-CN"/>
                    </w:rPr>
                    <w:t xml:space="preserve">The </w:t>
                  </w:r>
                  <w:r>
                    <w:rPr>
                      <w:rFonts w:eastAsia="Yu Mincho"/>
                      <w:bCs/>
                      <w:i/>
                      <w:iCs/>
                      <w:color w:val="FF0000"/>
                      <w:lang w:eastAsia="zh-CN"/>
                    </w:rPr>
                    <w:t>timingReportingGranularityFactorExt</w:t>
                  </w:r>
                  <w:r>
                    <w:rPr>
                      <w:rFonts w:eastAsia="Yu Mincho"/>
                      <w:bCs/>
                      <w:iCs/>
                      <w:color w:val="FF0000"/>
                      <w:lang w:eastAsia="zh-CN"/>
                    </w:rPr>
                    <w:t xml:space="preserve"> should not be included by the location server and shall be ignored by the target device if </w:t>
                  </w:r>
                  <w:r>
                    <w:rPr>
                      <w:rFonts w:eastAsia="Yu Mincho"/>
                      <w:bCs/>
                      <w:i/>
                      <w:iCs/>
                      <w:color w:val="FF0000"/>
                      <w:lang w:eastAsia="zh-CN"/>
                    </w:rPr>
                    <w:t>timingReportingGranularityFactor</w:t>
                  </w:r>
                  <w:r>
                    <w:rPr>
                      <w:rFonts w:eastAsia="Yu Mincho"/>
                      <w:bCs/>
                      <w:iCs/>
                      <w:color w:val="FF0000"/>
                      <w:lang w:eastAsia="zh-CN"/>
                    </w:rPr>
                    <w:t xml:space="preserve"> is included.The </w:t>
                  </w:r>
                  <w:r>
                    <w:rPr>
                      <w:rFonts w:eastAsia="Yu Mincho"/>
                      <w:bCs/>
                      <w:i/>
                      <w:iCs/>
                      <w:color w:val="FF0000"/>
                      <w:lang w:eastAsia="zh-CN"/>
                    </w:rPr>
                    <w:t>timingReportingGranularityFactor</w:t>
                  </w:r>
                  <w:r>
                    <w:rPr>
                      <w:rFonts w:eastAsia="Yu Mincho"/>
                      <w:bCs/>
                      <w:iCs/>
                      <w:color w:val="FF0000"/>
                      <w:lang w:eastAsia="zh-CN"/>
                    </w:rPr>
                    <w:t xml:space="preserve"> should not be included by the location server and shall be ignored by the target device if </w:t>
                  </w:r>
                  <w:r>
                    <w:rPr>
                      <w:rFonts w:eastAsia="Yu Mincho"/>
                      <w:bCs/>
                      <w:i/>
                      <w:iCs/>
                      <w:color w:val="FF0000"/>
                      <w:lang w:eastAsia="zh-CN"/>
                    </w:rPr>
                    <w:t>timingReportingGranularityFactorExt</w:t>
                  </w:r>
                  <w:r>
                    <w:rPr>
                      <w:rFonts w:eastAsia="Yu Mincho"/>
                      <w:bCs/>
                      <w:iCs/>
                      <w:color w:val="FF0000"/>
                      <w:lang w:eastAsia="zh-CN"/>
                    </w:rPr>
                    <w:t xml:space="preserve"> is included.</w:t>
                  </w:r>
                </w:p>
              </w:tc>
            </w:tr>
          </w:tbl>
          <w:p w14:paraId="63178F42"/>
        </w:tc>
      </w:tr>
    </w:tbl>
    <w:p w14:paraId="7F3CA360"/>
    <w:p w14:paraId="5454A936">
      <w:r>
        <w:t xml:space="preserve">For AI/ML based positioning, vast majority of companies used k=4 (i.e., sampling period = </w:t>
      </w:r>
      <m:oMath>
        <m:r>
          <m:rPr/>
          <w:rPr>
            <w:rFonts w:ascii="Cambria Math" w:hAnsi="Cambria Math"/>
          </w:rPr>
          <m:t>16×</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c</m:t>
            </m:r>
            <m:ctrlPr>
              <w:rPr>
                <w:rFonts w:ascii="Cambria Math" w:hAnsi="Cambria Math"/>
                <w:i/>
              </w:rPr>
            </m:ctrlPr>
          </m:sub>
        </m:sSub>
      </m:oMath>
      <w:r>
        <w:t xml:space="preserve">) in Rel-18 study item </w:t>
      </w:r>
      <w:r>
        <w:fldChar w:fldCharType="begin"/>
      </w:r>
      <w:r>
        <w:instrText xml:space="preserve"> REF _Ref156223556 \r </w:instrText>
      </w:r>
      <w:r>
        <w:fldChar w:fldCharType="separate"/>
      </w:r>
      <w:r>
        <w:t>[4]</w:t>
      </w:r>
      <w:r>
        <w:fldChar w:fldCharType="end"/>
      </w:r>
      <w:r>
        <w:t xml:space="preserve">. The Rel-18 evaluations demonstrated that the AI/ML based positioning was able to achieve sub-meter positioning accuracy with k=4. </w:t>
      </w:r>
    </w:p>
    <w:p w14:paraId="4EEC68E3">
      <w:r>
        <w:t>Clearly, the ultra-fine timing granularity introduced for Rel-18 CPP are excessive and unnecessary for AI/ML positioning. There is no justification to duplicate the signaling for CPP over to AI/ML based positioning even though k={-6,..,-1} can continue to be used for measurement reporting of legacy methods DL-TDOA and multi-RTT.</w:t>
      </w:r>
    </w:p>
    <w:p w14:paraId="5E80B85C">
      <w:r>
        <w:t xml:space="preserve">Even for the 6 values {0..5} up to Rel-17, there is no justification to support all 6 values. Having a wide range of k values complicates the AI/ML LCM. For each k values, the full set of AI/ML procedures have to be supported separately, including training data collection, model training, model monitoring, model update, etc. </w:t>
      </w:r>
    </w:p>
    <w:p w14:paraId="0B2D90D8">
      <w:r>
        <w:t>In our view, it is preferrable to support a small set of k values in Rel-19, which is the first release to adopt AI/ML based positioning. In fact, it may be sufficient to support one k values in Rel-19, k=4, which has been thoroughly evaluated in Rel-18 study item by numerous participating companies. If more options are needed considering FR1/FR2 and different PRS bandwidth, it can be expanded to support four k values, for example, k={2,3,4,5}. Future releases can consider more options of k values if proven necessary for the desired positioning accuracy.</w:t>
      </w:r>
    </w:p>
    <w:p w14:paraId="31F0F474">
      <w:pPr>
        <w:pStyle w:val="73"/>
        <w:numPr>
          <w:ilvl w:val="0"/>
          <w:numId w:val="0"/>
        </w:numPr>
        <w:ind w:left="1440"/>
      </w:pPr>
      <w:bookmarkStart w:id="200" w:name="_Toc174398073"/>
    </w:p>
    <w:p w14:paraId="05BEEBFF">
      <w:pPr>
        <w:pStyle w:val="73"/>
      </w:pPr>
      <w:bookmarkStart w:id="201" w:name="_Toc189845103"/>
      <w:r>
        <w:t xml:space="preserve">For Case 3b (and 3a if needed), a small number of </w:t>
      </w:r>
      <w:r>
        <w:rPr>
          <w:snapToGrid w:val="0"/>
        </w:rPr>
        <w:t>k</w:t>
      </w:r>
      <w:r>
        <w:t xml:space="preserve"> values, e.g., </w:t>
      </w:r>
      <w:r>
        <w:rPr>
          <w:snapToGrid w:val="0"/>
        </w:rPr>
        <w:t>k={4}, k={3,4}, or k={2,3,4,5}, is supported for timing reporting granularity factor in Rel-19.</w:t>
      </w:r>
      <w:bookmarkEnd w:id="200"/>
      <w:bookmarkEnd w:id="201"/>
    </w:p>
    <w:p w14:paraId="27FEC249">
      <w:pPr>
        <w:rPr>
          <w:lang w:val="en-GB"/>
        </w:rPr>
      </w:pPr>
      <w:r>
        <w:t xml:space="preserve">During RAN1#119, it was agreed that the window parameter configuration values </w:t>
      </w:r>
      <w:r>
        <w:rPr>
          <w:lang w:val="en-GB"/>
        </w:rPr>
        <w:t>N</w:t>
      </w:r>
      <w:r>
        <w:rPr>
          <w:vertAlign w:val="subscript"/>
          <w:lang w:val="en-GB"/>
        </w:rPr>
        <w:t>t</w:t>
      </w:r>
      <w:r>
        <w:rPr>
          <w:lang w:val="en-GB"/>
        </w:rPr>
        <w:t>, N</w:t>
      </w:r>
      <w:r>
        <w:rPr>
          <w:vertAlign w:val="subscript"/>
          <w:lang w:val="en-GB"/>
        </w:rPr>
        <w:t>t</w:t>
      </w:r>
      <w:r>
        <w:rPr>
          <w:lang w:val="en-GB"/>
        </w:rPr>
        <w:t>', k are signalled to gNB via NRPPa, but may be changed by the gNB. In that case, the actual values used by the gNB/TRP for  N</w:t>
      </w:r>
      <w:r>
        <w:rPr>
          <w:vertAlign w:val="subscript"/>
          <w:lang w:val="en-GB"/>
        </w:rPr>
        <w:t>t</w:t>
      </w:r>
      <w:r>
        <w:rPr>
          <w:lang w:val="en-GB"/>
        </w:rPr>
        <w:t xml:space="preserve">, should be sent to the LMF in the measurement report (note that parameter k value is already reported back). The LMF can then better judge the compatibility of the measurement report with its model. </w:t>
      </w:r>
    </w:p>
    <w:p w14:paraId="37594084">
      <w:pPr>
        <w:pStyle w:val="73"/>
      </w:pPr>
      <w:bookmarkStart w:id="202" w:name="_Toc189845104"/>
      <w:r>
        <w:t>For Case 3b (and 3a if needed), when enhanced measurement are reported (i.e., sample-based reports) from the gNB to the LMF:</w:t>
      </w:r>
      <w:bookmarkEnd w:id="202"/>
    </w:p>
    <w:p w14:paraId="201A6C9F">
      <w:pPr>
        <w:pStyle w:val="73"/>
        <w:numPr>
          <w:ilvl w:val="1"/>
          <w:numId w:val="11"/>
        </w:numPr>
      </w:pPr>
      <w:bookmarkStart w:id="203" w:name="_Toc189845105"/>
      <w:r>
        <w:t xml:space="preserve">When the </w:t>
      </w:r>
      <w:r>
        <w:rPr>
          <w:lang w:val="en-GB"/>
        </w:rPr>
        <w:t>N</w:t>
      </w:r>
      <w:r>
        <w:rPr>
          <w:vertAlign w:val="subscript"/>
          <w:lang w:val="en-GB"/>
        </w:rPr>
        <w:t>t</w:t>
      </w:r>
      <w:r>
        <w:rPr>
          <w:lang w:val="en-GB"/>
        </w:rPr>
        <w:t>, N</w:t>
      </w:r>
      <w:r>
        <w:rPr>
          <w:vertAlign w:val="subscript"/>
          <w:lang w:val="en-GB"/>
        </w:rPr>
        <w:t>t</w:t>
      </w:r>
      <w:r>
        <w:rPr>
          <w:lang w:val="en-GB"/>
        </w:rPr>
        <w:t>', k values used to produce the report are different from the ones provided by the LMF in the measurement request, gNB provides in the measurement report to the LMF the N</w:t>
      </w:r>
      <w:r>
        <w:rPr>
          <w:vertAlign w:val="subscript"/>
          <w:lang w:val="en-GB"/>
        </w:rPr>
        <w:t>t</w:t>
      </w:r>
      <w:r>
        <w:rPr>
          <w:lang w:val="en-GB"/>
        </w:rPr>
        <w:t xml:space="preserve"> value used for the measurement.</w:t>
      </w:r>
      <w:bookmarkEnd w:id="203"/>
    </w:p>
    <w:p w14:paraId="31661421">
      <w:pPr>
        <w:pStyle w:val="73"/>
        <w:numPr>
          <w:ilvl w:val="1"/>
          <w:numId w:val="11"/>
        </w:numPr>
      </w:pPr>
      <w:bookmarkStart w:id="204" w:name="_Toc189845106"/>
      <w:r>
        <w:rPr>
          <w:lang w:val="en-GB"/>
        </w:rPr>
        <w:t>Note: k value is already supported in the measurement report, and N</w:t>
      </w:r>
      <w:r>
        <w:rPr>
          <w:vertAlign w:val="subscript"/>
          <w:lang w:val="en-GB"/>
        </w:rPr>
        <w:t>t</w:t>
      </w:r>
      <w:r>
        <w:rPr>
          <w:lang w:val="en-GB"/>
        </w:rPr>
        <w:t>’ can be inferred by the report size.</w:t>
      </w:r>
      <w:bookmarkEnd w:id="204"/>
      <w:r>
        <w:rPr>
          <w:lang w:val="en-GB"/>
        </w:rPr>
        <w:t xml:space="preserve"> </w:t>
      </w:r>
    </w:p>
    <w:p w14:paraId="2CCEE34C"/>
    <w:p w14:paraId="49B0020C">
      <w:pPr>
        <w:pStyle w:val="4"/>
      </w:pPr>
      <w:bookmarkStart w:id="205" w:name="_Toc189845013"/>
      <w:r>
        <w:t>LMF handling of sample-based or path-based reporting</w:t>
      </w:r>
      <w:bookmarkEnd w:id="205"/>
    </w:p>
    <w:p w14:paraId="1A084600">
      <w:r>
        <w:t xml:space="preserve">For case 3b, the LMF handles the AI model, and therefore should be able to request a suitable model input measurement.  </w:t>
      </w:r>
    </w:p>
    <w:p w14:paraId="4A7240F2">
      <w:pPr>
        <w:pStyle w:val="73"/>
      </w:pPr>
      <w:bookmarkStart w:id="206" w:name="_Toc189845107"/>
      <w:r>
        <w:t>For Rel-19 AI/ML based positioning Case 3b, LMF includes an indicator in the measurement request to gNB, where the indicator is on the LMF preferred measurement report: either (a) sample-based measurement, or (b) legacy path-based measurement.</w:t>
      </w:r>
      <w:bookmarkEnd w:id="206"/>
    </w:p>
    <w:p w14:paraId="73565CE4"/>
    <w:p w14:paraId="08C13260">
      <w:r>
        <w:t>Regarding legacy path-based measurement, there is a question on whether to extend the number of paths to report. In our view, if path-based measurement is used, then the existing maximum of 9 paths (first path + 8 additional paths) is sufficient. If more measurement values are desired, then sample-based measurement can be used instead.</w:t>
      </w:r>
    </w:p>
    <w:p w14:paraId="747E4B11">
      <w:pPr>
        <w:pStyle w:val="73"/>
      </w:pPr>
      <w:bookmarkStart w:id="207" w:name="_Toc189845108"/>
      <w:r>
        <w:t>For Rel-19 AI/ML based positioning, legacy path-based measurement (if needed) is used without enhancement.</w:t>
      </w:r>
      <w:bookmarkEnd w:id="207"/>
    </w:p>
    <w:p w14:paraId="5799528B"/>
    <w:p w14:paraId="77165504">
      <w:r>
        <w:t xml:space="preserve">Finally, we also discussed possibility of fallback between sample-based reporting and legacy RTOA reporting.  In our view, it should be left to the LMF to decide whether to request a fallback, since the LMF model implementation may or may not be able to reuse legacy measurements.  Moreover, the gNB reporting capability for path or sample measurement report may dynamically change due to processing load variations. Hence automatic fallback from one type of measurement to the other cannot be guaranteed.  Hence, it should be enough to rely on the legacy “cause value” mechanism. If the LMF request for sample-based reporting cannot be satisfied, a gNB  can reject the request with a suitable cause value, and the LMF may proceed by subsequently send a new request for legacy RTOA measurements. </w:t>
      </w:r>
    </w:p>
    <w:p w14:paraId="4EF016D3">
      <w:pPr>
        <w:pStyle w:val="97"/>
        <w:rPr>
          <w:lang w:val="en-GB"/>
        </w:rPr>
      </w:pPr>
      <w:bookmarkStart w:id="208" w:name="_Toc189845062"/>
      <w:r>
        <w:rPr>
          <w:lang w:val="en-GB"/>
        </w:rPr>
        <w:t>For Case 3b measurement reporting, gNB measurement report capability may vary over time.</w:t>
      </w:r>
      <w:bookmarkEnd w:id="208"/>
    </w:p>
    <w:p w14:paraId="2D376B98">
      <w:pPr>
        <w:pStyle w:val="97"/>
        <w:rPr>
          <w:lang w:val="en-GB"/>
        </w:rPr>
      </w:pPr>
      <w:bookmarkStart w:id="209" w:name="_Toc189845063"/>
      <w:r>
        <w:rPr>
          <w:lang w:val="en-GB"/>
        </w:rPr>
        <w:t>For Case 3b, automatic fallback from one measurement method to the other cannot be guaranteed.</w:t>
      </w:r>
      <w:bookmarkEnd w:id="209"/>
    </w:p>
    <w:p w14:paraId="5FF431BF">
      <w:pPr>
        <w:pStyle w:val="73"/>
        <w:rPr>
          <w:lang w:val="en-GB"/>
        </w:rPr>
      </w:pPr>
      <w:bookmarkStart w:id="210" w:name="_Toc189845109"/>
      <w:r>
        <w:rPr>
          <w:lang w:val="en-GB"/>
        </w:rPr>
        <w:t>For Case 3b, do not specify signalling enhancements for fallback between sample-based and path-based measurement.</w:t>
      </w:r>
      <w:bookmarkEnd w:id="210"/>
    </w:p>
    <w:p w14:paraId="1B526242">
      <w:pPr>
        <w:pStyle w:val="73"/>
        <w:numPr>
          <w:ilvl w:val="1"/>
          <w:numId w:val="11"/>
        </w:numPr>
        <w:rPr>
          <w:lang w:val="en-GB"/>
        </w:rPr>
      </w:pPr>
      <w:bookmarkStart w:id="211" w:name="_Toc189845110"/>
      <w:r>
        <w:rPr>
          <w:lang w:val="en-GB"/>
        </w:rPr>
        <w:t>Note: fallback can be supported by existing procedure using cause values.</w:t>
      </w:r>
      <w:bookmarkEnd w:id="211"/>
      <w:r>
        <w:rPr>
          <w:lang w:val="en-GB"/>
        </w:rPr>
        <w:t xml:space="preserve"> </w:t>
      </w:r>
    </w:p>
    <w:p w14:paraId="3D2123E2">
      <w:pPr>
        <w:rPr>
          <w:lang w:val="en-GB"/>
        </w:rPr>
      </w:pPr>
    </w:p>
    <w:p w14:paraId="5D7D92B8">
      <w:pPr>
        <w:pStyle w:val="4"/>
      </w:pPr>
      <w:bookmarkStart w:id="212" w:name="_Toc178705057"/>
      <w:bookmarkEnd w:id="212"/>
      <w:bookmarkStart w:id="213" w:name="_Toc178772655"/>
      <w:bookmarkEnd w:id="213"/>
      <w:bookmarkStart w:id="214" w:name="_Toc178708934"/>
      <w:bookmarkEnd w:id="214"/>
      <w:bookmarkStart w:id="215" w:name="_Toc178705058"/>
      <w:bookmarkEnd w:id="215"/>
      <w:bookmarkStart w:id="216" w:name="_Toc178705958"/>
      <w:bookmarkEnd w:id="216"/>
      <w:bookmarkStart w:id="217" w:name="_Toc178705960"/>
      <w:bookmarkEnd w:id="217"/>
      <w:bookmarkStart w:id="218" w:name="_Toc178705059"/>
      <w:bookmarkEnd w:id="218"/>
      <w:bookmarkStart w:id="219" w:name="_Toc178708936"/>
      <w:bookmarkEnd w:id="219"/>
      <w:bookmarkStart w:id="220" w:name="_Toc178708937"/>
      <w:bookmarkEnd w:id="220"/>
      <w:bookmarkStart w:id="221" w:name="_Toc178708938"/>
      <w:bookmarkEnd w:id="221"/>
      <w:bookmarkStart w:id="222" w:name="_Toc178705961"/>
      <w:bookmarkEnd w:id="222"/>
      <w:bookmarkStart w:id="223" w:name="_Toc178705056"/>
      <w:bookmarkEnd w:id="223"/>
      <w:bookmarkStart w:id="224" w:name="_Toc178708933"/>
      <w:bookmarkEnd w:id="224"/>
      <w:bookmarkStart w:id="225" w:name="_Toc178708939"/>
      <w:bookmarkEnd w:id="225"/>
      <w:bookmarkStart w:id="226" w:name="_Toc178705959"/>
      <w:bookmarkEnd w:id="226"/>
      <w:bookmarkStart w:id="227" w:name="_Toc178705956"/>
      <w:bookmarkEnd w:id="227"/>
      <w:bookmarkStart w:id="228" w:name="_Toc178772660"/>
      <w:bookmarkEnd w:id="228"/>
      <w:bookmarkStart w:id="229" w:name="_Toc178772661"/>
      <w:bookmarkEnd w:id="229"/>
      <w:bookmarkStart w:id="230" w:name="_Toc178705060"/>
      <w:bookmarkEnd w:id="230"/>
      <w:bookmarkStart w:id="231" w:name="_Toc178705962"/>
      <w:bookmarkEnd w:id="231"/>
      <w:bookmarkStart w:id="232" w:name="_Toc178708940"/>
      <w:bookmarkEnd w:id="232"/>
      <w:bookmarkStart w:id="233" w:name="_Toc178772662"/>
      <w:bookmarkEnd w:id="233"/>
      <w:bookmarkStart w:id="234" w:name="_Toc178705054"/>
      <w:bookmarkEnd w:id="234"/>
      <w:bookmarkStart w:id="235" w:name="_Toc178705061"/>
      <w:bookmarkEnd w:id="235"/>
      <w:bookmarkStart w:id="236" w:name="_Toc178705955"/>
      <w:bookmarkEnd w:id="236"/>
      <w:bookmarkStart w:id="237" w:name="_Toc178705957"/>
      <w:bookmarkEnd w:id="237"/>
      <w:bookmarkStart w:id="238" w:name="_Toc178772657"/>
      <w:bookmarkEnd w:id="238"/>
      <w:bookmarkStart w:id="239" w:name="_Toc178772659"/>
      <w:bookmarkEnd w:id="239"/>
      <w:bookmarkStart w:id="240" w:name="_Toc178772656"/>
      <w:bookmarkEnd w:id="240"/>
      <w:bookmarkStart w:id="241" w:name="_Toc178705055"/>
      <w:bookmarkEnd w:id="241"/>
      <w:bookmarkStart w:id="242" w:name="_Toc178772658"/>
      <w:bookmarkEnd w:id="242"/>
      <w:bookmarkStart w:id="243" w:name="_Toc178708935"/>
      <w:bookmarkEnd w:id="243"/>
      <w:bookmarkStart w:id="244" w:name="_Toc189041698"/>
      <w:bookmarkEnd w:id="244"/>
      <w:bookmarkStart w:id="245" w:name="_Toc189041694"/>
      <w:bookmarkEnd w:id="245"/>
      <w:bookmarkStart w:id="246" w:name="_Toc189041691"/>
      <w:bookmarkEnd w:id="246"/>
      <w:bookmarkStart w:id="247" w:name="_Toc187676821"/>
      <w:bookmarkEnd w:id="247"/>
      <w:bookmarkStart w:id="248" w:name="_Toc189041693"/>
      <w:bookmarkEnd w:id="248"/>
      <w:bookmarkStart w:id="249" w:name="_Toc187676824"/>
      <w:bookmarkEnd w:id="249"/>
      <w:bookmarkStart w:id="250" w:name="_Toc189041695"/>
      <w:bookmarkEnd w:id="250"/>
      <w:bookmarkStart w:id="251" w:name="_Toc187676826"/>
      <w:bookmarkEnd w:id="251"/>
      <w:bookmarkStart w:id="252" w:name="_Toc189041697"/>
      <w:bookmarkEnd w:id="252"/>
      <w:bookmarkStart w:id="253" w:name="_Toc187676822"/>
      <w:bookmarkEnd w:id="253"/>
      <w:bookmarkStart w:id="254" w:name="_Toc187676820"/>
      <w:bookmarkEnd w:id="254"/>
      <w:bookmarkStart w:id="255" w:name="_Toc187676827"/>
      <w:bookmarkEnd w:id="255"/>
      <w:bookmarkStart w:id="256" w:name="_Toc189041692"/>
      <w:bookmarkEnd w:id="256"/>
      <w:bookmarkStart w:id="257" w:name="_Toc187676823"/>
      <w:bookmarkEnd w:id="257"/>
      <w:bookmarkStart w:id="258" w:name="_Toc187676825"/>
      <w:bookmarkEnd w:id="258"/>
      <w:bookmarkStart w:id="259" w:name="_Toc189041696"/>
      <w:bookmarkEnd w:id="259"/>
      <w:bookmarkStart w:id="260" w:name="_Toc189041714"/>
      <w:bookmarkEnd w:id="260"/>
      <w:bookmarkStart w:id="261" w:name="_Toc189041705"/>
      <w:bookmarkEnd w:id="261"/>
      <w:bookmarkStart w:id="262" w:name="_Toc187676829"/>
      <w:bookmarkEnd w:id="262"/>
      <w:bookmarkStart w:id="263" w:name="_Toc189041709"/>
      <w:bookmarkEnd w:id="263"/>
      <w:bookmarkStart w:id="264" w:name="_Toc189041713"/>
      <w:bookmarkEnd w:id="264"/>
      <w:bookmarkStart w:id="265" w:name="_Toc189041703"/>
      <w:bookmarkEnd w:id="265"/>
      <w:bookmarkStart w:id="266" w:name="_Toc187676833"/>
      <w:bookmarkEnd w:id="266"/>
      <w:bookmarkStart w:id="267" w:name="_Toc189041702"/>
      <w:bookmarkEnd w:id="267"/>
      <w:bookmarkStart w:id="268" w:name="_Toc187676832"/>
      <w:bookmarkEnd w:id="268"/>
      <w:bookmarkStart w:id="269" w:name="_Toc187676831"/>
      <w:bookmarkEnd w:id="269"/>
      <w:bookmarkStart w:id="270" w:name="_Toc189041700"/>
      <w:bookmarkEnd w:id="270"/>
      <w:bookmarkStart w:id="271" w:name="_Toc189041704"/>
      <w:bookmarkEnd w:id="271"/>
      <w:bookmarkStart w:id="272" w:name="_Toc187676830"/>
      <w:bookmarkEnd w:id="272"/>
      <w:bookmarkStart w:id="273" w:name="_Toc189041706"/>
      <w:bookmarkEnd w:id="273"/>
      <w:bookmarkStart w:id="274" w:name="_Toc187676836"/>
      <w:bookmarkEnd w:id="274"/>
      <w:bookmarkStart w:id="275" w:name="_Toc189041708"/>
      <w:bookmarkEnd w:id="275"/>
      <w:bookmarkStart w:id="276" w:name="_Toc187676839"/>
      <w:bookmarkEnd w:id="276"/>
      <w:bookmarkStart w:id="277" w:name="_Toc189041710"/>
      <w:bookmarkEnd w:id="277"/>
      <w:bookmarkStart w:id="278" w:name="_Toc187676828"/>
      <w:bookmarkEnd w:id="278"/>
      <w:bookmarkStart w:id="279" w:name="_Toc187676841"/>
      <w:bookmarkEnd w:id="279"/>
      <w:bookmarkStart w:id="280" w:name="_Toc187676834"/>
      <w:bookmarkEnd w:id="280"/>
      <w:bookmarkStart w:id="281" w:name="_Toc187676837"/>
      <w:bookmarkEnd w:id="281"/>
      <w:bookmarkStart w:id="282" w:name="_Toc187676835"/>
      <w:bookmarkEnd w:id="282"/>
      <w:bookmarkStart w:id="283" w:name="_Toc189041712"/>
      <w:bookmarkEnd w:id="283"/>
      <w:bookmarkStart w:id="284" w:name="_Toc187676842"/>
      <w:bookmarkEnd w:id="284"/>
      <w:bookmarkStart w:id="285" w:name="_Toc189041707"/>
      <w:bookmarkEnd w:id="285"/>
      <w:bookmarkStart w:id="286" w:name="_Toc187676838"/>
      <w:bookmarkEnd w:id="286"/>
      <w:bookmarkStart w:id="287" w:name="_Toc189041711"/>
      <w:bookmarkEnd w:id="287"/>
      <w:bookmarkStart w:id="288" w:name="_Toc187676843"/>
      <w:bookmarkEnd w:id="288"/>
      <w:bookmarkStart w:id="289" w:name="_Toc189041699"/>
      <w:bookmarkEnd w:id="289"/>
      <w:bookmarkStart w:id="290" w:name="_Toc189041701"/>
      <w:bookmarkEnd w:id="290"/>
      <w:bookmarkStart w:id="291" w:name="_Toc187676840"/>
      <w:bookmarkEnd w:id="291"/>
      <w:bookmarkStart w:id="292" w:name="_Toc187677068"/>
      <w:bookmarkEnd w:id="292"/>
      <w:bookmarkStart w:id="293" w:name="_Toc187677069"/>
      <w:bookmarkEnd w:id="293"/>
      <w:bookmarkStart w:id="294" w:name="_Toc187676953"/>
      <w:bookmarkEnd w:id="294"/>
      <w:bookmarkStart w:id="295" w:name="_Toc187676954"/>
      <w:bookmarkEnd w:id="295"/>
      <w:bookmarkStart w:id="296" w:name="_Toc187677180"/>
      <w:bookmarkEnd w:id="296"/>
      <w:bookmarkStart w:id="297" w:name="_Toc189042050"/>
      <w:bookmarkEnd w:id="297"/>
      <w:bookmarkStart w:id="298" w:name="_Toc189041824"/>
      <w:bookmarkEnd w:id="298"/>
      <w:bookmarkStart w:id="299" w:name="_Toc187677065"/>
      <w:bookmarkEnd w:id="299"/>
      <w:bookmarkStart w:id="300" w:name="_Toc189041937"/>
      <w:bookmarkEnd w:id="300"/>
      <w:bookmarkStart w:id="301" w:name="_Toc189042051"/>
      <w:bookmarkEnd w:id="301"/>
      <w:bookmarkStart w:id="302" w:name="_Toc187677290"/>
      <w:bookmarkEnd w:id="302"/>
      <w:bookmarkStart w:id="303" w:name="_Toc189041825"/>
      <w:bookmarkEnd w:id="303"/>
      <w:bookmarkStart w:id="304" w:name="_Toc189041936"/>
      <w:bookmarkEnd w:id="304"/>
      <w:bookmarkStart w:id="305" w:name="_Toc189042161"/>
      <w:bookmarkEnd w:id="305"/>
      <w:bookmarkStart w:id="306" w:name="_Toc187677067"/>
      <w:bookmarkEnd w:id="306"/>
      <w:bookmarkStart w:id="307" w:name="_Toc189042162"/>
      <w:bookmarkEnd w:id="307"/>
      <w:bookmarkStart w:id="308" w:name="_Toc187677066"/>
      <w:bookmarkEnd w:id="308"/>
      <w:bookmarkStart w:id="309" w:name="_Toc189041940"/>
      <w:bookmarkEnd w:id="309"/>
      <w:bookmarkStart w:id="310" w:name="_Toc189042163"/>
      <w:bookmarkEnd w:id="310"/>
      <w:bookmarkStart w:id="311" w:name="_Toc187676955"/>
      <w:bookmarkEnd w:id="311"/>
      <w:bookmarkStart w:id="312" w:name="_Toc187677293"/>
      <w:bookmarkEnd w:id="312"/>
      <w:bookmarkStart w:id="313" w:name="_Toc189042164"/>
      <w:bookmarkEnd w:id="313"/>
      <w:bookmarkStart w:id="314" w:name="_Toc187677294"/>
      <w:bookmarkEnd w:id="314"/>
      <w:bookmarkStart w:id="315" w:name="_Toc189042165"/>
      <w:bookmarkEnd w:id="315"/>
      <w:bookmarkStart w:id="316" w:name="_Toc187677292"/>
      <w:bookmarkEnd w:id="316"/>
      <w:bookmarkStart w:id="317" w:name="_Toc189041939"/>
      <w:bookmarkEnd w:id="317"/>
      <w:bookmarkStart w:id="318" w:name="_Toc187677179"/>
      <w:bookmarkEnd w:id="318"/>
      <w:bookmarkStart w:id="319" w:name="_Toc187677291"/>
      <w:bookmarkEnd w:id="319"/>
      <w:bookmarkStart w:id="320" w:name="_Toc187677295"/>
      <w:bookmarkEnd w:id="320"/>
      <w:bookmarkStart w:id="321" w:name="_Toc189042166"/>
      <w:bookmarkEnd w:id="321"/>
      <w:bookmarkStart w:id="322" w:name="_Toc189041826"/>
      <w:bookmarkEnd w:id="322"/>
      <w:bookmarkStart w:id="323" w:name="_Toc189041938"/>
      <w:bookmarkEnd w:id="323"/>
      <w:bookmarkStart w:id="324" w:name="_Toc187677529"/>
      <w:bookmarkEnd w:id="324"/>
      <w:bookmarkStart w:id="325" w:name="_Toc189042400"/>
      <w:bookmarkEnd w:id="325"/>
      <w:bookmarkStart w:id="326" w:name="_Toc187677519"/>
      <w:bookmarkEnd w:id="326"/>
      <w:bookmarkStart w:id="327" w:name="_Toc187677521"/>
      <w:bookmarkEnd w:id="327"/>
      <w:bookmarkStart w:id="328" w:name="_Toc189042393"/>
      <w:bookmarkEnd w:id="328"/>
      <w:bookmarkStart w:id="329" w:name="_Toc189042395"/>
      <w:bookmarkEnd w:id="329"/>
      <w:bookmarkStart w:id="330" w:name="_Toc189042394"/>
      <w:bookmarkEnd w:id="330"/>
      <w:bookmarkStart w:id="331" w:name="_Toc189042391"/>
      <w:bookmarkEnd w:id="331"/>
      <w:bookmarkStart w:id="332" w:name="_Toc189042399"/>
      <w:bookmarkEnd w:id="332"/>
      <w:bookmarkStart w:id="333" w:name="_Toc187677517"/>
      <w:bookmarkEnd w:id="333"/>
      <w:bookmarkStart w:id="334" w:name="_Toc189042392"/>
      <w:bookmarkEnd w:id="334"/>
      <w:bookmarkStart w:id="335" w:name="_Toc189042276"/>
      <w:bookmarkEnd w:id="335"/>
      <w:bookmarkStart w:id="336" w:name="_Toc187677526"/>
      <w:bookmarkEnd w:id="336"/>
      <w:bookmarkStart w:id="337" w:name="_Toc189042390"/>
      <w:bookmarkEnd w:id="337"/>
      <w:bookmarkStart w:id="338" w:name="_Toc187677405"/>
      <w:bookmarkEnd w:id="338"/>
      <w:bookmarkStart w:id="339" w:name="_Toc189042278"/>
      <w:bookmarkEnd w:id="339"/>
      <w:bookmarkStart w:id="340" w:name="_Toc189042389"/>
      <w:bookmarkEnd w:id="340"/>
      <w:bookmarkStart w:id="341" w:name="_Toc187677524"/>
      <w:bookmarkEnd w:id="341"/>
      <w:bookmarkStart w:id="342" w:name="_Toc187677522"/>
      <w:bookmarkEnd w:id="342"/>
      <w:bookmarkStart w:id="343" w:name="_Toc187677527"/>
      <w:bookmarkEnd w:id="343"/>
      <w:bookmarkStart w:id="344" w:name="_Toc187677525"/>
      <w:bookmarkEnd w:id="344"/>
      <w:bookmarkStart w:id="345" w:name="_Toc189042277"/>
      <w:bookmarkEnd w:id="345"/>
      <w:bookmarkStart w:id="346" w:name="_Toc187677406"/>
      <w:bookmarkEnd w:id="346"/>
      <w:bookmarkStart w:id="347" w:name="_Toc189042388"/>
      <w:bookmarkEnd w:id="347"/>
      <w:bookmarkStart w:id="348" w:name="_Toc187677407"/>
      <w:bookmarkEnd w:id="348"/>
      <w:bookmarkStart w:id="349" w:name="_Toc187677518"/>
      <w:bookmarkEnd w:id="349"/>
      <w:bookmarkStart w:id="350" w:name="_Toc187677523"/>
      <w:bookmarkEnd w:id="350"/>
      <w:bookmarkStart w:id="351" w:name="_Toc187677520"/>
      <w:bookmarkEnd w:id="351"/>
      <w:bookmarkStart w:id="352" w:name="_Toc189042396"/>
      <w:bookmarkEnd w:id="352"/>
      <w:bookmarkStart w:id="353" w:name="_Toc189042397"/>
      <w:bookmarkEnd w:id="353"/>
      <w:bookmarkStart w:id="354" w:name="_Toc189042398"/>
      <w:bookmarkEnd w:id="354"/>
      <w:bookmarkStart w:id="355" w:name="_Toc187677528"/>
      <w:bookmarkEnd w:id="355"/>
      <w:bookmarkStart w:id="356" w:name="_Toc187677530"/>
      <w:bookmarkEnd w:id="356"/>
      <w:bookmarkStart w:id="357" w:name="_Toc189042413"/>
      <w:bookmarkEnd w:id="357"/>
      <w:bookmarkStart w:id="358" w:name="_Toc187677534"/>
      <w:bookmarkEnd w:id="358"/>
      <w:bookmarkStart w:id="359" w:name="_Toc187677535"/>
      <w:bookmarkEnd w:id="359"/>
      <w:bookmarkStart w:id="360" w:name="_Toc178708852"/>
      <w:bookmarkEnd w:id="360"/>
      <w:bookmarkStart w:id="361" w:name="_Toc187677533"/>
      <w:bookmarkEnd w:id="361"/>
      <w:bookmarkStart w:id="362" w:name="_Toc178705874"/>
      <w:bookmarkEnd w:id="362"/>
      <w:bookmarkStart w:id="363" w:name="_Toc187677531"/>
      <w:bookmarkEnd w:id="363"/>
      <w:bookmarkStart w:id="364" w:name="_Toc178704971"/>
      <w:bookmarkEnd w:id="364"/>
      <w:bookmarkStart w:id="365" w:name="_Toc189042402"/>
      <w:bookmarkEnd w:id="365"/>
      <w:bookmarkStart w:id="366" w:name="_Toc189042401"/>
      <w:bookmarkEnd w:id="366"/>
      <w:bookmarkStart w:id="367" w:name="_Toc189042405"/>
      <w:bookmarkEnd w:id="367"/>
      <w:bookmarkStart w:id="368" w:name="_Toc178704972"/>
      <w:bookmarkEnd w:id="368"/>
      <w:bookmarkStart w:id="369" w:name="_Toc187677544"/>
      <w:bookmarkEnd w:id="369"/>
      <w:bookmarkStart w:id="370" w:name="_Toc187677532"/>
      <w:bookmarkEnd w:id="370"/>
      <w:bookmarkStart w:id="371" w:name="_Toc189042422"/>
      <w:bookmarkEnd w:id="371"/>
      <w:bookmarkStart w:id="372" w:name="_Toc178708851"/>
      <w:bookmarkEnd w:id="372"/>
      <w:bookmarkStart w:id="373" w:name="_Toc178772573"/>
      <w:bookmarkEnd w:id="373"/>
      <w:bookmarkStart w:id="374" w:name="_Toc178772574"/>
      <w:bookmarkEnd w:id="374"/>
      <w:bookmarkStart w:id="375" w:name="_Toc189042403"/>
      <w:bookmarkEnd w:id="375"/>
      <w:bookmarkStart w:id="376" w:name="_Toc189042414"/>
      <w:bookmarkEnd w:id="376"/>
      <w:bookmarkStart w:id="377" w:name="_Toc187677551"/>
      <w:bookmarkEnd w:id="377"/>
      <w:bookmarkStart w:id="378" w:name="_Toc178704973"/>
      <w:bookmarkEnd w:id="378"/>
      <w:bookmarkStart w:id="379" w:name="_Toc178705875"/>
      <w:bookmarkEnd w:id="379"/>
      <w:bookmarkStart w:id="380" w:name="_Toc189042406"/>
      <w:bookmarkEnd w:id="380"/>
      <w:bookmarkStart w:id="381" w:name="_Toc187677552"/>
      <w:bookmarkEnd w:id="381"/>
      <w:bookmarkStart w:id="382" w:name="_Toc187677543"/>
      <w:bookmarkEnd w:id="382"/>
      <w:bookmarkStart w:id="383" w:name="_Toc187677542"/>
      <w:bookmarkEnd w:id="383"/>
      <w:bookmarkStart w:id="384" w:name="_Toc189042415"/>
      <w:bookmarkEnd w:id="384"/>
      <w:bookmarkStart w:id="385" w:name="_Toc189042404"/>
      <w:bookmarkEnd w:id="385"/>
      <w:bookmarkStart w:id="386" w:name="_Toc189042423"/>
      <w:bookmarkEnd w:id="386"/>
      <w:bookmarkStart w:id="387" w:name="_Toc178705873"/>
      <w:bookmarkEnd w:id="387"/>
      <w:bookmarkStart w:id="388" w:name="_Toc178705876"/>
      <w:bookmarkEnd w:id="388"/>
      <w:bookmarkStart w:id="389" w:name="_Toc178708853"/>
      <w:bookmarkEnd w:id="389"/>
      <w:bookmarkStart w:id="390" w:name="_Toc178704975"/>
      <w:bookmarkEnd w:id="390"/>
      <w:bookmarkStart w:id="391" w:name="_Toc178705877"/>
      <w:bookmarkEnd w:id="391"/>
      <w:bookmarkStart w:id="392" w:name="_Toc178708854"/>
      <w:bookmarkEnd w:id="392"/>
      <w:bookmarkStart w:id="393" w:name="_Toc178705878"/>
      <w:bookmarkEnd w:id="393"/>
      <w:bookmarkStart w:id="394" w:name="_Toc178772578"/>
      <w:bookmarkEnd w:id="394"/>
      <w:bookmarkStart w:id="395" w:name="_Toc178772580"/>
      <w:bookmarkEnd w:id="395"/>
      <w:bookmarkStart w:id="396" w:name="_Toc178772577"/>
      <w:bookmarkEnd w:id="396"/>
      <w:bookmarkStart w:id="397" w:name="_Toc178708855"/>
      <w:bookmarkEnd w:id="397"/>
      <w:bookmarkStart w:id="398" w:name="_Toc178705881"/>
      <w:bookmarkEnd w:id="398"/>
      <w:bookmarkStart w:id="399" w:name="_Toc178708859"/>
      <w:bookmarkEnd w:id="399"/>
      <w:bookmarkStart w:id="400" w:name="_Toc178704980"/>
      <w:bookmarkEnd w:id="400"/>
      <w:bookmarkStart w:id="401" w:name="_Toc178705882"/>
      <w:bookmarkEnd w:id="401"/>
      <w:bookmarkStart w:id="402" w:name="_Toc178705880"/>
      <w:bookmarkEnd w:id="402"/>
      <w:bookmarkStart w:id="403" w:name="_Toc178772582"/>
      <w:bookmarkEnd w:id="403"/>
      <w:bookmarkStart w:id="404" w:name="_Toc178708860"/>
      <w:bookmarkEnd w:id="404"/>
      <w:bookmarkStart w:id="405" w:name="_Toc178704981"/>
      <w:bookmarkEnd w:id="405"/>
      <w:bookmarkStart w:id="406" w:name="_Toc178705883"/>
      <w:bookmarkEnd w:id="406"/>
      <w:bookmarkStart w:id="407" w:name="_Toc178708858"/>
      <w:bookmarkEnd w:id="407"/>
      <w:bookmarkStart w:id="408" w:name="_Toc178704978"/>
      <w:bookmarkEnd w:id="408"/>
      <w:bookmarkStart w:id="409" w:name="_Toc178704977"/>
      <w:bookmarkEnd w:id="409"/>
      <w:bookmarkStart w:id="410" w:name="_Toc178704979"/>
      <w:bookmarkEnd w:id="410"/>
      <w:bookmarkStart w:id="411" w:name="_Toc178708856"/>
      <w:bookmarkEnd w:id="411"/>
      <w:bookmarkStart w:id="412" w:name="_Toc178708857"/>
      <w:bookmarkEnd w:id="412"/>
      <w:bookmarkStart w:id="413" w:name="_Toc178772579"/>
      <w:bookmarkEnd w:id="413"/>
      <w:bookmarkStart w:id="414" w:name="_Toc178772576"/>
      <w:bookmarkEnd w:id="414"/>
      <w:bookmarkStart w:id="415" w:name="_Toc178772575"/>
      <w:bookmarkEnd w:id="415"/>
      <w:bookmarkStart w:id="416" w:name="_Toc178705879"/>
      <w:bookmarkEnd w:id="416"/>
      <w:bookmarkStart w:id="417" w:name="_Toc178704974"/>
      <w:bookmarkEnd w:id="417"/>
      <w:bookmarkStart w:id="418" w:name="_Toc178704976"/>
      <w:bookmarkEnd w:id="418"/>
      <w:bookmarkStart w:id="419" w:name="_Toc178772581"/>
      <w:bookmarkEnd w:id="419"/>
      <w:bookmarkStart w:id="420" w:name="_Toc178772587"/>
      <w:bookmarkEnd w:id="420"/>
      <w:bookmarkStart w:id="421" w:name="_Toc178705887"/>
      <w:bookmarkEnd w:id="421"/>
      <w:bookmarkStart w:id="422" w:name="_Toc178704986"/>
      <w:bookmarkEnd w:id="422"/>
      <w:bookmarkStart w:id="423" w:name="_Toc178772588"/>
      <w:bookmarkEnd w:id="423"/>
      <w:bookmarkStart w:id="424" w:name="_Toc178705884"/>
      <w:bookmarkEnd w:id="424"/>
      <w:bookmarkStart w:id="425" w:name="_Toc178705888"/>
      <w:bookmarkEnd w:id="425"/>
      <w:bookmarkStart w:id="426" w:name="_Toc178704987"/>
      <w:bookmarkEnd w:id="426"/>
      <w:bookmarkStart w:id="427" w:name="_Toc178772589"/>
      <w:bookmarkEnd w:id="427"/>
      <w:bookmarkStart w:id="428" w:name="_Toc178772583"/>
      <w:bookmarkEnd w:id="428"/>
      <w:bookmarkStart w:id="429" w:name="_Toc178705886"/>
      <w:bookmarkEnd w:id="429"/>
      <w:bookmarkStart w:id="430" w:name="_Toc178772586"/>
      <w:bookmarkEnd w:id="430"/>
      <w:bookmarkStart w:id="431" w:name="_Toc178705889"/>
      <w:bookmarkEnd w:id="431"/>
      <w:bookmarkStart w:id="432" w:name="_Toc178704985"/>
      <w:bookmarkEnd w:id="432"/>
      <w:bookmarkStart w:id="433" w:name="_Toc178708867"/>
      <w:bookmarkEnd w:id="433"/>
      <w:bookmarkStart w:id="434" w:name="_Toc178772585"/>
      <w:bookmarkEnd w:id="434"/>
      <w:bookmarkStart w:id="435" w:name="_Toc178704988"/>
      <w:bookmarkEnd w:id="435"/>
      <w:bookmarkStart w:id="436" w:name="_Toc178708868"/>
      <w:bookmarkEnd w:id="436"/>
      <w:bookmarkStart w:id="437" w:name="_Toc178704989"/>
      <w:bookmarkEnd w:id="437"/>
      <w:bookmarkStart w:id="438" w:name="_Toc178705891"/>
      <w:bookmarkEnd w:id="438"/>
      <w:bookmarkStart w:id="439" w:name="_Toc178708864"/>
      <w:bookmarkEnd w:id="439"/>
      <w:bookmarkStart w:id="440" w:name="_Toc178708862"/>
      <w:bookmarkEnd w:id="440"/>
      <w:bookmarkStart w:id="441" w:name="_Toc178705885"/>
      <w:bookmarkEnd w:id="441"/>
      <w:bookmarkStart w:id="442" w:name="_Toc178704982"/>
      <w:bookmarkEnd w:id="442"/>
      <w:bookmarkStart w:id="443" w:name="_Toc178708863"/>
      <w:bookmarkEnd w:id="443"/>
      <w:bookmarkStart w:id="444" w:name="_Toc178705890"/>
      <w:bookmarkEnd w:id="444"/>
      <w:bookmarkStart w:id="445" w:name="_Toc178772584"/>
      <w:bookmarkEnd w:id="445"/>
      <w:bookmarkStart w:id="446" w:name="_Toc178708866"/>
      <w:bookmarkEnd w:id="446"/>
      <w:bookmarkStart w:id="447" w:name="_Toc178708865"/>
      <w:bookmarkEnd w:id="447"/>
      <w:bookmarkStart w:id="448" w:name="_Toc178772590"/>
      <w:bookmarkEnd w:id="448"/>
      <w:bookmarkStart w:id="449" w:name="_Toc178704983"/>
      <w:bookmarkEnd w:id="449"/>
      <w:bookmarkStart w:id="450" w:name="_Toc178708861"/>
      <w:bookmarkEnd w:id="450"/>
      <w:bookmarkStart w:id="451" w:name="_Toc178704984"/>
      <w:bookmarkEnd w:id="451"/>
      <w:bookmarkStart w:id="452" w:name="_Toc178704991"/>
      <w:bookmarkEnd w:id="452"/>
      <w:bookmarkStart w:id="453" w:name="_Toc178704995"/>
      <w:bookmarkEnd w:id="453"/>
      <w:bookmarkStart w:id="454" w:name="_Toc178705897"/>
      <w:bookmarkEnd w:id="454"/>
      <w:bookmarkStart w:id="455" w:name="_Toc178708870"/>
      <w:bookmarkEnd w:id="455"/>
      <w:bookmarkStart w:id="456" w:name="_Toc178704993"/>
      <w:bookmarkEnd w:id="456"/>
      <w:bookmarkStart w:id="457" w:name="_Toc178704994"/>
      <w:bookmarkEnd w:id="457"/>
      <w:bookmarkStart w:id="458" w:name="_Toc178708872"/>
      <w:bookmarkEnd w:id="458"/>
      <w:bookmarkStart w:id="459" w:name="_Toc178772597"/>
      <w:bookmarkEnd w:id="459"/>
      <w:bookmarkStart w:id="460" w:name="_Toc178708873"/>
      <w:bookmarkEnd w:id="460"/>
      <w:bookmarkStart w:id="461" w:name="_Toc178704996"/>
      <w:bookmarkEnd w:id="461"/>
      <w:bookmarkStart w:id="462" w:name="_Toc178705898"/>
      <w:bookmarkEnd w:id="462"/>
      <w:bookmarkStart w:id="463" w:name="_Toc178705893"/>
      <w:bookmarkEnd w:id="463"/>
      <w:bookmarkStart w:id="464" w:name="_Toc178708876"/>
      <w:bookmarkEnd w:id="464"/>
      <w:bookmarkStart w:id="465" w:name="_Toc178772598"/>
      <w:bookmarkEnd w:id="465"/>
      <w:bookmarkStart w:id="466" w:name="_Toc178704990"/>
      <w:bookmarkEnd w:id="466"/>
      <w:bookmarkStart w:id="467" w:name="_Toc178708875"/>
      <w:bookmarkEnd w:id="467"/>
      <w:bookmarkStart w:id="468" w:name="_Toc178705894"/>
      <w:bookmarkEnd w:id="468"/>
      <w:bookmarkStart w:id="469" w:name="_Toc178704997"/>
      <w:bookmarkEnd w:id="469"/>
      <w:bookmarkStart w:id="470" w:name="_Toc178705899"/>
      <w:bookmarkEnd w:id="470"/>
      <w:bookmarkStart w:id="471" w:name="_Toc178705892"/>
      <w:bookmarkEnd w:id="471"/>
      <w:bookmarkStart w:id="472" w:name="_Toc178772591"/>
      <w:bookmarkEnd w:id="472"/>
      <w:bookmarkStart w:id="473" w:name="_Toc178772594"/>
      <w:bookmarkEnd w:id="473"/>
      <w:bookmarkStart w:id="474" w:name="_Toc178772592"/>
      <w:bookmarkEnd w:id="474"/>
      <w:bookmarkStart w:id="475" w:name="_Toc178708871"/>
      <w:bookmarkEnd w:id="475"/>
      <w:bookmarkStart w:id="476" w:name="_Toc178708869"/>
      <w:bookmarkEnd w:id="476"/>
      <w:bookmarkStart w:id="477" w:name="_Toc178772593"/>
      <w:bookmarkEnd w:id="477"/>
      <w:bookmarkStart w:id="478" w:name="_Toc178772595"/>
      <w:bookmarkEnd w:id="478"/>
      <w:bookmarkStart w:id="479" w:name="_Toc178705896"/>
      <w:bookmarkEnd w:id="479"/>
      <w:bookmarkStart w:id="480" w:name="_Toc178708874"/>
      <w:bookmarkEnd w:id="480"/>
      <w:bookmarkStart w:id="481" w:name="_Toc178772596"/>
      <w:bookmarkEnd w:id="481"/>
      <w:bookmarkStart w:id="482" w:name="_Toc178704992"/>
      <w:bookmarkEnd w:id="482"/>
      <w:bookmarkStart w:id="483" w:name="_Toc178705895"/>
      <w:bookmarkEnd w:id="483"/>
      <w:bookmarkStart w:id="484" w:name="_Toc178704999"/>
      <w:bookmarkEnd w:id="484"/>
      <w:bookmarkStart w:id="485" w:name="_Toc178708881"/>
      <w:bookmarkEnd w:id="485"/>
      <w:bookmarkStart w:id="486" w:name="_Toc178772603"/>
      <w:bookmarkEnd w:id="486"/>
      <w:bookmarkStart w:id="487" w:name="_Toc178708882"/>
      <w:bookmarkEnd w:id="487"/>
      <w:bookmarkStart w:id="488" w:name="_Toc178705904"/>
      <w:bookmarkEnd w:id="488"/>
      <w:bookmarkStart w:id="489" w:name="_Toc178705000"/>
      <w:bookmarkEnd w:id="489"/>
      <w:bookmarkStart w:id="490" w:name="_Toc178705902"/>
      <w:bookmarkEnd w:id="490"/>
      <w:bookmarkStart w:id="491" w:name="_Toc178708879"/>
      <w:bookmarkEnd w:id="491"/>
      <w:bookmarkStart w:id="492" w:name="_Toc178705903"/>
      <w:bookmarkEnd w:id="492"/>
      <w:bookmarkStart w:id="493" w:name="_Toc178772604"/>
      <w:bookmarkEnd w:id="493"/>
      <w:bookmarkStart w:id="494" w:name="_Toc178705004"/>
      <w:bookmarkEnd w:id="494"/>
      <w:bookmarkStart w:id="495" w:name="_Toc178708877"/>
      <w:bookmarkEnd w:id="495"/>
      <w:bookmarkStart w:id="496" w:name="_Toc178772599"/>
      <w:bookmarkEnd w:id="496"/>
      <w:bookmarkStart w:id="497" w:name="_Toc178705901"/>
      <w:bookmarkEnd w:id="497"/>
      <w:bookmarkStart w:id="498" w:name="_Toc178705002"/>
      <w:bookmarkEnd w:id="498"/>
      <w:bookmarkStart w:id="499" w:name="_Toc178705905"/>
      <w:bookmarkEnd w:id="499"/>
      <w:bookmarkStart w:id="500" w:name="_Toc178705906"/>
      <w:bookmarkEnd w:id="500"/>
      <w:bookmarkStart w:id="501" w:name="_Toc178708884"/>
      <w:bookmarkEnd w:id="501"/>
      <w:bookmarkStart w:id="502" w:name="_Toc178772602"/>
      <w:bookmarkEnd w:id="502"/>
      <w:bookmarkStart w:id="503" w:name="_Toc178772606"/>
      <w:bookmarkEnd w:id="503"/>
      <w:bookmarkStart w:id="504" w:name="_Toc178772601"/>
      <w:bookmarkEnd w:id="504"/>
      <w:bookmarkStart w:id="505" w:name="_Toc178705005"/>
      <w:bookmarkEnd w:id="505"/>
      <w:bookmarkStart w:id="506" w:name="_Toc178705900"/>
      <w:bookmarkEnd w:id="506"/>
      <w:bookmarkStart w:id="507" w:name="_Toc178705907"/>
      <w:bookmarkEnd w:id="507"/>
      <w:bookmarkStart w:id="508" w:name="_Toc178708880"/>
      <w:bookmarkEnd w:id="508"/>
      <w:bookmarkStart w:id="509" w:name="_Toc178772600"/>
      <w:bookmarkEnd w:id="509"/>
      <w:bookmarkStart w:id="510" w:name="_Toc178705001"/>
      <w:bookmarkEnd w:id="510"/>
      <w:bookmarkStart w:id="511" w:name="_Toc178705003"/>
      <w:bookmarkEnd w:id="511"/>
      <w:bookmarkStart w:id="512" w:name="_Toc178708883"/>
      <w:bookmarkEnd w:id="512"/>
      <w:bookmarkStart w:id="513" w:name="_Toc178772605"/>
      <w:bookmarkEnd w:id="513"/>
      <w:bookmarkStart w:id="514" w:name="_Toc178708878"/>
      <w:bookmarkEnd w:id="514"/>
      <w:bookmarkStart w:id="515" w:name="_Toc178704998"/>
      <w:bookmarkEnd w:id="515"/>
      <w:bookmarkStart w:id="516" w:name="_Toc178772612"/>
      <w:bookmarkEnd w:id="516"/>
      <w:bookmarkStart w:id="517" w:name="_Toc178772609"/>
      <w:bookmarkEnd w:id="517"/>
      <w:bookmarkStart w:id="518" w:name="_Toc178705914"/>
      <w:bookmarkEnd w:id="518"/>
      <w:bookmarkStart w:id="519" w:name="_Toc178708888"/>
      <w:bookmarkEnd w:id="519"/>
      <w:bookmarkStart w:id="520" w:name="_Toc178772607"/>
      <w:bookmarkEnd w:id="520"/>
      <w:bookmarkStart w:id="521" w:name="_Toc178705006"/>
      <w:bookmarkEnd w:id="521"/>
      <w:bookmarkStart w:id="522" w:name="_Toc178705908"/>
      <w:bookmarkEnd w:id="522"/>
      <w:bookmarkStart w:id="523" w:name="_Toc178705909"/>
      <w:bookmarkEnd w:id="523"/>
      <w:bookmarkStart w:id="524" w:name="_Toc178705910"/>
      <w:bookmarkEnd w:id="524"/>
      <w:bookmarkStart w:id="525" w:name="_Toc178772610"/>
      <w:bookmarkEnd w:id="525"/>
      <w:bookmarkStart w:id="526" w:name="_Toc178708889"/>
      <w:bookmarkEnd w:id="526"/>
      <w:bookmarkStart w:id="527" w:name="_Toc178705010"/>
      <w:bookmarkEnd w:id="527"/>
      <w:bookmarkStart w:id="528" w:name="_Toc178708890"/>
      <w:bookmarkEnd w:id="528"/>
      <w:bookmarkStart w:id="529" w:name="_Toc178705008"/>
      <w:bookmarkEnd w:id="529"/>
      <w:bookmarkStart w:id="530" w:name="_Toc178705913"/>
      <w:bookmarkEnd w:id="530"/>
      <w:bookmarkStart w:id="531" w:name="_Toc178708891"/>
      <w:bookmarkEnd w:id="531"/>
      <w:bookmarkStart w:id="532" w:name="_Toc178705911"/>
      <w:bookmarkEnd w:id="532"/>
      <w:bookmarkStart w:id="533" w:name="_Toc178772611"/>
      <w:bookmarkEnd w:id="533"/>
      <w:bookmarkStart w:id="534" w:name="_Toc178772608"/>
      <w:bookmarkEnd w:id="534"/>
      <w:bookmarkStart w:id="535" w:name="_Toc178705912"/>
      <w:bookmarkEnd w:id="535"/>
      <w:bookmarkStart w:id="536" w:name="_Toc178705012"/>
      <w:bookmarkEnd w:id="536"/>
      <w:bookmarkStart w:id="537" w:name="_Toc178772614"/>
      <w:bookmarkEnd w:id="537"/>
      <w:bookmarkStart w:id="538" w:name="_Toc178708892"/>
      <w:bookmarkEnd w:id="538"/>
      <w:bookmarkStart w:id="539" w:name="_Toc178705013"/>
      <w:bookmarkEnd w:id="539"/>
      <w:bookmarkStart w:id="540" w:name="_Toc178708885"/>
      <w:bookmarkEnd w:id="540"/>
      <w:bookmarkStart w:id="541" w:name="_Toc178708886"/>
      <w:bookmarkEnd w:id="541"/>
      <w:bookmarkStart w:id="542" w:name="_Toc178705007"/>
      <w:bookmarkEnd w:id="542"/>
      <w:bookmarkStart w:id="543" w:name="_Toc178705009"/>
      <w:bookmarkEnd w:id="543"/>
      <w:bookmarkStart w:id="544" w:name="_Toc178705011"/>
      <w:bookmarkEnd w:id="544"/>
      <w:bookmarkStart w:id="545" w:name="_Toc178772613"/>
      <w:bookmarkEnd w:id="545"/>
      <w:bookmarkStart w:id="546" w:name="_Toc178705915"/>
      <w:bookmarkEnd w:id="546"/>
      <w:bookmarkStart w:id="547" w:name="_Toc178708887"/>
      <w:bookmarkEnd w:id="547"/>
      <w:bookmarkStart w:id="548" w:name="_Toc178772615"/>
      <w:bookmarkEnd w:id="548"/>
      <w:bookmarkStart w:id="549" w:name="_Toc178708895"/>
      <w:bookmarkEnd w:id="549"/>
      <w:bookmarkStart w:id="550" w:name="_Toc178708898"/>
      <w:bookmarkEnd w:id="550"/>
      <w:bookmarkStart w:id="551" w:name="_Toc178708899"/>
      <w:bookmarkEnd w:id="551"/>
      <w:bookmarkStart w:id="552" w:name="_Toc178705015"/>
      <w:bookmarkEnd w:id="552"/>
      <w:bookmarkStart w:id="553" w:name="_Toc178705922"/>
      <w:bookmarkEnd w:id="553"/>
      <w:bookmarkStart w:id="554" w:name="_Toc178772622"/>
      <w:bookmarkEnd w:id="554"/>
      <w:bookmarkStart w:id="555" w:name="_Toc178705921"/>
      <w:bookmarkEnd w:id="555"/>
      <w:bookmarkStart w:id="556" w:name="_Toc178705933"/>
      <w:bookmarkEnd w:id="556"/>
      <w:bookmarkStart w:id="557" w:name="_Toc178708897"/>
      <w:bookmarkEnd w:id="557"/>
      <w:bookmarkStart w:id="558" w:name="_Toc178705916"/>
      <w:bookmarkEnd w:id="558"/>
      <w:bookmarkStart w:id="559" w:name="_Toc178705918"/>
      <w:bookmarkEnd w:id="559"/>
      <w:bookmarkStart w:id="560" w:name="_Toc178772617"/>
      <w:bookmarkEnd w:id="560"/>
      <w:bookmarkStart w:id="561" w:name="_Toc178772620"/>
      <w:bookmarkEnd w:id="561"/>
      <w:bookmarkStart w:id="562" w:name="_Toc178705016"/>
      <w:bookmarkEnd w:id="562"/>
      <w:bookmarkStart w:id="563" w:name="_Toc178705917"/>
      <w:bookmarkEnd w:id="563"/>
      <w:bookmarkStart w:id="564" w:name="_Toc178705919"/>
      <w:bookmarkEnd w:id="564"/>
      <w:bookmarkStart w:id="565" w:name="_Toc178708894"/>
      <w:bookmarkEnd w:id="565"/>
      <w:bookmarkStart w:id="566" w:name="_Toc178705920"/>
      <w:bookmarkEnd w:id="566"/>
      <w:bookmarkStart w:id="567" w:name="_Toc178772621"/>
      <w:bookmarkEnd w:id="567"/>
      <w:bookmarkStart w:id="568" w:name="_Toc178705020"/>
      <w:bookmarkEnd w:id="568"/>
      <w:bookmarkStart w:id="569" w:name="_Toc178772618"/>
      <w:bookmarkEnd w:id="569"/>
      <w:bookmarkStart w:id="570" w:name="_Toc178708896"/>
      <w:bookmarkEnd w:id="570"/>
      <w:bookmarkStart w:id="571" w:name="_Toc178772619"/>
      <w:bookmarkEnd w:id="571"/>
      <w:bookmarkStart w:id="572" w:name="_Toc178705014"/>
      <w:bookmarkEnd w:id="572"/>
      <w:bookmarkStart w:id="573" w:name="_Toc178705017"/>
      <w:bookmarkEnd w:id="573"/>
      <w:bookmarkStart w:id="574" w:name="_Toc178708893"/>
      <w:bookmarkEnd w:id="574"/>
      <w:bookmarkStart w:id="575" w:name="_Toc178705018"/>
      <w:bookmarkEnd w:id="575"/>
      <w:bookmarkStart w:id="576" w:name="_Toc178705019"/>
      <w:bookmarkEnd w:id="576"/>
      <w:bookmarkStart w:id="577" w:name="_Toc178708900"/>
      <w:bookmarkEnd w:id="577"/>
      <w:bookmarkStart w:id="578" w:name="_Toc178705031"/>
      <w:bookmarkEnd w:id="578"/>
      <w:bookmarkStart w:id="579" w:name="_Toc178772616"/>
      <w:bookmarkEnd w:id="579"/>
      <w:bookmarkStart w:id="580" w:name="_Toc178772637"/>
      <w:bookmarkEnd w:id="580"/>
      <w:bookmarkStart w:id="581" w:name="_Toc178708918"/>
      <w:bookmarkEnd w:id="581"/>
      <w:bookmarkStart w:id="582" w:name="_Toc178705035"/>
      <w:bookmarkEnd w:id="582"/>
      <w:bookmarkStart w:id="583" w:name="_Toc178705032"/>
      <w:bookmarkEnd w:id="583"/>
      <w:bookmarkStart w:id="584" w:name="_Toc178705038"/>
      <w:bookmarkEnd w:id="584"/>
      <w:bookmarkStart w:id="585" w:name="_Toc178772640"/>
      <w:bookmarkEnd w:id="585"/>
      <w:bookmarkStart w:id="586" w:name="_Toc178705039"/>
      <w:bookmarkEnd w:id="586"/>
      <w:bookmarkStart w:id="587" w:name="_Toc178705938"/>
      <w:bookmarkEnd w:id="587"/>
      <w:bookmarkStart w:id="588" w:name="_Toc178705941"/>
      <w:bookmarkEnd w:id="588"/>
      <w:bookmarkStart w:id="589" w:name="_Toc178708916"/>
      <w:bookmarkEnd w:id="589"/>
      <w:bookmarkStart w:id="590" w:name="_Toc178772635"/>
      <w:bookmarkEnd w:id="590"/>
      <w:bookmarkStart w:id="591" w:name="_Toc178772634"/>
      <w:bookmarkEnd w:id="591"/>
      <w:bookmarkStart w:id="592" w:name="_Toc178705937"/>
      <w:bookmarkEnd w:id="592"/>
      <w:bookmarkStart w:id="593" w:name="_Toc178705036"/>
      <w:bookmarkEnd w:id="593"/>
      <w:bookmarkStart w:id="594" w:name="_Toc178772636"/>
      <w:bookmarkEnd w:id="594"/>
      <w:bookmarkStart w:id="595" w:name="_Toc178705936"/>
      <w:bookmarkEnd w:id="595"/>
      <w:bookmarkStart w:id="596" w:name="_Toc178705033"/>
      <w:bookmarkEnd w:id="596"/>
      <w:bookmarkStart w:id="597" w:name="_Toc178708915"/>
      <w:bookmarkEnd w:id="597"/>
      <w:bookmarkStart w:id="598" w:name="_Toc178772638"/>
      <w:bookmarkEnd w:id="598"/>
      <w:bookmarkStart w:id="599" w:name="_Toc178705037"/>
      <w:bookmarkEnd w:id="599"/>
      <w:bookmarkStart w:id="600" w:name="_Toc178708911"/>
      <w:bookmarkEnd w:id="600"/>
      <w:bookmarkStart w:id="601" w:name="_Toc178705934"/>
      <w:bookmarkEnd w:id="601"/>
      <w:bookmarkStart w:id="602" w:name="_Toc178705939"/>
      <w:bookmarkEnd w:id="602"/>
      <w:bookmarkStart w:id="603" w:name="_Toc178708912"/>
      <w:bookmarkEnd w:id="603"/>
      <w:bookmarkStart w:id="604" w:name="_Toc178708917"/>
      <w:bookmarkEnd w:id="604"/>
      <w:bookmarkStart w:id="605" w:name="_Toc178705935"/>
      <w:bookmarkEnd w:id="605"/>
      <w:bookmarkStart w:id="606" w:name="_Toc178708914"/>
      <w:bookmarkEnd w:id="606"/>
      <w:bookmarkStart w:id="607" w:name="_Toc178772633"/>
      <w:bookmarkEnd w:id="607"/>
      <w:bookmarkStart w:id="608" w:name="_Toc178705034"/>
      <w:bookmarkEnd w:id="608"/>
      <w:bookmarkStart w:id="609" w:name="_Toc178772639"/>
      <w:bookmarkEnd w:id="609"/>
      <w:bookmarkStart w:id="610" w:name="_Toc178705940"/>
      <w:bookmarkEnd w:id="610"/>
      <w:bookmarkStart w:id="611" w:name="_Toc178708913"/>
      <w:bookmarkEnd w:id="611"/>
      <w:bookmarkStart w:id="612" w:name="_Toc178705945"/>
      <w:bookmarkEnd w:id="612"/>
      <w:bookmarkStart w:id="613" w:name="_Toc178705946"/>
      <w:bookmarkEnd w:id="613"/>
      <w:bookmarkStart w:id="614" w:name="_Toc178708924"/>
      <w:bookmarkEnd w:id="614"/>
      <w:bookmarkStart w:id="615" w:name="_Toc178708920"/>
      <w:bookmarkEnd w:id="615"/>
      <w:bookmarkStart w:id="616" w:name="_Toc178708921"/>
      <w:bookmarkEnd w:id="616"/>
      <w:bookmarkStart w:id="617" w:name="_Toc178708925"/>
      <w:bookmarkEnd w:id="617"/>
      <w:bookmarkStart w:id="618" w:name="_Toc178705040"/>
      <w:bookmarkEnd w:id="618"/>
      <w:bookmarkStart w:id="619" w:name="_Toc178705046"/>
      <w:bookmarkEnd w:id="619"/>
      <w:bookmarkStart w:id="620" w:name="_Toc178705041"/>
      <w:bookmarkEnd w:id="620"/>
      <w:bookmarkStart w:id="621" w:name="_Toc178708923"/>
      <w:bookmarkEnd w:id="621"/>
      <w:bookmarkStart w:id="622" w:name="_Toc178708926"/>
      <w:bookmarkEnd w:id="622"/>
      <w:bookmarkStart w:id="623" w:name="_Toc178705044"/>
      <w:bookmarkEnd w:id="623"/>
      <w:bookmarkStart w:id="624" w:name="_Toc178705045"/>
      <w:bookmarkEnd w:id="624"/>
      <w:bookmarkStart w:id="625" w:name="_Toc178705947"/>
      <w:bookmarkEnd w:id="625"/>
      <w:bookmarkStart w:id="626" w:name="_Toc178705043"/>
      <w:bookmarkEnd w:id="626"/>
      <w:bookmarkStart w:id="627" w:name="_Toc178772648"/>
      <w:bookmarkEnd w:id="627"/>
      <w:bookmarkStart w:id="628" w:name="_Toc178772641"/>
      <w:bookmarkEnd w:id="628"/>
      <w:bookmarkStart w:id="629" w:name="_Toc178705047"/>
      <w:bookmarkEnd w:id="629"/>
      <w:bookmarkStart w:id="630" w:name="_Toc178705949"/>
      <w:bookmarkEnd w:id="630"/>
      <w:bookmarkStart w:id="631" w:name="_Toc178772645"/>
      <w:bookmarkEnd w:id="631"/>
      <w:bookmarkStart w:id="632" w:name="_Toc178772643"/>
      <w:bookmarkEnd w:id="632"/>
      <w:bookmarkStart w:id="633" w:name="_Toc178705942"/>
      <w:bookmarkEnd w:id="633"/>
      <w:bookmarkStart w:id="634" w:name="_Toc178705943"/>
      <w:bookmarkEnd w:id="634"/>
      <w:bookmarkStart w:id="635" w:name="_Toc178708922"/>
      <w:bookmarkEnd w:id="635"/>
      <w:bookmarkStart w:id="636" w:name="_Toc178772644"/>
      <w:bookmarkEnd w:id="636"/>
      <w:bookmarkStart w:id="637" w:name="_Toc178705042"/>
      <w:bookmarkEnd w:id="637"/>
      <w:bookmarkStart w:id="638" w:name="_Toc178772647"/>
      <w:bookmarkEnd w:id="638"/>
      <w:bookmarkStart w:id="639" w:name="_Toc178705948"/>
      <w:bookmarkEnd w:id="639"/>
      <w:bookmarkStart w:id="640" w:name="_Toc178772646"/>
      <w:bookmarkEnd w:id="640"/>
      <w:bookmarkStart w:id="641" w:name="_Toc178705944"/>
      <w:bookmarkEnd w:id="641"/>
      <w:bookmarkStart w:id="642" w:name="_Toc178708919"/>
      <w:bookmarkEnd w:id="642"/>
      <w:bookmarkStart w:id="643" w:name="_Toc178772642"/>
      <w:bookmarkEnd w:id="643"/>
      <w:bookmarkStart w:id="644" w:name="_Toc178705951"/>
      <w:bookmarkEnd w:id="644"/>
      <w:bookmarkStart w:id="645" w:name="_Toc178705954"/>
      <w:bookmarkEnd w:id="645"/>
      <w:bookmarkStart w:id="646" w:name="_Toc178705053"/>
      <w:bookmarkEnd w:id="646"/>
      <w:bookmarkStart w:id="647" w:name="_Toc178772650"/>
      <w:bookmarkEnd w:id="647"/>
      <w:bookmarkStart w:id="648" w:name="_Toc178708927"/>
      <w:bookmarkEnd w:id="648"/>
      <w:bookmarkStart w:id="649" w:name="_Toc178772649"/>
      <w:bookmarkEnd w:id="649"/>
      <w:bookmarkStart w:id="650" w:name="_Toc178772651"/>
      <w:bookmarkEnd w:id="650"/>
      <w:bookmarkStart w:id="651" w:name="_Toc178705050"/>
      <w:bookmarkEnd w:id="651"/>
      <w:bookmarkStart w:id="652" w:name="_Toc178705952"/>
      <w:bookmarkEnd w:id="652"/>
      <w:bookmarkStart w:id="653" w:name="_Toc178705051"/>
      <w:bookmarkEnd w:id="653"/>
      <w:bookmarkStart w:id="654" w:name="_Toc178708929"/>
      <w:bookmarkEnd w:id="654"/>
      <w:bookmarkStart w:id="655" w:name="_Toc178708931"/>
      <w:bookmarkEnd w:id="655"/>
      <w:bookmarkStart w:id="656" w:name="_Toc178772652"/>
      <w:bookmarkEnd w:id="656"/>
      <w:bookmarkStart w:id="657" w:name="_Toc178705950"/>
      <w:bookmarkEnd w:id="657"/>
      <w:bookmarkStart w:id="658" w:name="_Toc178705953"/>
      <w:bookmarkEnd w:id="658"/>
      <w:bookmarkStart w:id="659" w:name="_Toc178772653"/>
      <w:bookmarkEnd w:id="659"/>
      <w:bookmarkStart w:id="660" w:name="_Toc178705052"/>
      <w:bookmarkEnd w:id="660"/>
      <w:bookmarkStart w:id="661" w:name="_Toc178705048"/>
      <w:bookmarkEnd w:id="661"/>
      <w:bookmarkStart w:id="662" w:name="_Toc178772654"/>
      <w:bookmarkEnd w:id="662"/>
      <w:bookmarkStart w:id="663" w:name="_Toc178708928"/>
      <w:bookmarkEnd w:id="663"/>
      <w:bookmarkStart w:id="664" w:name="_Toc178708930"/>
      <w:bookmarkEnd w:id="664"/>
      <w:bookmarkStart w:id="665" w:name="_Toc178708932"/>
      <w:bookmarkEnd w:id="665"/>
      <w:bookmarkStart w:id="666" w:name="_Toc178705049"/>
      <w:bookmarkEnd w:id="666"/>
      <w:bookmarkStart w:id="667" w:name="_Toc178705062"/>
      <w:bookmarkEnd w:id="667"/>
      <w:bookmarkStart w:id="668" w:name="_Toc178705964"/>
      <w:bookmarkEnd w:id="668"/>
      <w:bookmarkStart w:id="669" w:name="_Toc178705968"/>
      <w:bookmarkEnd w:id="669"/>
      <w:bookmarkStart w:id="670" w:name="_Toc178772667"/>
      <w:bookmarkEnd w:id="670"/>
      <w:bookmarkStart w:id="671" w:name="_Toc178708941"/>
      <w:bookmarkEnd w:id="671"/>
      <w:bookmarkStart w:id="672" w:name="_Toc178705965"/>
      <w:bookmarkEnd w:id="672"/>
      <w:bookmarkStart w:id="673" w:name="_Toc178772665"/>
      <w:bookmarkEnd w:id="673"/>
      <w:bookmarkStart w:id="674" w:name="_Toc178772669"/>
      <w:bookmarkEnd w:id="674"/>
      <w:bookmarkStart w:id="675" w:name="_Toc178772664"/>
      <w:bookmarkEnd w:id="675"/>
      <w:bookmarkStart w:id="676" w:name="_Toc178708942"/>
      <w:bookmarkEnd w:id="676"/>
      <w:bookmarkStart w:id="677" w:name="_Toc178705963"/>
      <w:bookmarkEnd w:id="677"/>
      <w:bookmarkStart w:id="678" w:name="_Toc178708946"/>
      <w:bookmarkEnd w:id="678"/>
      <w:bookmarkStart w:id="679" w:name="_Toc178705068"/>
      <w:bookmarkEnd w:id="679"/>
      <w:bookmarkStart w:id="680" w:name="_Toc178705970"/>
      <w:bookmarkEnd w:id="680"/>
      <w:bookmarkStart w:id="681" w:name="_Toc178705967"/>
      <w:bookmarkEnd w:id="681"/>
      <w:bookmarkStart w:id="682" w:name="_Toc178708948"/>
      <w:bookmarkEnd w:id="682"/>
      <w:bookmarkStart w:id="683" w:name="_Toc178708947"/>
      <w:bookmarkEnd w:id="683"/>
      <w:bookmarkStart w:id="684" w:name="_Toc178772670"/>
      <w:bookmarkEnd w:id="684"/>
      <w:bookmarkStart w:id="685" w:name="_Toc178705069"/>
      <w:bookmarkEnd w:id="685"/>
      <w:bookmarkStart w:id="686" w:name="_Toc178708945"/>
      <w:bookmarkEnd w:id="686"/>
      <w:bookmarkStart w:id="687" w:name="_Toc178705065"/>
      <w:bookmarkEnd w:id="687"/>
      <w:bookmarkStart w:id="688" w:name="_Toc178705064"/>
      <w:bookmarkEnd w:id="688"/>
      <w:bookmarkStart w:id="689" w:name="_Toc178705066"/>
      <w:bookmarkEnd w:id="689"/>
      <w:bookmarkStart w:id="690" w:name="_Toc178708943"/>
      <w:bookmarkEnd w:id="690"/>
      <w:bookmarkStart w:id="691" w:name="_Toc178708944"/>
      <w:bookmarkEnd w:id="691"/>
      <w:bookmarkStart w:id="692" w:name="_Toc178772666"/>
      <w:bookmarkEnd w:id="692"/>
      <w:bookmarkStart w:id="693" w:name="_Toc178772663"/>
      <w:bookmarkEnd w:id="693"/>
      <w:bookmarkStart w:id="694" w:name="_Toc178772668"/>
      <w:bookmarkEnd w:id="694"/>
      <w:bookmarkStart w:id="695" w:name="_Toc178705966"/>
      <w:bookmarkEnd w:id="695"/>
      <w:bookmarkStart w:id="696" w:name="_Toc178705067"/>
      <w:bookmarkEnd w:id="696"/>
      <w:bookmarkStart w:id="697" w:name="_Toc178705063"/>
      <w:bookmarkEnd w:id="697"/>
      <w:bookmarkStart w:id="698" w:name="_Toc178705969"/>
      <w:bookmarkEnd w:id="698"/>
      <w:bookmarkStart w:id="699" w:name="_Toc178705974"/>
      <w:bookmarkEnd w:id="699"/>
      <w:bookmarkStart w:id="700" w:name="_Toc178772675"/>
      <w:bookmarkEnd w:id="700"/>
      <w:bookmarkStart w:id="701" w:name="_Toc178705073"/>
      <w:bookmarkEnd w:id="701"/>
      <w:bookmarkStart w:id="702" w:name="_Toc178708955"/>
      <w:bookmarkEnd w:id="702"/>
      <w:bookmarkStart w:id="703" w:name="_Toc178705971"/>
      <w:bookmarkEnd w:id="703"/>
      <w:bookmarkStart w:id="704" w:name="_Toc178705977"/>
      <w:bookmarkEnd w:id="704"/>
      <w:bookmarkStart w:id="705" w:name="_Toc178772677"/>
      <w:bookmarkEnd w:id="705"/>
      <w:bookmarkStart w:id="706" w:name="_Toc178705976"/>
      <w:bookmarkEnd w:id="706"/>
      <w:bookmarkStart w:id="707" w:name="_Toc178705973"/>
      <w:bookmarkEnd w:id="707"/>
      <w:bookmarkStart w:id="708" w:name="_Toc178708954"/>
      <w:bookmarkEnd w:id="708"/>
      <w:bookmarkStart w:id="709" w:name="_Toc178705975"/>
      <w:bookmarkEnd w:id="709"/>
      <w:bookmarkStart w:id="710" w:name="_Toc178772673"/>
      <w:bookmarkEnd w:id="710"/>
      <w:bookmarkStart w:id="711" w:name="_Toc178705074"/>
      <w:bookmarkEnd w:id="711"/>
      <w:bookmarkStart w:id="712" w:name="_Toc178705076"/>
      <w:bookmarkEnd w:id="712"/>
      <w:bookmarkStart w:id="713" w:name="_Toc178772672"/>
      <w:bookmarkEnd w:id="713"/>
      <w:bookmarkStart w:id="714" w:name="_Toc178772674"/>
      <w:bookmarkEnd w:id="714"/>
      <w:bookmarkStart w:id="715" w:name="_Toc178708953"/>
      <w:bookmarkEnd w:id="715"/>
      <w:bookmarkStart w:id="716" w:name="_Toc178772676"/>
      <w:bookmarkEnd w:id="716"/>
      <w:bookmarkStart w:id="717" w:name="_Toc178705978"/>
      <w:bookmarkEnd w:id="717"/>
      <w:bookmarkStart w:id="718" w:name="_Toc178708951"/>
      <w:bookmarkEnd w:id="718"/>
      <w:bookmarkStart w:id="719" w:name="_Toc178708949"/>
      <w:bookmarkEnd w:id="719"/>
      <w:bookmarkStart w:id="720" w:name="_Toc178705972"/>
      <w:bookmarkEnd w:id="720"/>
      <w:bookmarkStart w:id="721" w:name="_Toc178708950"/>
      <w:bookmarkEnd w:id="721"/>
      <w:bookmarkStart w:id="722" w:name="_Toc178705075"/>
      <w:bookmarkEnd w:id="722"/>
      <w:bookmarkStart w:id="723" w:name="_Toc178708956"/>
      <w:bookmarkEnd w:id="723"/>
      <w:bookmarkStart w:id="724" w:name="_Toc178772671"/>
      <w:bookmarkEnd w:id="724"/>
      <w:bookmarkStart w:id="725" w:name="_Toc178708952"/>
      <w:bookmarkEnd w:id="725"/>
      <w:bookmarkStart w:id="726" w:name="_Toc178772678"/>
      <w:bookmarkEnd w:id="726"/>
      <w:bookmarkStart w:id="727" w:name="_Toc174135438"/>
      <w:bookmarkEnd w:id="727"/>
      <w:bookmarkStart w:id="728" w:name="_Toc178705070"/>
      <w:bookmarkEnd w:id="728"/>
      <w:bookmarkStart w:id="729" w:name="_Toc178705071"/>
      <w:bookmarkEnd w:id="729"/>
      <w:bookmarkStart w:id="730" w:name="_Toc178705072"/>
      <w:bookmarkEnd w:id="730"/>
      <w:bookmarkStart w:id="731" w:name="_Toc178708976"/>
      <w:bookmarkEnd w:id="731"/>
      <w:bookmarkStart w:id="732" w:name="_Toc178772696"/>
      <w:bookmarkEnd w:id="732"/>
      <w:bookmarkStart w:id="733" w:name="_Toc178708977"/>
      <w:bookmarkEnd w:id="733"/>
      <w:bookmarkStart w:id="734" w:name="_Toc178772698"/>
      <w:bookmarkEnd w:id="734"/>
      <w:bookmarkStart w:id="735" w:name="_Toc178772699"/>
      <w:bookmarkEnd w:id="735"/>
      <w:bookmarkStart w:id="736" w:name="_Toc178772695"/>
      <w:bookmarkEnd w:id="736"/>
      <w:bookmarkStart w:id="737" w:name="_Toc178705094"/>
      <w:bookmarkEnd w:id="737"/>
      <w:bookmarkStart w:id="738" w:name="_Toc178705995"/>
      <w:bookmarkEnd w:id="738"/>
      <w:bookmarkStart w:id="739" w:name="_Toc178705079"/>
      <w:bookmarkEnd w:id="739"/>
      <w:bookmarkStart w:id="740" w:name="_Toc178705093"/>
      <w:bookmarkEnd w:id="740"/>
      <w:bookmarkStart w:id="741" w:name="_Toc178708973"/>
      <w:bookmarkEnd w:id="741"/>
      <w:bookmarkStart w:id="742" w:name="_Toc178705996"/>
      <w:bookmarkEnd w:id="742"/>
      <w:bookmarkStart w:id="743" w:name="_Toc178708959"/>
      <w:bookmarkEnd w:id="743"/>
      <w:bookmarkStart w:id="744" w:name="_Toc178708957"/>
      <w:bookmarkEnd w:id="744"/>
      <w:bookmarkStart w:id="745" w:name="_Toc178705980"/>
      <w:bookmarkEnd w:id="745"/>
      <w:bookmarkStart w:id="746" w:name="_Toc178705997"/>
      <w:bookmarkEnd w:id="746"/>
      <w:bookmarkStart w:id="747" w:name="_Toc178708975"/>
      <w:bookmarkEnd w:id="747"/>
      <w:bookmarkStart w:id="748" w:name="_Toc178705998"/>
      <w:bookmarkEnd w:id="748"/>
      <w:bookmarkStart w:id="749" w:name="_Toc178705097"/>
      <w:bookmarkEnd w:id="749"/>
      <w:bookmarkStart w:id="750" w:name="_Toc178705979"/>
      <w:bookmarkEnd w:id="750"/>
      <w:bookmarkStart w:id="751" w:name="_Toc178705078"/>
      <w:bookmarkEnd w:id="751"/>
      <w:bookmarkStart w:id="752" w:name="_Toc178708974"/>
      <w:bookmarkEnd w:id="752"/>
      <w:bookmarkStart w:id="753" w:name="_Toc178705095"/>
      <w:bookmarkEnd w:id="753"/>
      <w:bookmarkStart w:id="754" w:name="_Toc178705096"/>
      <w:bookmarkEnd w:id="754"/>
      <w:bookmarkStart w:id="755" w:name="_Toc178705999"/>
      <w:bookmarkEnd w:id="755"/>
      <w:bookmarkStart w:id="756" w:name="_Toc178708958"/>
      <w:bookmarkEnd w:id="756"/>
      <w:bookmarkStart w:id="757" w:name="_Toc178705077"/>
      <w:bookmarkEnd w:id="757"/>
      <w:bookmarkStart w:id="758" w:name="_Toc178772680"/>
      <w:bookmarkEnd w:id="758"/>
      <w:bookmarkStart w:id="759" w:name="_Toc178772679"/>
      <w:bookmarkEnd w:id="759"/>
      <w:bookmarkStart w:id="760" w:name="_Toc178772697"/>
      <w:bookmarkEnd w:id="760"/>
      <w:bookmarkStart w:id="761" w:name="_Toc178772681"/>
      <w:bookmarkEnd w:id="761"/>
      <w:bookmarkStart w:id="762" w:name="_Toc178705981"/>
      <w:bookmarkEnd w:id="762"/>
      <w:bookmarkStart w:id="763" w:name="_Toc178708982"/>
      <w:bookmarkEnd w:id="763"/>
      <w:bookmarkStart w:id="764" w:name="_Toc178705103"/>
      <w:bookmarkEnd w:id="764"/>
      <w:bookmarkStart w:id="765" w:name="_Toc178708979"/>
      <w:bookmarkEnd w:id="765"/>
      <w:bookmarkStart w:id="766" w:name="_Toc178705100"/>
      <w:bookmarkEnd w:id="766"/>
      <w:bookmarkStart w:id="767" w:name="_Toc178772700"/>
      <w:bookmarkEnd w:id="767"/>
      <w:bookmarkStart w:id="768" w:name="_Toc178772705"/>
      <w:bookmarkEnd w:id="768"/>
      <w:bookmarkStart w:id="769" w:name="_Toc178705098"/>
      <w:bookmarkEnd w:id="769"/>
      <w:bookmarkStart w:id="770" w:name="_Toc178772701"/>
      <w:bookmarkEnd w:id="770"/>
      <w:bookmarkStart w:id="771" w:name="_Toc178705101"/>
      <w:bookmarkEnd w:id="771"/>
      <w:bookmarkStart w:id="772" w:name="_Toc178772703"/>
      <w:bookmarkEnd w:id="772"/>
      <w:bookmarkStart w:id="773" w:name="_Toc178705104"/>
      <w:bookmarkEnd w:id="773"/>
      <w:bookmarkStart w:id="774" w:name="_Toc178706000"/>
      <w:bookmarkEnd w:id="774"/>
      <w:bookmarkStart w:id="775" w:name="_Toc178706002"/>
      <w:bookmarkEnd w:id="775"/>
      <w:bookmarkStart w:id="776" w:name="_Toc178706003"/>
      <w:bookmarkEnd w:id="776"/>
      <w:bookmarkStart w:id="777" w:name="_Toc178705102"/>
      <w:bookmarkEnd w:id="777"/>
      <w:bookmarkStart w:id="778" w:name="_Toc178706006"/>
      <w:bookmarkEnd w:id="778"/>
      <w:bookmarkStart w:id="779" w:name="_Toc178708981"/>
      <w:bookmarkEnd w:id="779"/>
      <w:bookmarkStart w:id="780" w:name="_Toc178706005"/>
      <w:bookmarkEnd w:id="780"/>
      <w:bookmarkStart w:id="781" w:name="_Toc178705099"/>
      <w:bookmarkEnd w:id="781"/>
      <w:bookmarkStart w:id="782" w:name="_Toc178708980"/>
      <w:bookmarkEnd w:id="782"/>
      <w:bookmarkStart w:id="783" w:name="_Toc178708984"/>
      <w:bookmarkEnd w:id="783"/>
      <w:bookmarkStart w:id="784" w:name="_Toc178772706"/>
      <w:bookmarkEnd w:id="784"/>
      <w:bookmarkStart w:id="785" w:name="_Toc178706007"/>
      <w:bookmarkEnd w:id="785"/>
      <w:bookmarkStart w:id="786" w:name="_Toc178772707"/>
      <w:bookmarkEnd w:id="786"/>
      <w:bookmarkStart w:id="787" w:name="_Toc178708978"/>
      <w:bookmarkEnd w:id="787"/>
      <w:bookmarkStart w:id="788" w:name="_Toc178772704"/>
      <w:bookmarkEnd w:id="788"/>
      <w:bookmarkStart w:id="789" w:name="_Toc178708983"/>
      <w:bookmarkEnd w:id="789"/>
      <w:bookmarkStart w:id="790" w:name="_Toc178705105"/>
      <w:bookmarkEnd w:id="790"/>
      <w:bookmarkStart w:id="791" w:name="_Toc178708985"/>
      <w:bookmarkEnd w:id="791"/>
      <w:bookmarkStart w:id="792" w:name="_Toc178706001"/>
      <w:bookmarkEnd w:id="792"/>
      <w:bookmarkStart w:id="793" w:name="_Toc178772702"/>
      <w:bookmarkEnd w:id="793"/>
      <w:bookmarkStart w:id="794" w:name="_Toc178706004"/>
      <w:bookmarkEnd w:id="794"/>
      <w:bookmarkStart w:id="795" w:name="_Toc178772715"/>
      <w:bookmarkEnd w:id="795"/>
      <w:bookmarkStart w:id="796" w:name="_Toc178705107"/>
      <w:bookmarkEnd w:id="796"/>
      <w:bookmarkStart w:id="797" w:name="_Toc178705110"/>
      <w:bookmarkEnd w:id="797"/>
      <w:bookmarkStart w:id="798" w:name="_Toc178705111"/>
      <w:bookmarkEnd w:id="798"/>
      <w:bookmarkStart w:id="799" w:name="_Toc178708986"/>
      <w:bookmarkEnd w:id="799"/>
      <w:bookmarkStart w:id="800" w:name="_Toc178772713"/>
      <w:bookmarkEnd w:id="800"/>
      <w:bookmarkStart w:id="801" w:name="_Toc178706014"/>
      <w:bookmarkEnd w:id="801"/>
      <w:bookmarkStart w:id="802" w:name="_Toc178772712"/>
      <w:bookmarkEnd w:id="802"/>
      <w:bookmarkStart w:id="803" w:name="_Toc178772714"/>
      <w:bookmarkEnd w:id="803"/>
      <w:bookmarkStart w:id="804" w:name="_Toc178705109"/>
      <w:bookmarkEnd w:id="804"/>
      <w:bookmarkStart w:id="805" w:name="_Toc178706013"/>
      <w:bookmarkEnd w:id="805"/>
      <w:bookmarkStart w:id="806" w:name="_Toc178772709"/>
      <w:bookmarkEnd w:id="806"/>
      <w:bookmarkStart w:id="807" w:name="_Toc178706009"/>
      <w:bookmarkEnd w:id="807"/>
      <w:bookmarkStart w:id="808" w:name="_Toc178706012"/>
      <w:bookmarkEnd w:id="808"/>
      <w:bookmarkStart w:id="809" w:name="_Toc178708987"/>
      <w:bookmarkEnd w:id="809"/>
      <w:bookmarkStart w:id="810" w:name="_Toc178772708"/>
      <w:bookmarkEnd w:id="810"/>
      <w:bookmarkStart w:id="811" w:name="_Toc178772710"/>
      <w:bookmarkEnd w:id="811"/>
      <w:bookmarkStart w:id="812" w:name="_Toc178705106"/>
      <w:bookmarkEnd w:id="812"/>
      <w:bookmarkStart w:id="813" w:name="_Toc178772711"/>
      <w:bookmarkEnd w:id="813"/>
      <w:bookmarkStart w:id="814" w:name="_Toc178708991"/>
      <w:bookmarkEnd w:id="814"/>
      <w:bookmarkStart w:id="815" w:name="_Toc178708992"/>
      <w:bookmarkEnd w:id="815"/>
      <w:bookmarkStart w:id="816" w:name="_Toc178706010"/>
      <w:bookmarkEnd w:id="816"/>
      <w:bookmarkStart w:id="817" w:name="_Toc178705108"/>
      <w:bookmarkEnd w:id="817"/>
      <w:bookmarkStart w:id="818" w:name="_Toc178706011"/>
      <w:bookmarkEnd w:id="818"/>
      <w:bookmarkStart w:id="819" w:name="_Toc178708988"/>
      <w:bookmarkEnd w:id="819"/>
      <w:bookmarkStart w:id="820" w:name="_Toc178708989"/>
      <w:bookmarkEnd w:id="820"/>
      <w:bookmarkStart w:id="821" w:name="_Toc178705112"/>
      <w:bookmarkEnd w:id="821"/>
      <w:bookmarkStart w:id="822" w:name="_Toc178708990"/>
      <w:bookmarkEnd w:id="822"/>
      <w:bookmarkStart w:id="823" w:name="_Toc178705113"/>
      <w:bookmarkEnd w:id="823"/>
      <w:bookmarkStart w:id="824" w:name="_Toc178706015"/>
      <w:bookmarkEnd w:id="824"/>
      <w:bookmarkStart w:id="825" w:name="_Toc178708993"/>
      <w:bookmarkEnd w:id="825"/>
      <w:bookmarkStart w:id="826" w:name="_Toc178706008"/>
      <w:bookmarkEnd w:id="826"/>
      <w:bookmarkStart w:id="827" w:name="_Toc178706020"/>
      <w:bookmarkEnd w:id="827"/>
      <w:bookmarkStart w:id="828" w:name="_Toc178706045"/>
      <w:bookmarkEnd w:id="828"/>
      <w:bookmarkStart w:id="829" w:name="_Toc178709023"/>
      <w:bookmarkEnd w:id="829"/>
      <w:bookmarkStart w:id="830" w:name="_Toc178708995"/>
      <w:bookmarkEnd w:id="830"/>
      <w:bookmarkStart w:id="831" w:name="_Toc178708996"/>
      <w:bookmarkEnd w:id="831"/>
      <w:bookmarkStart w:id="832" w:name="_Toc178709024"/>
      <w:bookmarkEnd w:id="832"/>
      <w:bookmarkStart w:id="833" w:name="_Toc178705115"/>
      <w:bookmarkEnd w:id="833"/>
      <w:bookmarkStart w:id="834" w:name="_Toc178772746"/>
      <w:bookmarkEnd w:id="834"/>
      <w:bookmarkStart w:id="835" w:name="_Toc178705116"/>
      <w:bookmarkEnd w:id="835"/>
      <w:bookmarkStart w:id="836" w:name="_Toc178708998"/>
      <w:bookmarkEnd w:id="836"/>
      <w:bookmarkStart w:id="837" w:name="_Toc178705145"/>
      <w:bookmarkEnd w:id="837"/>
      <w:bookmarkStart w:id="838" w:name="_Toc178705143"/>
      <w:bookmarkEnd w:id="838"/>
      <w:bookmarkStart w:id="839" w:name="_Toc178705144"/>
      <w:bookmarkEnd w:id="839"/>
      <w:bookmarkStart w:id="840" w:name="_Toc178706046"/>
      <w:bookmarkEnd w:id="840"/>
      <w:bookmarkStart w:id="841" w:name="_Toc178705118"/>
      <w:bookmarkEnd w:id="841"/>
      <w:bookmarkStart w:id="842" w:name="_Toc178706047"/>
      <w:bookmarkEnd w:id="842"/>
      <w:bookmarkStart w:id="843" w:name="_Toc178772716"/>
      <w:bookmarkEnd w:id="843"/>
      <w:bookmarkStart w:id="844" w:name="_Toc178709025"/>
      <w:bookmarkEnd w:id="844"/>
      <w:bookmarkStart w:id="845" w:name="_Toc178772747"/>
      <w:bookmarkEnd w:id="845"/>
      <w:bookmarkStart w:id="846" w:name="_Toc178772720"/>
      <w:bookmarkEnd w:id="846"/>
      <w:bookmarkStart w:id="847" w:name="_Toc178772718"/>
      <w:bookmarkEnd w:id="847"/>
      <w:bookmarkStart w:id="848" w:name="_Toc178706017"/>
      <w:bookmarkEnd w:id="848"/>
      <w:bookmarkStart w:id="849" w:name="_Toc178706018"/>
      <w:bookmarkEnd w:id="849"/>
      <w:bookmarkStart w:id="850" w:name="_Toc178705114"/>
      <w:bookmarkEnd w:id="850"/>
      <w:bookmarkStart w:id="851" w:name="_Toc178706016"/>
      <w:bookmarkEnd w:id="851"/>
      <w:bookmarkStart w:id="852" w:name="_Toc178705117"/>
      <w:bookmarkEnd w:id="852"/>
      <w:bookmarkStart w:id="853" w:name="_Toc178708997"/>
      <w:bookmarkEnd w:id="853"/>
      <w:bookmarkStart w:id="854" w:name="_Toc178772719"/>
      <w:bookmarkEnd w:id="854"/>
      <w:bookmarkStart w:id="855" w:name="_Toc178772745"/>
      <w:bookmarkEnd w:id="855"/>
      <w:bookmarkStart w:id="856" w:name="_Toc178706019"/>
      <w:bookmarkEnd w:id="856"/>
      <w:bookmarkStart w:id="857" w:name="_Toc178708994"/>
      <w:bookmarkEnd w:id="857"/>
      <w:bookmarkStart w:id="858" w:name="_Toc178772717"/>
      <w:bookmarkEnd w:id="858"/>
      <w:bookmarkStart w:id="859" w:name="_Toc178706052"/>
      <w:bookmarkEnd w:id="859"/>
      <w:bookmarkStart w:id="860" w:name="_Toc178706050"/>
      <w:bookmarkEnd w:id="860"/>
      <w:bookmarkStart w:id="861" w:name="_Toc189042425"/>
      <w:bookmarkEnd w:id="861"/>
      <w:bookmarkStart w:id="862" w:name="_Toc178705149"/>
      <w:bookmarkEnd w:id="862"/>
      <w:bookmarkStart w:id="863" w:name="_Toc178772750"/>
      <w:bookmarkEnd w:id="863"/>
      <w:bookmarkStart w:id="864" w:name="_Toc178709026"/>
      <w:bookmarkEnd w:id="864"/>
      <w:bookmarkStart w:id="865" w:name="_Toc178772748"/>
      <w:bookmarkEnd w:id="865"/>
      <w:bookmarkStart w:id="866" w:name="_Toc178705146"/>
      <w:bookmarkEnd w:id="866"/>
      <w:bookmarkStart w:id="867" w:name="_Toc178772749"/>
      <w:bookmarkEnd w:id="867"/>
      <w:bookmarkStart w:id="868" w:name="_Toc178706051"/>
      <w:bookmarkEnd w:id="868"/>
      <w:bookmarkStart w:id="869" w:name="_Toc173851133"/>
      <w:bookmarkEnd w:id="869"/>
      <w:bookmarkStart w:id="870" w:name="_Toc173851134"/>
      <w:bookmarkEnd w:id="870"/>
      <w:bookmarkStart w:id="871" w:name="_Toc178705150"/>
      <w:bookmarkEnd w:id="871"/>
      <w:bookmarkStart w:id="872" w:name="_Toc178709028"/>
      <w:bookmarkEnd w:id="872"/>
      <w:bookmarkStart w:id="873" w:name="_Toc178772752"/>
      <w:bookmarkEnd w:id="873"/>
      <w:bookmarkStart w:id="874" w:name="_Toc187677553"/>
      <w:bookmarkEnd w:id="874"/>
      <w:bookmarkStart w:id="875" w:name="_Toc178772751"/>
      <w:bookmarkEnd w:id="875"/>
      <w:bookmarkStart w:id="876" w:name="_Toc173940885"/>
      <w:bookmarkEnd w:id="876"/>
      <w:bookmarkStart w:id="877" w:name="_Toc178706049"/>
      <w:bookmarkEnd w:id="877"/>
      <w:bookmarkStart w:id="878" w:name="_Toc173940886"/>
      <w:bookmarkEnd w:id="878"/>
      <w:bookmarkStart w:id="879" w:name="_Toc178706048"/>
      <w:bookmarkEnd w:id="879"/>
      <w:bookmarkStart w:id="880" w:name="_Toc187677554"/>
      <w:bookmarkEnd w:id="880"/>
      <w:bookmarkStart w:id="881" w:name="_Toc187677555"/>
      <w:bookmarkEnd w:id="881"/>
      <w:bookmarkStart w:id="882" w:name="_Toc189042426"/>
      <w:bookmarkEnd w:id="882"/>
      <w:bookmarkStart w:id="883" w:name="_Toc178705147"/>
      <w:bookmarkEnd w:id="883"/>
      <w:bookmarkStart w:id="884" w:name="_Toc178709029"/>
      <w:bookmarkEnd w:id="884"/>
      <w:bookmarkStart w:id="885" w:name="_Toc178709027"/>
      <w:bookmarkEnd w:id="885"/>
      <w:bookmarkStart w:id="886" w:name="_Toc178709030"/>
      <w:bookmarkEnd w:id="886"/>
      <w:bookmarkStart w:id="887" w:name="_Toc189042424"/>
      <w:bookmarkEnd w:id="887"/>
      <w:bookmarkStart w:id="888" w:name="_Toc187677556"/>
      <w:bookmarkEnd w:id="888"/>
      <w:bookmarkStart w:id="889" w:name="_Toc189042427"/>
      <w:bookmarkEnd w:id="889"/>
      <w:bookmarkStart w:id="890" w:name="_Toc178705148"/>
      <w:bookmarkEnd w:id="890"/>
      <w:bookmarkStart w:id="891" w:name="_Toc187677561"/>
      <w:bookmarkEnd w:id="891"/>
      <w:bookmarkStart w:id="892" w:name="_Toc187677564"/>
      <w:bookmarkEnd w:id="892"/>
      <w:bookmarkStart w:id="893" w:name="_Toc189042435"/>
      <w:bookmarkEnd w:id="893"/>
      <w:bookmarkStart w:id="894" w:name="_Toc187677567"/>
      <w:bookmarkEnd w:id="894"/>
      <w:bookmarkStart w:id="895" w:name="_Toc189042430"/>
      <w:bookmarkEnd w:id="895"/>
      <w:bookmarkStart w:id="896" w:name="_Toc187677570"/>
      <w:bookmarkEnd w:id="896"/>
      <w:bookmarkStart w:id="897" w:name="_Toc187677571"/>
      <w:bookmarkEnd w:id="897"/>
      <w:bookmarkStart w:id="898" w:name="_Toc187677557"/>
      <w:bookmarkEnd w:id="898"/>
      <w:bookmarkStart w:id="899" w:name="_Toc187677560"/>
      <w:bookmarkEnd w:id="899"/>
      <w:bookmarkStart w:id="900" w:name="_Toc187677562"/>
      <w:bookmarkEnd w:id="900"/>
      <w:bookmarkStart w:id="901" w:name="_Toc187677566"/>
      <w:bookmarkEnd w:id="901"/>
      <w:bookmarkStart w:id="902" w:name="_Toc187677559"/>
      <w:bookmarkEnd w:id="902"/>
      <w:bookmarkStart w:id="903" w:name="_Toc189042437"/>
      <w:bookmarkEnd w:id="903"/>
      <w:bookmarkStart w:id="904" w:name="_Toc189042442"/>
      <w:bookmarkEnd w:id="904"/>
      <w:bookmarkStart w:id="905" w:name="_Toc189042432"/>
      <w:bookmarkEnd w:id="905"/>
      <w:bookmarkStart w:id="906" w:name="_Toc189042436"/>
      <w:bookmarkEnd w:id="906"/>
      <w:bookmarkStart w:id="907" w:name="_Toc187677565"/>
      <w:bookmarkEnd w:id="907"/>
      <w:bookmarkStart w:id="908" w:name="_Toc187677569"/>
      <w:bookmarkEnd w:id="908"/>
      <w:bookmarkStart w:id="909" w:name="_Toc187677572"/>
      <w:bookmarkEnd w:id="909"/>
      <w:bookmarkStart w:id="910" w:name="_Toc189042440"/>
      <w:bookmarkEnd w:id="910"/>
      <w:bookmarkStart w:id="911" w:name="_Toc189042439"/>
      <w:bookmarkEnd w:id="911"/>
      <w:bookmarkStart w:id="912" w:name="_Toc189042443"/>
      <w:bookmarkEnd w:id="912"/>
      <w:bookmarkStart w:id="913" w:name="_Toc189042441"/>
      <w:bookmarkEnd w:id="913"/>
      <w:bookmarkStart w:id="914" w:name="_Toc189042438"/>
      <w:bookmarkEnd w:id="914"/>
      <w:bookmarkStart w:id="915" w:name="_Toc187677568"/>
      <w:bookmarkEnd w:id="915"/>
      <w:bookmarkStart w:id="916" w:name="_Toc189042428"/>
      <w:bookmarkEnd w:id="916"/>
      <w:bookmarkStart w:id="917" w:name="_Toc189042429"/>
      <w:bookmarkEnd w:id="917"/>
      <w:bookmarkStart w:id="918" w:name="_Toc189042433"/>
      <w:bookmarkEnd w:id="918"/>
      <w:bookmarkStart w:id="919" w:name="_Toc189042434"/>
      <w:bookmarkEnd w:id="919"/>
      <w:bookmarkStart w:id="920" w:name="_Toc189042431"/>
      <w:bookmarkEnd w:id="920"/>
      <w:bookmarkStart w:id="921" w:name="_Toc187677563"/>
      <w:bookmarkEnd w:id="921"/>
      <w:bookmarkStart w:id="922" w:name="_Toc187677558"/>
      <w:bookmarkEnd w:id="922"/>
      <w:bookmarkStart w:id="923" w:name="_Toc189042546"/>
      <w:bookmarkEnd w:id="923"/>
      <w:bookmarkStart w:id="924" w:name="_Toc189042548"/>
      <w:bookmarkEnd w:id="924"/>
      <w:bookmarkStart w:id="925" w:name="_Toc187677678"/>
      <w:bookmarkEnd w:id="925"/>
      <w:bookmarkStart w:id="926" w:name="_Toc187677644"/>
      <w:bookmarkEnd w:id="926"/>
      <w:bookmarkStart w:id="927" w:name="_Toc187677672"/>
      <w:bookmarkEnd w:id="927"/>
      <w:bookmarkStart w:id="928" w:name="_Toc187677680"/>
      <w:bookmarkEnd w:id="928"/>
      <w:bookmarkStart w:id="929" w:name="_Toc187677574"/>
      <w:bookmarkEnd w:id="929"/>
      <w:bookmarkStart w:id="930" w:name="_Toc187677681"/>
      <w:bookmarkEnd w:id="930"/>
      <w:bookmarkStart w:id="931" w:name="_Toc187677645"/>
      <w:bookmarkEnd w:id="931"/>
      <w:bookmarkStart w:id="932" w:name="_Toc187677676"/>
      <w:bookmarkEnd w:id="932"/>
      <w:bookmarkStart w:id="933" w:name="_Toc187677682"/>
      <w:bookmarkEnd w:id="933"/>
      <w:bookmarkStart w:id="934" w:name="_Toc187677677"/>
      <w:bookmarkEnd w:id="934"/>
      <w:bookmarkStart w:id="935" w:name="_Toc187677679"/>
      <w:bookmarkEnd w:id="935"/>
      <w:bookmarkStart w:id="936" w:name="_Toc189042550"/>
      <w:bookmarkEnd w:id="936"/>
      <w:bookmarkStart w:id="937" w:name="_Toc187677675"/>
      <w:bookmarkEnd w:id="937"/>
      <w:bookmarkStart w:id="938" w:name="_Toc189042553"/>
      <w:bookmarkEnd w:id="938"/>
      <w:bookmarkStart w:id="939" w:name="_Toc189042444"/>
      <w:bookmarkEnd w:id="939"/>
      <w:bookmarkStart w:id="940" w:name="_Toc187677683"/>
      <w:bookmarkEnd w:id="940"/>
      <w:bookmarkStart w:id="941" w:name="_Toc189042554"/>
      <w:bookmarkEnd w:id="941"/>
      <w:bookmarkStart w:id="942" w:name="_Toc189042547"/>
      <w:bookmarkEnd w:id="942"/>
      <w:bookmarkStart w:id="943" w:name="_Toc189042543"/>
      <w:bookmarkEnd w:id="943"/>
      <w:bookmarkStart w:id="944" w:name="_Toc189042445"/>
      <w:bookmarkEnd w:id="944"/>
      <w:bookmarkStart w:id="945" w:name="_Toc189042516"/>
      <w:bookmarkEnd w:id="945"/>
      <w:bookmarkStart w:id="946" w:name="_Toc187677674"/>
      <w:bookmarkEnd w:id="946"/>
      <w:bookmarkStart w:id="947" w:name="_Toc189042545"/>
      <w:bookmarkEnd w:id="947"/>
      <w:bookmarkStart w:id="948" w:name="_Toc187677673"/>
      <w:bookmarkEnd w:id="948"/>
      <w:bookmarkStart w:id="949" w:name="_Toc189042551"/>
      <w:bookmarkEnd w:id="949"/>
      <w:bookmarkStart w:id="950" w:name="_Toc189042552"/>
      <w:bookmarkEnd w:id="950"/>
      <w:bookmarkStart w:id="951" w:name="_Toc189042549"/>
      <w:bookmarkEnd w:id="951"/>
      <w:bookmarkStart w:id="952" w:name="_Toc189042544"/>
      <w:bookmarkEnd w:id="952"/>
      <w:bookmarkStart w:id="953" w:name="_Toc187677573"/>
      <w:bookmarkEnd w:id="953"/>
      <w:bookmarkStart w:id="954" w:name="_Toc189042515"/>
      <w:bookmarkEnd w:id="954"/>
      <w:bookmarkStart w:id="955" w:name="_Toc189042564"/>
      <w:bookmarkEnd w:id="955"/>
      <w:bookmarkStart w:id="956" w:name="_Toc189042558"/>
      <w:bookmarkEnd w:id="956"/>
      <w:bookmarkStart w:id="957" w:name="_Toc189042567"/>
      <w:bookmarkEnd w:id="957"/>
      <w:bookmarkStart w:id="958" w:name="_Toc187677689"/>
      <w:bookmarkEnd w:id="958"/>
      <w:bookmarkStart w:id="959" w:name="_Toc189042559"/>
      <w:bookmarkEnd w:id="959"/>
      <w:bookmarkStart w:id="960" w:name="_Toc187677684"/>
      <w:bookmarkEnd w:id="960"/>
      <w:bookmarkStart w:id="961" w:name="_Toc189042555"/>
      <w:bookmarkEnd w:id="961"/>
      <w:bookmarkStart w:id="962" w:name="_Toc189042557"/>
      <w:bookmarkEnd w:id="962"/>
      <w:bookmarkStart w:id="963" w:name="_Toc187677691"/>
      <w:bookmarkEnd w:id="963"/>
      <w:bookmarkStart w:id="964" w:name="_Toc189042560"/>
      <w:bookmarkEnd w:id="964"/>
      <w:bookmarkStart w:id="965" w:name="_Toc187677692"/>
      <w:bookmarkEnd w:id="965"/>
      <w:bookmarkStart w:id="966" w:name="_Toc187677693"/>
      <w:bookmarkEnd w:id="966"/>
      <w:bookmarkStart w:id="967" w:name="_Toc189042565"/>
      <w:bookmarkEnd w:id="967"/>
      <w:bookmarkStart w:id="968" w:name="_Toc187677688"/>
      <w:bookmarkEnd w:id="968"/>
      <w:bookmarkStart w:id="969" w:name="_Toc187677695"/>
      <w:bookmarkEnd w:id="969"/>
      <w:bookmarkStart w:id="970" w:name="_Toc187677696"/>
      <w:bookmarkEnd w:id="970"/>
      <w:bookmarkStart w:id="971" w:name="_Toc189042561"/>
      <w:bookmarkEnd w:id="971"/>
      <w:bookmarkStart w:id="972" w:name="_Toc189042562"/>
      <w:bookmarkEnd w:id="972"/>
      <w:bookmarkStart w:id="973" w:name="_Toc189042556"/>
      <w:bookmarkEnd w:id="973"/>
      <w:bookmarkStart w:id="974" w:name="_Toc189042563"/>
      <w:bookmarkEnd w:id="974"/>
      <w:bookmarkStart w:id="975" w:name="_Toc189042568"/>
      <w:bookmarkEnd w:id="975"/>
      <w:bookmarkStart w:id="976" w:name="_Toc187677698"/>
      <w:bookmarkEnd w:id="976"/>
      <w:bookmarkStart w:id="977" w:name="_Toc187677697"/>
      <w:bookmarkEnd w:id="977"/>
      <w:bookmarkStart w:id="978" w:name="_Toc189042569"/>
      <w:bookmarkEnd w:id="978"/>
      <w:bookmarkStart w:id="979" w:name="_Toc187677685"/>
      <w:bookmarkEnd w:id="979"/>
      <w:bookmarkStart w:id="980" w:name="_Toc187677690"/>
      <w:bookmarkEnd w:id="980"/>
      <w:bookmarkStart w:id="981" w:name="_Toc187677686"/>
      <w:bookmarkEnd w:id="981"/>
      <w:bookmarkStart w:id="982" w:name="_Toc187677694"/>
      <w:bookmarkEnd w:id="982"/>
      <w:bookmarkStart w:id="983" w:name="_Toc189042566"/>
      <w:bookmarkEnd w:id="983"/>
      <w:bookmarkStart w:id="984" w:name="_Toc187677700"/>
      <w:bookmarkEnd w:id="984"/>
      <w:bookmarkStart w:id="985" w:name="_Toc189042571"/>
      <w:bookmarkEnd w:id="985"/>
      <w:bookmarkStart w:id="986" w:name="_Toc187677687"/>
      <w:bookmarkEnd w:id="986"/>
      <w:bookmarkStart w:id="987" w:name="_Toc187677704"/>
      <w:bookmarkEnd w:id="987"/>
      <w:bookmarkStart w:id="988" w:name="_Toc189042581"/>
      <w:bookmarkEnd w:id="988"/>
      <w:bookmarkStart w:id="989" w:name="_Toc189042588"/>
      <w:bookmarkEnd w:id="989"/>
      <w:bookmarkStart w:id="990" w:name="_Toc189042585"/>
      <w:bookmarkEnd w:id="990"/>
      <w:bookmarkStart w:id="991" w:name="_Toc189042573"/>
      <w:bookmarkEnd w:id="991"/>
      <w:bookmarkStart w:id="992" w:name="_Toc189042579"/>
      <w:bookmarkEnd w:id="992"/>
      <w:bookmarkStart w:id="993" w:name="_Toc187677709"/>
      <w:bookmarkEnd w:id="993"/>
      <w:bookmarkStart w:id="994" w:name="_Toc187677703"/>
      <w:bookmarkEnd w:id="994"/>
      <w:bookmarkStart w:id="995" w:name="_Toc187677706"/>
      <w:bookmarkEnd w:id="995"/>
      <w:bookmarkStart w:id="996" w:name="_Toc187677707"/>
      <w:bookmarkEnd w:id="996"/>
      <w:bookmarkStart w:id="997" w:name="_Toc189042578"/>
      <w:bookmarkEnd w:id="997"/>
      <w:bookmarkStart w:id="998" w:name="_Toc187677702"/>
      <w:bookmarkEnd w:id="998"/>
      <w:bookmarkStart w:id="999" w:name="_Toc187677708"/>
      <w:bookmarkEnd w:id="999"/>
      <w:bookmarkStart w:id="1000" w:name="_Toc189042580"/>
      <w:bookmarkEnd w:id="1000"/>
      <w:bookmarkStart w:id="1001" w:name="_Toc189042575"/>
      <w:bookmarkEnd w:id="1001"/>
      <w:bookmarkStart w:id="1002" w:name="_Toc189042582"/>
      <w:bookmarkEnd w:id="1002"/>
      <w:bookmarkStart w:id="1003" w:name="_Toc187677712"/>
      <w:bookmarkEnd w:id="1003"/>
      <w:bookmarkStart w:id="1004" w:name="_Toc189042584"/>
      <w:bookmarkEnd w:id="1004"/>
      <w:bookmarkStart w:id="1005" w:name="_Toc187677716"/>
      <w:bookmarkEnd w:id="1005"/>
      <w:bookmarkStart w:id="1006" w:name="_Toc189042587"/>
      <w:bookmarkEnd w:id="1006"/>
      <w:bookmarkStart w:id="1007" w:name="_Toc187677710"/>
      <w:bookmarkEnd w:id="1007"/>
      <w:bookmarkStart w:id="1008" w:name="_Toc187677713"/>
      <w:bookmarkEnd w:id="1008"/>
      <w:bookmarkStart w:id="1009" w:name="_Toc187677711"/>
      <w:bookmarkEnd w:id="1009"/>
      <w:bookmarkStart w:id="1010" w:name="_Toc187677718"/>
      <w:bookmarkEnd w:id="1010"/>
      <w:bookmarkStart w:id="1011" w:name="_Toc189042589"/>
      <w:bookmarkEnd w:id="1011"/>
      <w:bookmarkStart w:id="1012" w:name="_Toc189042572"/>
      <w:bookmarkEnd w:id="1012"/>
      <w:bookmarkStart w:id="1013" w:name="_Toc189042577"/>
      <w:bookmarkEnd w:id="1013"/>
      <w:bookmarkStart w:id="1014" w:name="_Toc189042583"/>
      <w:bookmarkEnd w:id="1014"/>
      <w:bookmarkStart w:id="1015" w:name="_Toc187677714"/>
      <w:bookmarkEnd w:id="1015"/>
      <w:bookmarkStart w:id="1016" w:name="_Toc189042574"/>
      <w:bookmarkEnd w:id="1016"/>
      <w:bookmarkStart w:id="1017" w:name="_Toc187677717"/>
      <w:bookmarkEnd w:id="1017"/>
      <w:bookmarkStart w:id="1018" w:name="_Toc187677701"/>
      <w:bookmarkEnd w:id="1018"/>
      <w:bookmarkStart w:id="1019" w:name="_Toc187677728"/>
      <w:bookmarkEnd w:id="1019"/>
      <w:bookmarkStart w:id="1020" w:name="_Toc187677729"/>
      <w:bookmarkEnd w:id="1020"/>
      <w:bookmarkStart w:id="1021" w:name="_Toc187677721"/>
      <w:bookmarkEnd w:id="1021"/>
      <w:bookmarkStart w:id="1022" w:name="_Toc187677722"/>
      <w:bookmarkEnd w:id="1022"/>
      <w:bookmarkStart w:id="1023" w:name="_Toc189042590"/>
      <w:bookmarkEnd w:id="1023"/>
      <w:bookmarkStart w:id="1024" w:name="_Toc189042601"/>
      <w:bookmarkEnd w:id="1024"/>
      <w:bookmarkStart w:id="1025" w:name="_Toc189042592"/>
      <w:bookmarkEnd w:id="1025"/>
      <w:bookmarkStart w:id="1026" w:name="_Toc187677724"/>
      <w:bookmarkEnd w:id="1026"/>
      <w:bookmarkStart w:id="1027" w:name="_Toc189042597"/>
      <w:bookmarkEnd w:id="1027"/>
      <w:bookmarkStart w:id="1028" w:name="_Toc187677731"/>
      <w:bookmarkEnd w:id="1028"/>
      <w:bookmarkStart w:id="1029" w:name="_Toc189042602"/>
      <w:bookmarkEnd w:id="1029"/>
      <w:bookmarkStart w:id="1030" w:name="_Toc189042593"/>
      <w:bookmarkEnd w:id="1030"/>
      <w:bookmarkStart w:id="1031" w:name="_Toc189042595"/>
      <w:bookmarkEnd w:id="1031"/>
      <w:bookmarkStart w:id="1032" w:name="_Toc187677732"/>
      <w:bookmarkEnd w:id="1032"/>
      <w:bookmarkStart w:id="1033" w:name="_Toc187677727"/>
      <w:bookmarkEnd w:id="1033"/>
      <w:bookmarkStart w:id="1034" w:name="_Toc189042603"/>
      <w:bookmarkEnd w:id="1034"/>
      <w:bookmarkStart w:id="1035" w:name="_Toc187677726"/>
      <w:bookmarkEnd w:id="1035"/>
      <w:bookmarkStart w:id="1036" w:name="_Toc189042600"/>
      <w:bookmarkEnd w:id="1036"/>
      <w:bookmarkStart w:id="1037" w:name="_Toc187677720"/>
      <w:bookmarkEnd w:id="1037"/>
      <w:bookmarkStart w:id="1038" w:name="_Toc187677723"/>
      <w:bookmarkEnd w:id="1038"/>
      <w:bookmarkStart w:id="1039" w:name="_Toc189042604"/>
      <w:bookmarkEnd w:id="1039"/>
      <w:bookmarkStart w:id="1040" w:name="_Toc189042605"/>
      <w:bookmarkEnd w:id="1040"/>
      <w:bookmarkStart w:id="1041" w:name="_Toc187677736"/>
      <w:bookmarkEnd w:id="1041"/>
      <w:bookmarkStart w:id="1042" w:name="_Toc189042607"/>
      <w:bookmarkEnd w:id="1042"/>
      <w:bookmarkStart w:id="1043" w:name="_Toc187677719"/>
      <w:bookmarkEnd w:id="1043"/>
      <w:bookmarkStart w:id="1044" w:name="_Toc189042599"/>
      <w:bookmarkEnd w:id="1044"/>
      <w:bookmarkStart w:id="1045" w:name="_Toc187677730"/>
      <w:bookmarkEnd w:id="1045"/>
      <w:bookmarkStart w:id="1046" w:name="_Toc187677733"/>
      <w:bookmarkEnd w:id="1046"/>
      <w:bookmarkStart w:id="1047" w:name="_Toc187677734"/>
      <w:bookmarkEnd w:id="1047"/>
      <w:bookmarkStart w:id="1048" w:name="_Toc189042591"/>
      <w:bookmarkEnd w:id="1048"/>
      <w:bookmarkStart w:id="1049" w:name="_Toc189042594"/>
      <w:bookmarkEnd w:id="1049"/>
      <w:bookmarkStart w:id="1050" w:name="_Toc189042598"/>
      <w:bookmarkEnd w:id="1050"/>
      <w:bookmarkStart w:id="1051" w:name="_Toc189042623"/>
      <w:bookmarkEnd w:id="1051"/>
      <w:bookmarkStart w:id="1052" w:name="_Toc187677738"/>
      <w:bookmarkEnd w:id="1052"/>
      <w:bookmarkStart w:id="1053" w:name="_Toc187677744"/>
      <w:bookmarkEnd w:id="1053"/>
      <w:bookmarkStart w:id="1054" w:name="_Toc187677746"/>
      <w:bookmarkEnd w:id="1054"/>
      <w:bookmarkStart w:id="1055" w:name="_Toc187677737"/>
      <w:bookmarkEnd w:id="1055"/>
      <w:bookmarkStart w:id="1056" w:name="_Toc187677749"/>
      <w:bookmarkEnd w:id="1056"/>
      <w:bookmarkStart w:id="1057" w:name="_Toc189042622"/>
      <w:bookmarkEnd w:id="1057"/>
      <w:bookmarkStart w:id="1058" w:name="_Toc187677753"/>
      <w:bookmarkEnd w:id="1058"/>
      <w:bookmarkStart w:id="1059" w:name="_Toc189042624"/>
      <w:bookmarkEnd w:id="1059"/>
      <w:bookmarkStart w:id="1060" w:name="_Toc187677742"/>
      <w:bookmarkEnd w:id="1060"/>
      <w:bookmarkStart w:id="1061" w:name="_Toc187677750"/>
      <w:bookmarkEnd w:id="1061"/>
      <w:bookmarkStart w:id="1062" w:name="_Toc189042610"/>
      <w:bookmarkEnd w:id="1062"/>
      <w:bookmarkStart w:id="1063" w:name="_Toc189042609"/>
      <w:bookmarkEnd w:id="1063"/>
      <w:bookmarkStart w:id="1064" w:name="_Toc189042615"/>
      <w:bookmarkEnd w:id="1064"/>
      <w:bookmarkStart w:id="1065" w:name="_Toc187677739"/>
      <w:bookmarkEnd w:id="1065"/>
      <w:bookmarkStart w:id="1066" w:name="_Toc189042608"/>
      <w:bookmarkEnd w:id="1066"/>
      <w:bookmarkStart w:id="1067" w:name="_Toc189042612"/>
      <w:bookmarkEnd w:id="1067"/>
      <w:bookmarkStart w:id="1068" w:name="_Toc189042614"/>
      <w:bookmarkEnd w:id="1068"/>
      <w:bookmarkStart w:id="1069" w:name="_Toc189042617"/>
      <w:bookmarkEnd w:id="1069"/>
      <w:bookmarkStart w:id="1070" w:name="_Toc189042618"/>
      <w:bookmarkEnd w:id="1070"/>
      <w:bookmarkStart w:id="1071" w:name="_Toc189042620"/>
      <w:bookmarkEnd w:id="1071"/>
      <w:bookmarkStart w:id="1072" w:name="_Toc189042611"/>
      <w:bookmarkEnd w:id="1072"/>
      <w:bookmarkStart w:id="1073" w:name="_Toc187677740"/>
      <w:bookmarkEnd w:id="1073"/>
      <w:bookmarkStart w:id="1074" w:name="_Toc189042613"/>
      <w:bookmarkEnd w:id="1074"/>
      <w:bookmarkStart w:id="1075" w:name="_Toc187677741"/>
      <w:bookmarkEnd w:id="1075"/>
      <w:bookmarkStart w:id="1076" w:name="_Toc187677743"/>
      <w:bookmarkEnd w:id="1076"/>
      <w:bookmarkStart w:id="1077" w:name="_Toc187677747"/>
      <w:bookmarkEnd w:id="1077"/>
      <w:bookmarkStart w:id="1078" w:name="_Toc189042619"/>
      <w:bookmarkEnd w:id="1078"/>
      <w:bookmarkStart w:id="1079" w:name="_Toc189042621"/>
      <w:bookmarkEnd w:id="1079"/>
      <w:bookmarkStart w:id="1080" w:name="_Toc187677751"/>
      <w:bookmarkEnd w:id="1080"/>
      <w:bookmarkStart w:id="1081" w:name="_Toc187677748"/>
      <w:bookmarkEnd w:id="1081"/>
      <w:bookmarkStart w:id="1082" w:name="_Toc187677752"/>
      <w:bookmarkEnd w:id="1082"/>
      <w:bookmarkStart w:id="1083" w:name="_Toc187677756"/>
      <w:bookmarkEnd w:id="1083"/>
      <w:bookmarkStart w:id="1084" w:name="_Toc187677759"/>
      <w:bookmarkEnd w:id="1084"/>
      <w:bookmarkStart w:id="1085" w:name="_Toc187677760"/>
      <w:bookmarkEnd w:id="1085"/>
      <w:bookmarkStart w:id="1086" w:name="_Toc189042631"/>
      <w:bookmarkEnd w:id="1086"/>
      <w:bookmarkStart w:id="1087" w:name="_Toc189042632"/>
      <w:bookmarkEnd w:id="1087"/>
      <w:bookmarkStart w:id="1088" w:name="_Toc189042629"/>
      <w:bookmarkEnd w:id="1088"/>
      <w:bookmarkStart w:id="1089" w:name="_Toc189042634"/>
      <w:bookmarkEnd w:id="1089"/>
      <w:bookmarkStart w:id="1090" w:name="_Toc189042630"/>
      <w:bookmarkEnd w:id="1090"/>
      <w:bookmarkStart w:id="1091" w:name="_Toc187677764"/>
      <w:bookmarkEnd w:id="1091"/>
      <w:bookmarkStart w:id="1092" w:name="_Toc187677766"/>
      <w:bookmarkEnd w:id="1092"/>
      <w:bookmarkStart w:id="1093" w:name="_Toc189042633"/>
      <w:bookmarkEnd w:id="1093"/>
      <w:bookmarkStart w:id="1094" w:name="_Toc189042638"/>
      <w:bookmarkEnd w:id="1094"/>
      <w:bookmarkStart w:id="1095" w:name="_Toc189042637"/>
      <w:bookmarkEnd w:id="1095"/>
      <w:bookmarkStart w:id="1096" w:name="_Toc187677770"/>
      <w:bookmarkEnd w:id="1096"/>
      <w:bookmarkStart w:id="1097" w:name="_Toc187677754"/>
      <w:bookmarkEnd w:id="1097"/>
      <w:bookmarkStart w:id="1098" w:name="_Toc189042635"/>
      <w:bookmarkEnd w:id="1098"/>
      <w:bookmarkStart w:id="1099" w:name="_Toc187677767"/>
      <w:bookmarkEnd w:id="1099"/>
      <w:bookmarkStart w:id="1100" w:name="_Toc189042628"/>
      <w:bookmarkEnd w:id="1100"/>
      <w:bookmarkStart w:id="1101" w:name="_Toc187677763"/>
      <w:bookmarkEnd w:id="1101"/>
      <w:bookmarkStart w:id="1102" w:name="_Toc189042640"/>
      <w:bookmarkEnd w:id="1102"/>
      <w:bookmarkStart w:id="1103" w:name="_Toc189042642"/>
      <w:bookmarkEnd w:id="1103"/>
      <w:bookmarkStart w:id="1104" w:name="_Toc189042639"/>
      <w:bookmarkEnd w:id="1104"/>
      <w:bookmarkStart w:id="1105" w:name="_Toc187677768"/>
      <w:bookmarkEnd w:id="1105"/>
      <w:bookmarkStart w:id="1106" w:name="_Toc189042641"/>
      <w:bookmarkEnd w:id="1106"/>
      <w:bookmarkStart w:id="1107" w:name="_Toc187677762"/>
      <w:bookmarkEnd w:id="1107"/>
      <w:bookmarkStart w:id="1108" w:name="_Toc189042627"/>
      <w:bookmarkEnd w:id="1108"/>
      <w:bookmarkStart w:id="1109" w:name="_Toc187677758"/>
      <w:bookmarkEnd w:id="1109"/>
      <w:bookmarkStart w:id="1110" w:name="_Toc187677761"/>
      <w:bookmarkEnd w:id="1110"/>
      <w:bookmarkStart w:id="1111" w:name="_Toc187677769"/>
      <w:bookmarkEnd w:id="1111"/>
      <w:bookmarkStart w:id="1112" w:name="_Toc187677771"/>
      <w:bookmarkEnd w:id="1112"/>
      <w:bookmarkStart w:id="1113" w:name="_Toc189042625"/>
      <w:bookmarkEnd w:id="1113"/>
      <w:bookmarkStart w:id="1114" w:name="_Toc187677757"/>
      <w:bookmarkEnd w:id="1114"/>
      <w:bookmarkStart w:id="1115" w:name="_Toc189042659"/>
      <w:bookmarkEnd w:id="1115"/>
      <w:bookmarkStart w:id="1116" w:name="_Toc189042660"/>
      <w:bookmarkEnd w:id="1116"/>
      <w:bookmarkStart w:id="1117" w:name="_Toc187677772"/>
      <w:bookmarkEnd w:id="1117"/>
      <w:bookmarkStart w:id="1118" w:name="_Toc187677774"/>
      <w:bookmarkEnd w:id="1118"/>
      <w:bookmarkStart w:id="1119" w:name="_Toc189042647"/>
      <w:bookmarkEnd w:id="1119"/>
      <w:bookmarkStart w:id="1120" w:name="_Toc189042649"/>
      <w:bookmarkEnd w:id="1120"/>
      <w:bookmarkStart w:id="1121" w:name="_Toc189042648"/>
      <w:bookmarkEnd w:id="1121"/>
      <w:bookmarkStart w:id="1122" w:name="_Toc189042644"/>
      <w:bookmarkEnd w:id="1122"/>
      <w:bookmarkStart w:id="1123" w:name="_Toc187677780"/>
      <w:bookmarkEnd w:id="1123"/>
      <w:bookmarkStart w:id="1124" w:name="_Toc187677787"/>
      <w:bookmarkEnd w:id="1124"/>
      <w:bookmarkStart w:id="1125" w:name="_Toc189042645"/>
      <w:bookmarkEnd w:id="1125"/>
      <w:bookmarkStart w:id="1126" w:name="_Toc189042652"/>
      <w:bookmarkEnd w:id="1126"/>
      <w:bookmarkStart w:id="1127" w:name="_Toc189042654"/>
      <w:bookmarkEnd w:id="1127"/>
      <w:bookmarkStart w:id="1128" w:name="_Toc189042643"/>
      <w:bookmarkEnd w:id="1128"/>
      <w:bookmarkStart w:id="1129" w:name="_Toc189042657"/>
      <w:bookmarkEnd w:id="1129"/>
      <w:bookmarkStart w:id="1130" w:name="_Toc189042655"/>
      <w:bookmarkEnd w:id="1130"/>
      <w:bookmarkStart w:id="1131" w:name="_Toc187677778"/>
      <w:bookmarkEnd w:id="1131"/>
      <w:bookmarkStart w:id="1132" w:name="_Toc187677782"/>
      <w:bookmarkEnd w:id="1132"/>
      <w:bookmarkStart w:id="1133" w:name="_Toc187677776"/>
      <w:bookmarkEnd w:id="1133"/>
      <w:bookmarkStart w:id="1134" w:name="_Toc189042658"/>
      <w:bookmarkEnd w:id="1134"/>
      <w:bookmarkStart w:id="1135" w:name="_Toc187677779"/>
      <w:bookmarkEnd w:id="1135"/>
      <w:bookmarkStart w:id="1136" w:name="_Toc189042651"/>
      <w:bookmarkEnd w:id="1136"/>
      <w:bookmarkStart w:id="1137" w:name="_Toc187677788"/>
      <w:bookmarkEnd w:id="1137"/>
      <w:bookmarkStart w:id="1138" w:name="_Toc187677781"/>
      <w:bookmarkEnd w:id="1138"/>
      <w:bookmarkStart w:id="1139" w:name="_Toc187677777"/>
      <w:bookmarkEnd w:id="1139"/>
      <w:bookmarkStart w:id="1140" w:name="_Toc189042653"/>
      <w:bookmarkEnd w:id="1140"/>
      <w:bookmarkStart w:id="1141" w:name="_Toc187677786"/>
      <w:bookmarkEnd w:id="1141"/>
      <w:bookmarkStart w:id="1142" w:name="_Toc187677773"/>
      <w:bookmarkEnd w:id="1142"/>
      <w:bookmarkStart w:id="1143" w:name="_Toc189042650"/>
      <w:bookmarkEnd w:id="1143"/>
      <w:bookmarkStart w:id="1144" w:name="_Toc187677784"/>
      <w:bookmarkEnd w:id="1144"/>
      <w:bookmarkStart w:id="1145" w:name="_Toc187677789"/>
      <w:bookmarkEnd w:id="1145"/>
      <w:bookmarkStart w:id="1146" w:name="_Toc187677783"/>
      <w:bookmarkEnd w:id="1146"/>
      <w:bookmarkStart w:id="1147" w:name="_Toc189042674"/>
      <w:bookmarkEnd w:id="1147"/>
      <w:bookmarkStart w:id="1148" w:name="_Toc187677796"/>
      <w:bookmarkEnd w:id="1148"/>
      <w:bookmarkStart w:id="1149" w:name="_Toc189042663"/>
      <w:bookmarkEnd w:id="1149"/>
      <w:bookmarkStart w:id="1150" w:name="_Toc189042664"/>
      <w:bookmarkEnd w:id="1150"/>
      <w:bookmarkStart w:id="1151" w:name="_Toc187677802"/>
      <w:bookmarkEnd w:id="1151"/>
      <w:bookmarkStart w:id="1152" w:name="_Toc189042662"/>
      <w:bookmarkEnd w:id="1152"/>
      <w:bookmarkStart w:id="1153" w:name="_Toc187677804"/>
      <w:bookmarkEnd w:id="1153"/>
      <w:bookmarkStart w:id="1154" w:name="_Toc189042673"/>
      <w:bookmarkEnd w:id="1154"/>
      <w:bookmarkStart w:id="1155" w:name="_Toc189042671"/>
      <w:bookmarkEnd w:id="1155"/>
      <w:bookmarkStart w:id="1156" w:name="_Toc187677790"/>
      <w:bookmarkEnd w:id="1156"/>
      <w:bookmarkStart w:id="1157" w:name="_Toc187677806"/>
      <w:bookmarkEnd w:id="1157"/>
      <w:bookmarkStart w:id="1158" w:name="_Toc187677793"/>
      <w:bookmarkEnd w:id="1158"/>
      <w:bookmarkStart w:id="1159" w:name="_Toc189042675"/>
      <w:bookmarkEnd w:id="1159"/>
      <w:bookmarkStart w:id="1160" w:name="_Toc189042668"/>
      <w:bookmarkEnd w:id="1160"/>
      <w:bookmarkStart w:id="1161" w:name="_Toc189042661"/>
      <w:bookmarkEnd w:id="1161"/>
      <w:bookmarkStart w:id="1162" w:name="_Toc187677799"/>
      <w:bookmarkEnd w:id="1162"/>
      <w:bookmarkStart w:id="1163" w:name="_Toc187677801"/>
      <w:bookmarkEnd w:id="1163"/>
      <w:bookmarkStart w:id="1164" w:name="_Toc189042672"/>
      <w:bookmarkEnd w:id="1164"/>
      <w:bookmarkStart w:id="1165" w:name="_Toc189042677"/>
      <w:bookmarkEnd w:id="1165"/>
      <w:bookmarkStart w:id="1166" w:name="_Toc187677791"/>
      <w:bookmarkEnd w:id="1166"/>
      <w:bookmarkStart w:id="1167" w:name="_Toc187677797"/>
      <w:bookmarkEnd w:id="1167"/>
      <w:bookmarkStart w:id="1168" w:name="_Toc189042669"/>
      <w:bookmarkEnd w:id="1168"/>
      <w:bookmarkStart w:id="1169" w:name="_Toc187677807"/>
      <w:bookmarkEnd w:id="1169"/>
      <w:bookmarkStart w:id="1170" w:name="_Toc189042678"/>
      <w:bookmarkEnd w:id="1170"/>
      <w:bookmarkStart w:id="1171" w:name="_Toc187677794"/>
      <w:bookmarkEnd w:id="1171"/>
      <w:bookmarkStart w:id="1172" w:name="_Toc189042670"/>
      <w:bookmarkEnd w:id="1172"/>
      <w:bookmarkStart w:id="1173" w:name="_Toc189042667"/>
      <w:bookmarkEnd w:id="1173"/>
      <w:bookmarkStart w:id="1174" w:name="_Toc189042665"/>
      <w:bookmarkEnd w:id="1174"/>
      <w:bookmarkStart w:id="1175" w:name="_Toc187677798"/>
      <w:bookmarkEnd w:id="1175"/>
      <w:bookmarkStart w:id="1176" w:name="_Toc187677792"/>
      <w:bookmarkEnd w:id="1176"/>
      <w:bookmarkStart w:id="1177" w:name="_Toc187677800"/>
      <w:bookmarkEnd w:id="1177"/>
      <w:bookmarkStart w:id="1178" w:name="_Toc187677803"/>
      <w:bookmarkEnd w:id="1178"/>
      <w:bookmarkStart w:id="1179" w:name="_Toc187677811"/>
      <w:bookmarkEnd w:id="1179"/>
      <w:bookmarkStart w:id="1180" w:name="_Toc189042681"/>
      <w:bookmarkEnd w:id="1180"/>
      <w:bookmarkStart w:id="1181" w:name="_Toc189042685"/>
      <w:bookmarkEnd w:id="1181"/>
      <w:bookmarkStart w:id="1182" w:name="_Toc187677816"/>
      <w:bookmarkEnd w:id="1182"/>
      <w:bookmarkStart w:id="1183" w:name="_Toc187677819"/>
      <w:bookmarkEnd w:id="1183"/>
      <w:bookmarkStart w:id="1184" w:name="_Toc189042692"/>
      <w:bookmarkEnd w:id="1184"/>
      <w:bookmarkStart w:id="1185" w:name="_Toc187677823"/>
      <w:bookmarkEnd w:id="1185"/>
      <w:bookmarkStart w:id="1186" w:name="_Toc189042679"/>
      <w:bookmarkEnd w:id="1186"/>
      <w:bookmarkStart w:id="1187" w:name="_Toc187677824"/>
      <w:bookmarkEnd w:id="1187"/>
      <w:bookmarkStart w:id="1188" w:name="_Toc189042683"/>
      <w:bookmarkEnd w:id="1188"/>
      <w:bookmarkStart w:id="1189" w:name="_Toc189042684"/>
      <w:bookmarkEnd w:id="1189"/>
      <w:bookmarkStart w:id="1190" w:name="_Toc187677820"/>
      <w:bookmarkEnd w:id="1190"/>
      <w:bookmarkStart w:id="1191" w:name="_Toc187677813"/>
      <w:bookmarkEnd w:id="1191"/>
      <w:bookmarkStart w:id="1192" w:name="_Toc187677814"/>
      <w:bookmarkEnd w:id="1192"/>
      <w:bookmarkStart w:id="1193" w:name="_Toc187677808"/>
      <w:bookmarkEnd w:id="1193"/>
      <w:bookmarkStart w:id="1194" w:name="_Toc187677812"/>
      <w:bookmarkEnd w:id="1194"/>
      <w:bookmarkStart w:id="1195" w:name="_Toc189042682"/>
      <w:bookmarkEnd w:id="1195"/>
      <w:bookmarkStart w:id="1196" w:name="_Toc189042688"/>
      <w:bookmarkEnd w:id="1196"/>
      <w:bookmarkStart w:id="1197" w:name="_Toc189042687"/>
      <w:bookmarkEnd w:id="1197"/>
      <w:bookmarkStart w:id="1198" w:name="_Toc187677821"/>
      <w:bookmarkEnd w:id="1198"/>
      <w:bookmarkStart w:id="1199" w:name="_Toc189042690"/>
      <w:bookmarkEnd w:id="1199"/>
      <w:bookmarkStart w:id="1200" w:name="_Toc187677822"/>
      <w:bookmarkEnd w:id="1200"/>
      <w:bookmarkStart w:id="1201" w:name="_Toc189042693"/>
      <w:bookmarkEnd w:id="1201"/>
      <w:bookmarkStart w:id="1202" w:name="_Toc187677817"/>
      <w:bookmarkEnd w:id="1202"/>
      <w:bookmarkStart w:id="1203" w:name="_Toc189042694"/>
      <w:bookmarkEnd w:id="1203"/>
      <w:bookmarkStart w:id="1204" w:name="_Toc187677809"/>
      <w:bookmarkEnd w:id="1204"/>
      <w:bookmarkStart w:id="1205" w:name="_Toc187677810"/>
      <w:bookmarkEnd w:id="1205"/>
      <w:bookmarkStart w:id="1206" w:name="_Toc189042689"/>
      <w:bookmarkEnd w:id="1206"/>
      <w:bookmarkStart w:id="1207" w:name="_Toc189042691"/>
      <w:bookmarkEnd w:id="1207"/>
      <w:bookmarkStart w:id="1208" w:name="_Toc189042695"/>
      <w:bookmarkEnd w:id="1208"/>
      <w:bookmarkStart w:id="1209" w:name="_Toc189042680"/>
      <w:bookmarkEnd w:id="1209"/>
      <w:bookmarkStart w:id="1210" w:name="_Toc187677818"/>
      <w:bookmarkEnd w:id="1210"/>
      <w:bookmarkStart w:id="1211" w:name="_Toc189042713"/>
      <w:bookmarkEnd w:id="1211"/>
      <w:bookmarkStart w:id="1212" w:name="_Toc187677828"/>
      <w:bookmarkEnd w:id="1212"/>
      <w:bookmarkStart w:id="1213" w:name="_Toc189042709"/>
      <w:bookmarkEnd w:id="1213"/>
      <w:bookmarkStart w:id="1214" w:name="_Toc187677832"/>
      <w:bookmarkEnd w:id="1214"/>
      <w:bookmarkStart w:id="1215" w:name="_Toc187677837"/>
      <w:bookmarkEnd w:id="1215"/>
      <w:bookmarkStart w:id="1216" w:name="_Toc187677826"/>
      <w:bookmarkEnd w:id="1216"/>
      <w:bookmarkStart w:id="1217" w:name="_Toc189042697"/>
      <w:bookmarkEnd w:id="1217"/>
      <w:bookmarkStart w:id="1218" w:name="_Toc189042703"/>
      <w:bookmarkEnd w:id="1218"/>
      <w:bookmarkStart w:id="1219" w:name="_Toc187677829"/>
      <w:bookmarkEnd w:id="1219"/>
      <w:bookmarkStart w:id="1220" w:name="_Toc187677831"/>
      <w:bookmarkEnd w:id="1220"/>
      <w:bookmarkStart w:id="1221" w:name="_Toc187677833"/>
      <w:bookmarkEnd w:id="1221"/>
      <w:bookmarkStart w:id="1222" w:name="_Toc187677827"/>
      <w:bookmarkEnd w:id="1222"/>
      <w:bookmarkStart w:id="1223" w:name="_Toc189042705"/>
      <w:bookmarkEnd w:id="1223"/>
      <w:bookmarkStart w:id="1224" w:name="_Toc187677836"/>
      <w:bookmarkEnd w:id="1224"/>
      <w:bookmarkStart w:id="1225" w:name="_Toc189042700"/>
      <w:bookmarkEnd w:id="1225"/>
      <w:bookmarkStart w:id="1226" w:name="_Toc187677839"/>
      <w:bookmarkEnd w:id="1226"/>
      <w:bookmarkStart w:id="1227" w:name="_Toc189042710"/>
      <w:bookmarkEnd w:id="1227"/>
      <w:bookmarkStart w:id="1228" w:name="_Toc187677840"/>
      <w:bookmarkEnd w:id="1228"/>
      <w:bookmarkStart w:id="1229" w:name="_Toc189042708"/>
      <w:bookmarkEnd w:id="1229"/>
      <w:bookmarkStart w:id="1230" w:name="_Toc189042711"/>
      <w:bookmarkEnd w:id="1230"/>
      <w:bookmarkStart w:id="1231" w:name="_Toc189042698"/>
      <w:bookmarkEnd w:id="1231"/>
      <w:bookmarkStart w:id="1232" w:name="_Toc189042701"/>
      <w:bookmarkEnd w:id="1232"/>
      <w:bookmarkStart w:id="1233" w:name="_Toc189042699"/>
      <w:bookmarkEnd w:id="1233"/>
      <w:bookmarkStart w:id="1234" w:name="_Toc189042712"/>
      <w:bookmarkEnd w:id="1234"/>
      <w:bookmarkStart w:id="1235" w:name="_Toc189042707"/>
      <w:bookmarkEnd w:id="1235"/>
      <w:bookmarkStart w:id="1236" w:name="_Toc187677830"/>
      <w:bookmarkEnd w:id="1236"/>
      <w:bookmarkStart w:id="1237" w:name="_Toc189042702"/>
      <w:bookmarkEnd w:id="1237"/>
      <w:bookmarkStart w:id="1238" w:name="_Toc187677834"/>
      <w:bookmarkEnd w:id="1238"/>
      <w:bookmarkStart w:id="1239" w:name="_Toc187677842"/>
      <w:bookmarkEnd w:id="1239"/>
      <w:bookmarkStart w:id="1240" w:name="_Toc189042704"/>
      <w:bookmarkEnd w:id="1240"/>
      <w:bookmarkStart w:id="1241" w:name="_Toc187677838"/>
      <w:bookmarkEnd w:id="1241"/>
      <w:bookmarkStart w:id="1242" w:name="_Toc187677841"/>
      <w:bookmarkEnd w:id="1242"/>
      <w:bookmarkStart w:id="1243" w:name="_Toc189042715"/>
      <w:bookmarkEnd w:id="1243"/>
      <w:bookmarkStart w:id="1244" w:name="_Toc187677853"/>
      <w:bookmarkEnd w:id="1244"/>
      <w:bookmarkStart w:id="1245" w:name="_Toc189042721"/>
      <w:bookmarkEnd w:id="1245"/>
      <w:bookmarkStart w:id="1246" w:name="_Toc189042722"/>
      <w:bookmarkEnd w:id="1246"/>
      <w:bookmarkStart w:id="1247" w:name="_Toc187677856"/>
      <w:bookmarkEnd w:id="1247"/>
      <w:bookmarkStart w:id="1248" w:name="_Toc187677848"/>
      <w:bookmarkEnd w:id="1248"/>
      <w:bookmarkStart w:id="1249" w:name="_Toc189042720"/>
      <w:bookmarkEnd w:id="1249"/>
      <w:bookmarkStart w:id="1250" w:name="_Toc189042728"/>
      <w:bookmarkEnd w:id="1250"/>
      <w:bookmarkStart w:id="1251" w:name="_Toc187677843"/>
      <w:bookmarkEnd w:id="1251"/>
      <w:bookmarkStart w:id="1252" w:name="_Toc187677858"/>
      <w:bookmarkEnd w:id="1252"/>
      <w:bookmarkStart w:id="1253" w:name="_Toc189042729"/>
      <w:bookmarkEnd w:id="1253"/>
      <w:bookmarkStart w:id="1254" w:name="_Toc187677851"/>
      <w:bookmarkEnd w:id="1254"/>
      <w:bookmarkStart w:id="1255" w:name="_Toc187677859"/>
      <w:bookmarkEnd w:id="1255"/>
      <w:bookmarkStart w:id="1256" w:name="_Toc189042725"/>
      <w:bookmarkEnd w:id="1256"/>
      <w:bookmarkStart w:id="1257" w:name="_Toc189042714"/>
      <w:bookmarkEnd w:id="1257"/>
      <w:bookmarkStart w:id="1258" w:name="_Toc189042719"/>
      <w:bookmarkEnd w:id="1258"/>
      <w:bookmarkStart w:id="1259" w:name="_Toc187677857"/>
      <w:bookmarkEnd w:id="1259"/>
      <w:bookmarkStart w:id="1260" w:name="_Toc187677847"/>
      <w:bookmarkEnd w:id="1260"/>
      <w:bookmarkStart w:id="1261" w:name="_Toc189042730"/>
      <w:bookmarkEnd w:id="1261"/>
      <w:bookmarkStart w:id="1262" w:name="_Toc187677849"/>
      <w:bookmarkEnd w:id="1262"/>
      <w:bookmarkStart w:id="1263" w:name="_Toc187677854"/>
      <w:bookmarkEnd w:id="1263"/>
      <w:bookmarkStart w:id="1264" w:name="_Toc189042727"/>
      <w:bookmarkEnd w:id="1264"/>
      <w:bookmarkStart w:id="1265" w:name="_Toc187677860"/>
      <w:bookmarkEnd w:id="1265"/>
      <w:bookmarkStart w:id="1266" w:name="_Toc189042731"/>
      <w:bookmarkEnd w:id="1266"/>
      <w:bookmarkStart w:id="1267" w:name="_Toc187677852"/>
      <w:bookmarkEnd w:id="1267"/>
      <w:bookmarkStart w:id="1268" w:name="_Toc187677846"/>
      <w:bookmarkEnd w:id="1268"/>
      <w:bookmarkStart w:id="1269" w:name="_Toc189042718"/>
      <w:bookmarkEnd w:id="1269"/>
      <w:bookmarkStart w:id="1270" w:name="_Toc189042723"/>
      <w:bookmarkEnd w:id="1270"/>
      <w:bookmarkStart w:id="1271" w:name="_Toc189042724"/>
      <w:bookmarkEnd w:id="1271"/>
      <w:bookmarkStart w:id="1272" w:name="_Toc187677850"/>
      <w:bookmarkEnd w:id="1272"/>
      <w:bookmarkStart w:id="1273" w:name="_Toc187677844"/>
      <w:bookmarkEnd w:id="1273"/>
      <w:bookmarkStart w:id="1274" w:name="_Toc189042717"/>
      <w:bookmarkEnd w:id="1274"/>
      <w:bookmarkStart w:id="1275" w:name="_Toc189042738"/>
      <w:bookmarkEnd w:id="1275"/>
      <w:bookmarkStart w:id="1276" w:name="_Toc189042734"/>
      <w:bookmarkEnd w:id="1276"/>
      <w:bookmarkStart w:id="1277" w:name="_Toc187677868"/>
      <w:bookmarkEnd w:id="1277"/>
      <w:bookmarkStart w:id="1278" w:name="_Toc187677876"/>
      <w:bookmarkEnd w:id="1278"/>
      <w:bookmarkStart w:id="1279" w:name="_Toc187677862"/>
      <w:bookmarkEnd w:id="1279"/>
      <w:bookmarkStart w:id="1280" w:name="_Toc189042737"/>
      <w:bookmarkEnd w:id="1280"/>
      <w:bookmarkStart w:id="1281" w:name="_Toc187677861"/>
      <w:bookmarkEnd w:id="1281"/>
      <w:bookmarkStart w:id="1282" w:name="_Toc187677870"/>
      <w:bookmarkEnd w:id="1282"/>
      <w:bookmarkStart w:id="1283" w:name="_Toc187677869"/>
      <w:bookmarkEnd w:id="1283"/>
      <w:bookmarkStart w:id="1284" w:name="_Toc189042739"/>
      <w:bookmarkEnd w:id="1284"/>
      <w:bookmarkStart w:id="1285" w:name="_Toc189042733"/>
      <w:bookmarkEnd w:id="1285"/>
      <w:bookmarkStart w:id="1286" w:name="_Toc187677866"/>
      <w:bookmarkEnd w:id="1286"/>
      <w:bookmarkStart w:id="1287" w:name="_Toc187677863"/>
      <w:bookmarkEnd w:id="1287"/>
      <w:bookmarkStart w:id="1288" w:name="_Toc187677871"/>
      <w:bookmarkEnd w:id="1288"/>
      <w:bookmarkStart w:id="1289" w:name="_Toc187677874"/>
      <w:bookmarkEnd w:id="1289"/>
      <w:bookmarkStart w:id="1290" w:name="_Toc187677877"/>
      <w:bookmarkEnd w:id="1290"/>
      <w:bookmarkStart w:id="1291" w:name="_Toc189042748"/>
      <w:bookmarkEnd w:id="1291"/>
      <w:bookmarkStart w:id="1292" w:name="_Toc187677878"/>
      <w:bookmarkEnd w:id="1292"/>
      <w:bookmarkStart w:id="1293" w:name="_Toc189042749"/>
      <w:bookmarkEnd w:id="1293"/>
      <w:bookmarkStart w:id="1294" w:name="_Toc189042745"/>
      <w:bookmarkEnd w:id="1294"/>
      <w:bookmarkStart w:id="1295" w:name="_Toc189042744"/>
      <w:bookmarkEnd w:id="1295"/>
      <w:bookmarkStart w:id="1296" w:name="_Toc189042742"/>
      <w:bookmarkEnd w:id="1296"/>
      <w:bookmarkStart w:id="1297" w:name="_Toc189042747"/>
      <w:bookmarkEnd w:id="1297"/>
      <w:bookmarkStart w:id="1298" w:name="_Toc189042741"/>
      <w:bookmarkEnd w:id="1298"/>
      <w:bookmarkStart w:id="1299" w:name="_Toc189042732"/>
      <w:bookmarkEnd w:id="1299"/>
      <w:bookmarkStart w:id="1300" w:name="_Toc189042735"/>
      <w:bookmarkEnd w:id="1300"/>
      <w:bookmarkStart w:id="1301" w:name="_Toc187677867"/>
      <w:bookmarkEnd w:id="1301"/>
      <w:bookmarkStart w:id="1302" w:name="_Toc187677864"/>
      <w:bookmarkEnd w:id="1302"/>
      <w:bookmarkStart w:id="1303" w:name="_Toc187677872"/>
      <w:bookmarkEnd w:id="1303"/>
      <w:bookmarkStart w:id="1304" w:name="_Toc189042743"/>
      <w:bookmarkEnd w:id="1304"/>
      <w:bookmarkStart w:id="1305" w:name="_Toc189042740"/>
      <w:bookmarkEnd w:id="1305"/>
      <w:bookmarkStart w:id="1306" w:name="_Toc187677873"/>
      <w:bookmarkEnd w:id="1306"/>
      <w:bookmarkStart w:id="1307" w:name="_Toc189042758"/>
      <w:bookmarkEnd w:id="1307"/>
      <w:bookmarkStart w:id="1308" w:name="_Toc189042760"/>
      <w:bookmarkEnd w:id="1308"/>
      <w:bookmarkStart w:id="1309" w:name="_Toc187677890"/>
      <w:bookmarkEnd w:id="1309"/>
      <w:bookmarkStart w:id="1310" w:name="_Toc187677881"/>
      <w:bookmarkEnd w:id="1310"/>
      <w:bookmarkStart w:id="1311" w:name="_Toc187677883"/>
      <w:bookmarkEnd w:id="1311"/>
      <w:bookmarkStart w:id="1312" w:name="_Toc187677892"/>
      <w:bookmarkEnd w:id="1312"/>
      <w:bookmarkStart w:id="1313" w:name="_Toc187677880"/>
      <w:bookmarkEnd w:id="1313"/>
      <w:bookmarkStart w:id="1314" w:name="_Toc187677893"/>
      <w:bookmarkEnd w:id="1314"/>
      <w:bookmarkStart w:id="1315" w:name="_Toc187677882"/>
      <w:bookmarkEnd w:id="1315"/>
      <w:bookmarkStart w:id="1316" w:name="_Toc187677888"/>
      <w:bookmarkEnd w:id="1316"/>
      <w:bookmarkStart w:id="1317" w:name="_Toc187677894"/>
      <w:bookmarkEnd w:id="1317"/>
      <w:bookmarkStart w:id="1318" w:name="_Toc187677889"/>
      <w:bookmarkEnd w:id="1318"/>
      <w:bookmarkStart w:id="1319" w:name="_Toc187677891"/>
      <w:bookmarkEnd w:id="1319"/>
      <w:bookmarkStart w:id="1320" w:name="_Toc189042762"/>
      <w:bookmarkEnd w:id="1320"/>
      <w:bookmarkStart w:id="1321" w:name="_Toc187677887"/>
      <w:bookmarkEnd w:id="1321"/>
      <w:bookmarkStart w:id="1322" w:name="_Toc189042765"/>
      <w:bookmarkEnd w:id="1322"/>
      <w:bookmarkStart w:id="1323" w:name="_Toc189042750"/>
      <w:bookmarkEnd w:id="1323"/>
      <w:bookmarkStart w:id="1324" w:name="_Toc187677896"/>
      <w:bookmarkEnd w:id="1324"/>
      <w:bookmarkStart w:id="1325" w:name="_Toc189042767"/>
      <w:bookmarkEnd w:id="1325"/>
      <w:bookmarkStart w:id="1326" w:name="_Toc189042759"/>
      <w:bookmarkEnd w:id="1326"/>
      <w:bookmarkStart w:id="1327" w:name="_Toc189042754"/>
      <w:bookmarkEnd w:id="1327"/>
      <w:bookmarkStart w:id="1328" w:name="_Toc189042751"/>
      <w:bookmarkEnd w:id="1328"/>
      <w:bookmarkStart w:id="1329" w:name="_Toc189042753"/>
      <w:bookmarkEnd w:id="1329"/>
      <w:bookmarkStart w:id="1330" w:name="_Toc187677886"/>
      <w:bookmarkEnd w:id="1330"/>
      <w:bookmarkStart w:id="1331" w:name="_Toc189042757"/>
      <w:bookmarkEnd w:id="1331"/>
      <w:bookmarkStart w:id="1332" w:name="_Toc187677884"/>
      <w:bookmarkEnd w:id="1332"/>
      <w:bookmarkStart w:id="1333" w:name="_Toc189042763"/>
      <w:bookmarkEnd w:id="1333"/>
      <w:bookmarkStart w:id="1334" w:name="_Toc189042764"/>
      <w:bookmarkEnd w:id="1334"/>
      <w:bookmarkStart w:id="1335" w:name="_Toc189042761"/>
      <w:bookmarkEnd w:id="1335"/>
      <w:bookmarkStart w:id="1336" w:name="_Toc189042755"/>
      <w:bookmarkEnd w:id="1336"/>
      <w:bookmarkStart w:id="1337" w:name="_Toc187677879"/>
      <w:bookmarkEnd w:id="1337"/>
      <w:bookmarkStart w:id="1338" w:name="_Toc189042752"/>
      <w:bookmarkEnd w:id="1338"/>
      <w:bookmarkStart w:id="1339" w:name="_Toc189042783"/>
      <w:bookmarkEnd w:id="1339"/>
      <w:bookmarkStart w:id="1340" w:name="_Toc187677913"/>
      <w:bookmarkEnd w:id="1340"/>
      <w:bookmarkStart w:id="1341" w:name="_Toc189042771"/>
      <w:bookmarkEnd w:id="1341"/>
      <w:bookmarkStart w:id="1342" w:name="_Toc189042773"/>
      <w:bookmarkEnd w:id="1342"/>
      <w:bookmarkStart w:id="1343" w:name="_Toc187677904"/>
      <w:bookmarkEnd w:id="1343"/>
      <w:bookmarkStart w:id="1344" w:name="_Toc187677907"/>
      <w:bookmarkEnd w:id="1344"/>
      <w:bookmarkStart w:id="1345" w:name="_Toc187677906"/>
      <w:bookmarkEnd w:id="1345"/>
      <w:bookmarkStart w:id="1346" w:name="_Toc187677902"/>
      <w:bookmarkEnd w:id="1346"/>
      <w:bookmarkStart w:id="1347" w:name="_Toc189042779"/>
      <w:bookmarkEnd w:id="1347"/>
      <w:bookmarkStart w:id="1348" w:name="_Toc189042769"/>
      <w:bookmarkEnd w:id="1348"/>
      <w:bookmarkStart w:id="1349" w:name="_Toc187677903"/>
      <w:bookmarkEnd w:id="1349"/>
      <w:bookmarkStart w:id="1350" w:name="_Toc187677910"/>
      <w:bookmarkEnd w:id="1350"/>
      <w:bookmarkStart w:id="1351" w:name="_Toc187677912"/>
      <w:bookmarkEnd w:id="1351"/>
      <w:bookmarkStart w:id="1352" w:name="_Toc187677901"/>
      <w:bookmarkEnd w:id="1352"/>
      <w:bookmarkStart w:id="1353" w:name="_Toc189042784"/>
      <w:bookmarkEnd w:id="1353"/>
      <w:bookmarkStart w:id="1354" w:name="_Toc187677898"/>
      <w:bookmarkEnd w:id="1354"/>
      <w:bookmarkStart w:id="1355" w:name="_Toc187677900"/>
      <w:bookmarkEnd w:id="1355"/>
      <w:bookmarkStart w:id="1356" w:name="_Toc189042777"/>
      <w:bookmarkEnd w:id="1356"/>
      <w:bookmarkStart w:id="1357" w:name="_Toc189042774"/>
      <w:bookmarkEnd w:id="1357"/>
      <w:bookmarkStart w:id="1358" w:name="_Toc189042781"/>
      <w:bookmarkEnd w:id="1358"/>
      <w:bookmarkStart w:id="1359" w:name="_Toc189042778"/>
      <w:bookmarkEnd w:id="1359"/>
      <w:bookmarkStart w:id="1360" w:name="_Toc187677897"/>
      <w:bookmarkEnd w:id="1360"/>
      <w:bookmarkStart w:id="1361" w:name="_Toc187677899"/>
      <w:bookmarkEnd w:id="1361"/>
      <w:bookmarkStart w:id="1362" w:name="_Toc189042770"/>
      <w:bookmarkEnd w:id="1362"/>
      <w:bookmarkStart w:id="1363" w:name="_Toc189042768"/>
      <w:bookmarkEnd w:id="1363"/>
      <w:bookmarkStart w:id="1364" w:name="_Toc189042775"/>
      <w:bookmarkEnd w:id="1364"/>
      <w:bookmarkStart w:id="1365" w:name="_Toc187677909"/>
      <w:bookmarkEnd w:id="1365"/>
      <w:bookmarkStart w:id="1366" w:name="_Toc189042772"/>
      <w:bookmarkEnd w:id="1366"/>
      <w:bookmarkStart w:id="1367" w:name="_Toc187677908"/>
      <w:bookmarkEnd w:id="1367"/>
      <w:bookmarkStart w:id="1368" w:name="_Toc189042780"/>
      <w:bookmarkEnd w:id="1368"/>
      <w:bookmarkStart w:id="1369" w:name="_Toc187677911"/>
      <w:bookmarkEnd w:id="1369"/>
      <w:bookmarkStart w:id="1370" w:name="_Toc189042782"/>
      <w:bookmarkEnd w:id="1370"/>
      <w:bookmarkStart w:id="1371" w:name="_Toc187677917"/>
      <w:bookmarkEnd w:id="1371"/>
      <w:bookmarkStart w:id="1372" w:name="_Toc189042794"/>
      <w:bookmarkEnd w:id="1372"/>
      <w:bookmarkStart w:id="1373" w:name="_Toc189042785"/>
      <w:bookmarkEnd w:id="1373"/>
      <w:bookmarkStart w:id="1374" w:name="_Toc187677921"/>
      <w:bookmarkEnd w:id="1374"/>
      <w:bookmarkStart w:id="1375" w:name="_Toc187677922"/>
      <w:bookmarkEnd w:id="1375"/>
      <w:bookmarkStart w:id="1376" w:name="_Toc187677920"/>
      <w:bookmarkEnd w:id="1376"/>
      <w:bookmarkStart w:id="1377" w:name="_Toc189042802"/>
      <w:bookmarkEnd w:id="1377"/>
      <w:bookmarkStart w:id="1378" w:name="_Toc187677918"/>
      <w:bookmarkEnd w:id="1378"/>
      <w:bookmarkStart w:id="1379" w:name="_Toc187677929"/>
      <w:bookmarkEnd w:id="1379"/>
      <w:bookmarkStart w:id="1380" w:name="_Toc189042789"/>
      <w:bookmarkEnd w:id="1380"/>
      <w:bookmarkStart w:id="1381" w:name="_Toc187677916"/>
      <w:bookmarkEnd w:id="1381"/>
      <w:bookmarkStart w:id="1382" w:name="_Toc189042788"/>
      <w:bookmarkEnd w:id="1382"/>
      <w:bookmarkStart w:id="1383" w:name="_Toc189042792"/>
      <w:bookmarkEnd w:id="1383"/>
      <w:bookmarkStart w:id="1384" w:name="_Toc187677926"/>
      <w:bookmarkEnd w:id="1384"/>
      <w:bookmarkStart w:id="1385" w:name="_Toc187677914"/>
      <w:bookmarkEnd w:id="1385"/>
      <w:bookmarkStart w:id="1386" w:name="_Toc187677919"/>
      <w:bookmarkEnd w:id="1386"/>
      <w:bookmarkStart w:id="1387" w:name="_Toc189042787"/>
      <w:bookmarkEnd w:id="1387"/>
      <w:bookmarkStart w:id="1388" w:name="_Toc189042798"/>
      <w:bookmarkEnd w:id="1388"/>
      <w:bookmarkStart w:id="1389" w:name="_Toc187677930"/>
      <w:bookmarkEnd w:id="1389"/>
      <w:bookmarkStart w:id="1390" w:name="_Toc189042790"/>
      <w:bookmarkEnd w:id="1390"/>
      <w:bookmarkStart w:id="1391" w:name="_Toc189042795"/>
      <w:bookmarkEnd w:id="1391"/>
      <w:bookmarkStart w:id="1392" w:name="_Toc187677927"/>
      <w:bookmarkEnd w:id="1392"/>
      <w:bookmarkStart w:id="1393" w:name="_Toc189042801"/>
      <w:bookmarkEnd w:id="1393"/>
      <w:bookmarkStart w:id="1394" w:name="_Toc187677931"/>
      <w:bookmarkEnd w:id="1394"/>
      <w:bookmarkStart w:id="1395" w:name="_Toc189042793"/>
      <w:bookmarkEnd w:id="1395"/>
      <w:bookmarkStart w:id="1396" w:name="_Toc187677928"/>
      <w:bookmarkEnd w:id="1396"/>
      <w:bookmarkStart w:id="1397" w:name="_Toc187677924"/>
      <w:bookmarkEnd w:id="1397"/>
      <w:bookmarkStart w:id="1398" w:name="_Toc187677923"/>
      <w:bookmarkEnd w:id="1398"/>
      <w:bookmarkStart w:id="1399" w:name="_Toc189042797"/>
      <w:bookmarkEnd w:id="1399"/>
      <w:bookmarkStart w:id="1400" w:name="_Toc189042791"/>
      <w:bookmarkEnd w:id="1400"/>
      <w:bookmarkStart w:id="1401" w:name="_Toc189042799"/>
      <w:bookmarkEnd w:id="1401"/>
      <w:bookmarkStart w:id="1402" w:name="_Toc189042800"/>
      <w:bookmarkEnd w:id="1402"/>
      <w:bookmarkStart w:id="1403" w:name="_Toc187677938"/>
      <w:bookmarkEnd w:id="1403"/>
      <w:bookmarkStart w:id="1404" w:name="_Toc187677934"/>
      <w:bookmarkEnd w:id="1404"/>
      <w:bookmarkStart w:id="1405" w:name="_Toc189042809"/>
      <w:bookmarkEnd w:id="1405"/>
      <w:bookmarkStart w:id="1406" w:name="_Toc173850904"/>
      <w:bookmarkEnd w:id="1406"/>
      <w:bookmarkStart w:id="1407" w:name="_Toc189042803"/>
      <w:bookmarkEnd w:id="1407"/>
      <w:bookmarkStart w:id="1408" w:name="_Toc187677937"/>
      <w:bookmarkEnd w:id="1408"/>
      <w:bookmarkStart w:id="1409" w:name="_Toc189042811"/>
      <w:bookmarkEnd w:id="1409"/>
      <w:bookmarkStart w:id="1410" w:name="_Toc189042812"/>
      <w:bookmarkEnd w:id="1410"/>
      <w:bookmarkStart w:id="1411" w:name="_Toc189042810"/>
      <w:bookmarkEnd w:id="1411"/>
      <w:bookmarkStart w:id="1412" w:name="_Toc187677939"/>
      <w:bookmarkEnd w:id="1412"/>
      <w:bookmarkStart w:id="1413" w:name="_Toc187677933"/>
      <w:bookmarkEnd w:id="1413"/>
      <w:bookmarkStart w:id="1414" w:name="_Toc189042807"/>
      <w:bookmarkEnd w:id="1414"/>
      <w:bookmarkStart w:id="1415" w:name="_Toc189042804"/>
      <w:bookmarkEnd w:id="1415"/>
      <w:bookmarkStart w:id="1416" w:name="_Toc187677946"/>
      <w:bookmarkEnd w:id="1416"/>
      <w:bookmarkStart w:id="1417" w:name="_Toc187677944"/>
      <w:bookmarkEnd w:id="1417"/>
      <w:bookmarkStart w:id="1418" w:name="_Toc173850903"/>
      <w:bookmarkEnd w:id="1418"/>
      <w:bookmarkStart w:id="1419" w:name="_Toc173940656"/>
      <w:bookmarkEnd w:id="1419"/>
      <w:bookmarkStart w:id="1420" w:name="_Toc173850905"/>
      <w:bookmarkEnd w:id="1420"/>
      <w:bookmarkStart w:id="1421" w:name="_Toc173940657"/>
      <w:bookmarkEnd w:id="1421"/>
      <w:bookmarkStart w:id="1422" w:name="_Toc189042817"/>
      <w:bookmarkEnd w:id="1422"/>
      <w:bookmarkStart w:id="1423" w:name="_Toc189042814"/>
      <w:bookmarkEnd w:id="1423"/>
      <w:bookmarkStart w:id="1424" w:name="_Toc187677942"/>
      <w:bookmarkEnd w:id="1424"/>
      <w:bookmarkStart w:id="1425" w:name="_Toc187677943"/>
      <w:bookmarkEnd w:id="1425"/>
      <w:bookmarkStart w:id="1426" w:name="_Toc187677941"/>
      <w:bookmarkEnd w:id="1426"/>
      <w:bookmarkStart w:id="1427" w:name="_Toc187677932"/>
      <w:bookmarkEnd w:id="1427"/>
      <w:bookmarkStart w:id="1428" w:name="_Toc187677936"/>
      <w:bookmarkEnd w:id="1428"/>
      <w:bookmarkStart w:id="1429" w:name="_Toc189042808"/>
      <w:bookmarkEnd w:id="1429"/>
      <w:bookmarkStart w:id="1430" w:name="_Toc189042805"/>
      <w:bookmarkEnd w:id="1430"/>
      <w:bookmarkStart w:id="1431" w:name="_Toc189042813"/>
      <w:bookmarkEnd w:id="1431"/>
      <w:bookmarkStart w:id="1432" w:name="_Toc189042815"/>
      <w:bookmarkEnd w:id="1432"/>
      <w:bookmarkStart w:id="1433" w:name="_Toc187677940"/>
      <w:bookmarkEnd w:id="1433"/>
      <w:bookmarkStart w:id="1434" w:name="_Toc173940655"/>
      <w:bookmarkEnd w:id="1434"/>
      <w:bookmarkStart w:id="1435" w:name="_Toc189845014"/>
      <w:bookmarkStart w:id="1436" w:name="_Toc165990981"/>
      <w:r>
        <w:t>Total-power PDP report for Rel-19</w:t>
      </w:r>
      <w:bookmarkEnd w:id="1435"/>
      <w:bookmarkEnd w:id="1436"/>
    </w:p>
    <w:p w14:paraId="0F56A803">
      <w:r>
        <w:t>For a UE or a gNB equipped with multiple receive antenna ports, sources had investigated tradeoffs of using the following two different PDP input options during the SI phase:</w:t>
      </w:r>
    </w:p>
    <w:p w14:paraId="304B869A">
      <w:pPr>
        <w:pStyle w:val="133"/>
        <w:numPr>
          <w:ilvl w:val="0"/>
          <w:numId w:val="26"/>
        </w:numPr>
      </w:pPr>
      <w:r>
        <w:t>total-power PDP (summed over all antenna ports)</w:t>
      </w:r>
    </w:p>
    <w:p w14:paraId="0DDC2871">
      <m:oMathPara>
        <m:oMath>
          <m:r>
            <m:rPr/>
            <w:rPr>
              <w:rFonts w:ascii="Cambria Math" w:hAnsi="Cambria Math"/>
            </w:rPr>
            <m:t>p</m:t>
          </m:r>
          <m:d>
            <m:dPr>
              <m:begChr m:val="["/>
              <m:endChr m:val="]"/>
              <m:ctrlPr>
                <w:rPr>
                  <w:rFonts w:ascii="Cambria Math" w:hAnsi="Cambria Math"/>
                  <w:i/>
                </w:rPr>
              </m:ctrlPr>
            </m:dPr>
            <m:e>
              <m:r>
                <m:rPr/>
                <w:rPr>
                  <w:rFonts w:ascii="Cambria Math" w:hAnsi="Cambria Math"/>
                </w:rPr>
                <m:t>d</m:t>
              </m:r>
              <m:ctrlPr>
                <w:rPr>
                  <w:rFonts w:ascii="Cambria Math" w:hAnsi="Cambria Math"/>
                  <w:i/>
                </w:rPr>
              </m:ctrlPr>
            </m:e>
          </m:d>
          <m:r>
            <m:rPr/>
            <w:rPr>
              <w:rFonts w:ascii="Cambria Math" w:hAnsi="Cambria Math"/>
            </w:rPr>
            <m:t>≜</m:t>
          </m:r>
          <m:nary>
            <m:naryPr>
              <m:chr m:val="∑"/>
              <m:limLoc m:val="undOvr"/>
              <m:supHide m:val="1"/>
              <m:ctrlPr>
                <w:rPr>
                  <w:rFonts w:ascii="Cambria Math" w:hAnsi="Cambria Math"/>
                  <w:i/>
                </w:rPr>
              </m:ctrlPr>
            </m:naryPr>
            <m:sub>
              <m:r>
                <m:rPr/>
                <w:rPr>
                  <w:rFonts w:ascii="Cambria Math" w:hAnsi="Cambria Math"/>
                </w:rPr>
                <m:t>a</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a</m:t>
                          </m:r>
                          <m:ctrlPr>
                            <w:rPr>
                              <w:rFonts w:ascii="Cambria Math" w:hAnsi="Cambria Math"/>
                              <w:i/>
                            </w:rPr>
                          </m:ctrlPr>
                        </m:sub>
                      </m:sSub>
                      <m:d>
                        <m:dPr>
                          <m:begChr m:val="["/>
                          <m:endChr m:val="]"/>
                          <m:ctrlPr>
                            <w:rPr>
                              <w:rFonts w:ascii="Cambria Math" w:hAnsi="Cambria Math"/>
                              <w:i/>
                            </w:rPr>
                          </m:ctrlPr>
                        </m:dPr>
                        <m:e>
                          <m:r>
                            <m:rPr/>
                            <w:rPr>
                              <w:rFonts w:ascii="Cambria Math" w:hAnsi="Cambria Math"/>
                            </w:rPr>
                            <m:t>d</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oMath>
      </m:oMathPara>
    </w:p>
    <w:p w14:paraId="31AD403B">
      <w:pPr>
        <w:pStyle w:val="133"/>
        <w:numPr>
          <w:ilvl w:val="0"/>
          <w:numId w:val="26"/>
        </w:numPr>
      </w:pPr>
      <w:r>
        <w:t xml:space="preserve">Multi-port PDP (measurement at each receive antenna port individually) </w:t>
      </w:r>
    </w:p>
    <w:p w14:paraId="287A3E6A">
      <m:oMathPara>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[d]≜</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a</m:t>
                      </m:r>
                      <m:ctrlPr>
                        <w:rPr>
                          <w:rFonts w:ascii="Cambria Math" w:hAnsi="Cambria Math"/>
                          <w:i/>
                        </w:rPr>
                      </m:ctrlPr>
                    </m:sub>
                  </m:sSub>
                  <m:d>
                    <m:dPr>
                      <m:begChr m:val="["/>
                      <m:endChr m:val="]"/>
                      <m:ctrlPr>
                        <w:rPr>
                          <w:rFonts w:ascii="Cambria Math" w:hAnsi="Cambria Math"/>
                          <w:i/>
                        </w:rPr>
                      </m:ctrlPr>
                    </m:dPr>
                    <m:e>
                      <m:r>
                        <m:rPr/>
                        <w:rPr>
                          <w:rFonts w:ascii="Cambria Math" w:hAnsi="Cambria Math"/>
                        </w:rPr>
                        <m:t>d</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14:paraId="57216957">
      <w:r>
        <w:t>It is noted that the reference signals defined for positioning (DL PRS, UL positioning SRS) is single-port at transmit antenna. Hence 'multi-port' in this discussion refers to receive antenna ports only.</w:t>
      </w:r>
    </w:p>
    <w:p w14:paraId="4ACDA514">
      <w:r>
        <w:t xml:space="preserve">One set of evaluation results are copied in </w:t>
      </w:r>
      <w:r>
        <w:fldChar w:fldCharType="begin"/>
      </w:r>
      <w:r>
        <w:instrText xml:space="preserve"> REF _Ref134019909 \h </w:instrText>
      </w:r>
      <w:r>
        <w:fldChar w:fldCharType="separate"/>
      </w:r>
      <w:r>
        <w:t>Table 1</w:t>
      </w:r>
      <w:r>
        <w:fldChar w:fldCharType="end"/>
      </w:r>
      <w:r>
        <w:t xml:space="preserve"> where the 90%tile positioning errors of using 2-port PDP or the summed PDP are compared. It can be observed that</w:t>
      </w:r>
    </w:p>
    <w:p w14:paraId="7261146C">
      <w:pPr>
        <w:pStyle w:val="133"/>
        <w:numPr>
          <w:ilvl w:val="0"/>
          <w:numId w:val="26"/>
        </w:numPr>
      </w:pPr>
      <w:r>
        <w:t>The 2-port PDP input type doubles the signal sizes, requires higher computational complexity, and achieves marginal performance improvements when compared to the total PDP input type.</w:t>
      </w:r>
    </w:p>
    <w:p w14:paraId="20A23B87">
      <w:pPr>
        <w:pStyle w:val="133"/>
        <w:numPr>
          <w:ilvl w:val="0"/>
          <w:numId w:val="26"/>
        </w:numPr>
      </w:pPr>
      <w:r>
        <w:t>Using only 1-port to compute PDP discards signal power and radio channel information that is readily available at the measurement node, which causes lower positioning accuracy when compared to the total PDP input type. The positioning accuracy degradation ranges from 11% with very large training datasets to 20% with smaller training datasets.</w:t>
      </w:r>
    </w:p>
    <w:p w14:paraId="0AB11EA1"/>
    <w:p w14:paraId="6902DC38">
      <w:pPr>
        <w:pStyle w:val="97"/>
      </w:pPr>
      <w:bookmarkStart w:id="1437" w:name="_Toc161827806"/>
      <w:bookmarkStart w:id="1438" w:name="_Toc189845064"/>
      <w:bookmarkStart w:id="1439" w:name="_Toc142672294"/>
      <w:bookmarkStart w:id="1440" w:name="_Toc158978316"/>
      <w:r>
        <w:t>When compared to the total-power PDP input type, the 2-port PDP input type (1) doubles the signal sizes; (2) requires higher computational complexity; and (3) achieves marginal performance improvements.</w:t>
      </w:r>
      <w:bookmarkEnd w:id="1437"/>
      <w:bookmarkEnd w:id="1438"/>
      <w:bookmarkEnd w:id="1439"/>
      <w:bookmarkEnd w:id="1440"/>
    </w:p>
    <w:p w14:paraId="62D4A29E">
      <w:pPr>
        <w:pStyle w:val="97"/>
      </w:pPr>
      <w:bookmarkStart w:id="1441" w:name="_Toc158978317"/>
      <w:bookmarkStart w:id="1442" w:name="_Toc189845065"/>
      <w:bookmarkStart w:id="1443" w:name="_Toc161827807"/>
      <w:r>
        <w:t>When compared to the total-power PDP input type, the 1-port PDP input type (1) discards signal power and radio channel information that is readily available, and (2) achieves lower positioning accuracy.</w:t>
      </w:r>
      <w:bookmarkEnd w:id="1441"/>
      <w:bookmarkEnd w:id="1442"/>
      <w:bookmarkEnd w:id="1443"/>
    </w:p>
    <w:p w14:paraId="7EDA7DF6"/>
    <w:p w14:paraId="2A75C505">
      <w:pPr>
        <w:pStyle w:val="29"/>
        <w:rPr>
          <w:lang w:eastAsia="ja-JP"/>
        </w:rPr>
      </w:pPr>
      <w:bookmarkStart w:id="1444" w:name="_Ref134019909"/>
      <w:r>
        <w:t xml:space="preserve">Table </w:t>
      </w:r>
      <w:r>
        <w:fldChar w:fldCharType="begin"/>
      </w:r>
      <w:r>
        <w:instrText xml:space="preserve">SEQ Table \* ARABIC</w:instrText>
      </w:r>
      <w:r>
        <w:fldChar w:fldCharType="separate"/>
      </w:r>
      <w:r>
        <w:t>1</w:t>
      </w:r>
      <w:r>
        <w:fldChar w:fldCharType="end"/>
      </w:r>
      <w:bookmarkEnd w:id="1444"/>
      <w:r>
        <w:t xml:space="preserve"> </w:t>
      </w:r>
      <w:r>
        <w:rPr>
          <w:lang w:eastAsia="ja-JP"/>
        </w:rPr>
        <w:t xml:space="preserve">90%tile </w:t>
      </w:r>
      <w:r>
        <w:t xml:space="preserve">2D positioning accuracy (meters) using summed total-power PDP or 2-port PDP inputs for the small models and different training dataset sizes in the </w:t>
      </w:r>
      <w:r>
        <w:rPr>
          <w:lang w:eastAsia="ja-JP"/>
        </w:rPr>
        <w:t>{60%, 6m, 2m} InF-DH scenario</w:t>
      </w:r>
      <w:r>
        <w:t xml:space="preserve">. </w:t>
      </w:r>
      <m:oMath>
        <m:sSub>
          <m:sSubPr>
            <m:ctrlPr>
              <w:rPr>
                <w:rFonts w:ascii="Cambria Math" w:hAnsi="Cambria Math"/>
                <w:i/>
              </w:rPr>
            </m:ctrlPr>
          </m:sSubPr>
          <m:e>
            <m:r>
              <m:rPr>
                <m:sty m:val="bi"/>
              </m:rPr>
              <w:rPr>
                <w:rFonts w:ascii="Cambria Math" w:hAnsi="Cambria Math"/>
              </w:rPr>
              <m:t>N</m:t>
            </m:r>
            <m:ctrlPr>
              <w:rPr>
                <w:rFonts w:ascii="Cambria Math" w:hAnsi="Cambria Math"/>
                <w:i/>
              </w:rPr>
            </m:ctrlPr>
          </m:e>
          <m:sub>
            <m:r>
              <m:rPr>
                <m:sty m:val="bi"/>
              </m:rPr>
              <w:rPr>
                <w:rFonts w:ascii="Cambria Math" w:hAnsi="Cambria Math"/>
                <w:vertAlign w:val="subscript"/>
              </w:rPr>
              <m:t>t</m:t>
            </m:r>
            <m:ctrlPr>
              <w:rPr>
                <w:rFonts w:ascii="Cambria Math" w:hAnsi="Cambria Math"/>
                <w:i/>
              </w:rPr>
            </m:ctrlPr>
          </m:sub>
        </m:sSub>
        <m:r>
          <m:rPr>
            <m:sty m:val="bi"/>
          </m:rPr>
          <w:rPr>
            <w:rFonts w:ascii="Cambria Math" w:hAnsi="Cambria Math"/>
          </w:rPr>
          <m:t>=</m:t>
        </m:r>
        <m:sSubSup>
          <m:sSubSupPr>
            <m:ctrlPr>
              <w:rPr>
                <w:rFonts w:ascii="Cambria Math" w:hAnsi="Cambria Math"/>
                <w:i/>
              </w:rPr>
            </m:ctrlPr>
          </m:sSubSupPr>
          <m:e>
            <m:r>
              <m:rPr>
                <m:sty m:val="bi"/>
              </m:rPr>
              <w:rPr>
                <w:rFonts w:ascii="Cambria Math" w:hAnsi="Cambria Math"/>
              </w:rPr>
              <m:t>N</m:t>
            </m:r>
            <m:ctrlPr>
              <w:rPr>
                <w:rFonts w:ascii="Cambria Math" w:hAnsi="Cambria Math"/>
                <w:i/>
              </w:rPr>
            </m:ctrlPr>
          </m:e>
          <m:sub>
            <m:r>
              <m:rPr>
                <m:sty m:val="bi"/>
              </m:rPr>
              <w:rPr>
                <w:rFonts w:ascii="Cambria Math" w:hAnsi="Cambria Math"/>
              </w:rPr>
              <m:t>t</m:t>
            </m:r>
            <m:ctrlPr>
              <w:rPr>
                <w:rFonts w:ascii="Cambria Math" w:hAnsi="Cambria Math"/>
                <w:i/>
              </w:rPr>
            </m:ctrlPr>
          </m:sub>
          <m:sup>
            <m:r>
              <m:rPr>
                <m:sty m:val="bi"/>
              </m:rPr>
              <w:rPr>
                <w:rFonts w:ascii="Cambria Math" w:hAnsi="Cambria Math"/>
              </w:rPr>
              <m:t>'</m:t>
            </m:r>
            <m:ctrlPr>
              <w:rPr>
                <w:rFonts w:ascii="Cambria Math" w:hAnsi="Cambria Math"/>
                <w:i/>
              </w:rPr>
            </m:ctrlPr>
          </m:sup>
        </m:sSubSup>
        <m:r>
          <m:rPr>
            <m:sty m:val="bi"/>
          </m:rPr>
          <w:rPr>
            <w:rFonts w:ascii="Cambria Math" w:hAnsi="Cambria Math"/>
          </w:rPr>
          <m:t>=256</m:t>
        </m:r>
      </m:oMath>
      <w:r>
        <w:t xml:space="preserve">. The positioning accuracy is for the “small model” for centralized direct positioning trained with 40,000 samples </w:t>
      </w:r>
      <w:r>
        <w:fldChar w:fldCharType="begin"/>
      </w:r>
      <w:r>
        <w:instrText xml:space="preserve"> REF _Ref158730650 \r \h </w:instrText>
      </w:r>
      <w:r>
        <w:fldChar w:fldCharType="separate"/>
      </w:r>
      <w:r>
        <w:t>[6]</w:t>
      </w:r>
      <w:r>
        <w:fldChar w:fldCharType="end"/>
      </w:r>
      <w:r>
        <w:t>.</w:t>
      </w:r>
    </w:p>
    <w:tbl>
      <w:tblPr>
        <w:tblStyle w:val="52"/>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8"/>
        <w:gridCol w:w="1575"/>
        <w:gridCol w:w="1642"/>
        <w:gridCol w:w="1188"/>
        <w:gridCol w:w="1188"/>
        <w:gridCol w:w="1188"/>
        <w:gridCol w:w="1188"/>
      </w:tblGrid>
      <w:tr w14:paraId="617E9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vMerge w:val="restart"/>
            <w:vAlign w:val="center"/>
          </w:tcPr>
          <w:p w14:paraId="03141CDF">
            <w:pPr>
              <w:spacing w:before="60" w:after="60"/>
              <w:jc w:val="center"/>
              <w:rPr>
                <w:sz w:val="20"/>
                <w:szCs w:val="20"/>
              </w:rPr>
            </w:pPr>
            <w:r>
              <w:rPr>
                <w:sz w:val="20"/>
                <w:szCs w:val="20"/>
              </w:rPr>
              <w:t>Input</w:t>
            </w:r>
          </w:p>
        </w:tc>
        <w:tc>
          <w:tcPr>
            <w:tcW w:w="1575" w:type="dxa"/>
            <w:vMerge w:val="restart"/>
            <w:vAlign w:val="center"/>
          </w:tcPr>
          <w:p w14:paraId="7CE3F6E6">
            <w:pPr>
              <w:spacing w:before="60" w:after="60"/>
              <w:jc w:val="center"/>
              <w:rPr>
                <w:sz w:val="20"/>
                <w:szCs w:val="20"/>
              </w:rPr>
            </w:pPr>
            <w:r>
              <w:rPr>
                <w:sz w:val="20"/>
                <w:szCs w:val="20"/>
              </w:rPr>
              <w:t>Model complexity</w:t>
            </w:r>
            <w:r>
              <w:rPr>
                <w:sz w:val="20"/>
                <w:szCs w:val="20"/>
              </w:rPr>
              <w:br w:type="textWrapping"/>
            </w:r>
            <w:r>
              <w:rPr>
                <w:sz w:val="20"/>
                <w:szCs w:val="20"/>
              </w:rPr>
              <w:t>[# parameters]</w:t>
            </w:r>
          </w:p>
        </w:tc>
        <w:tc>
          <w:tcPr>
            <w:tcW w:w="1642" w:type="dxa"/>
            <w:vMerge w:val="restart"/>
            <w:vAlign w:val="center"/>
          </w:tcPr>
          <w:p w14:paraId="5083C293">
            <w:pPr>
              <w:spacing w:before="60" w:after="60"/>
              <w:jc w:val="center"/>
              <w:rPr>
                <w:sz w:val="20"/>
                <w:szCs w:val="20"/>
              </w:rPr>
            </w:pPr>
            <w:r>
              <w:rPr>
                <w:sz w:val="20"/>
                <w:szCs w:val="20"/>
              </w:rPr>
              <w:t>Computational complexity</w:t>
            </w:r>
            <w:r>
              <w:rPr>
                <w:sz w:val="20"/>
                <w:szCs w:val="20"/>
              </w:rPr>
              <w:br w:type="textWrapping"/>
            </w:r>
            <w:r>
              <w:rPr>
                <w:sz w:val="20"/>
                <w:szCs w:val="20"/>
              </w:rPr>
              <w:t>[FLOPs]</w:t>
            </w:r>
          </w:p>
        </w:tc>
        <w:tc>
          <w:tcPr>
            <w:tcW w:w="4752" w:type="dxa"/>
            <w:gridSpan w:val="4"/>
            <w:vAlign w:val="center"/>
          </w:tcPr>
          <w:p w14:paraId="69CC6654">
            <w:pPr>
              <w:spacing w:before="60" w:after="60"/>
              <w:jc w:val="center"/>
              <w:rPr>
                <w:sz w:val="20"/>
                <w:szCs w:val="20"/>
              </w:rPr>
            </w:pPr>
            <w:r>
              <w:rPr>
                <w:sz w:val="20"/>
                <w:szCs w:val="20"/>
              </w:rPr>
              <w:t>90%tile 2D positioning error [m]</w:t>
            </w:r>
            <w:r>
              <w:rPr>
                <w:sz w:val="20"/>
                <w:szCs w:val="20"/>
              </w:rPr>
              <w:br w:type="textWrapping"/>
            </w:r>
            <w:r>
              <w:rPr>
                <w:sz w:val="20"/>
                <w:szCs w:val="20"/>
              </w:rPr>
              <w:t xml:space="preserve">with different train set sizes in </w:t>
            </w:r>
            <w:r>
              <w:rPr>
                <w:sz w:val="20"/>
                <w:szCs w:val="20"/>
              </w:rPr>
              <w:br w:type="textWrapping"/>
            </w:r>
            <w:r>
              <w:rPr>
                <w:sz w:val="20"/>
                <w:szCs w:val="20"/>
              </w:rPr>
              <w:t>{60%, 6m, 2m} InF-DH</w:t>
            </w:r>
          </w:p>
        </w:tc>
      </w:tr>
      <w:tr w14:paraId="6B4E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vMerge w:val="continue"/>
            <w:tcBorders>
              <w:bottom w:val="double" w:color="auto" w:sz="4" w:space="0"/>
            </w:tcBorders>
            <w:vAlign w:val="center"/>
          </w:tcPr>
          <w:p w14:paraId="509C2E5F">
            <w:pPr>
              <w:spacing w:before="60" w:after="60"/>
              <w:jc w:val="center"/>
              <w:rPr>
                <w:sz w:val="20"/>
                <w:szCs w:val="20"/>
              </w:rPr>
            </w:pPr>
          </w:p>
        </w:tc>
        <w:tc>
          <w:tcPr>
            <w:tcW w:w="1575" w:type="dxa"/>
            <w:vMerge w:val="continue"/>
            <w:tcBorders>
              <w:bottom w:val="double" w:color="auto" w:sz="4" w:space="0"/>
            </w:tcBorders>
            <w:vAlign w:val="center"/>
          </w:tcPr>
          <w:p w14:paraId="649D40ED">
            <w:pPr>
              <w:spacing w:before="60" w:after="60"/>
              <w:jc w:val="center"/>
              <w:rPr>
                <w:sz w:val="20"/>
                <w:szCs w:val="20"/>
              </w:rPr>
            </w:pPr>
          </w:p>
        </w:tc>
        <w:tc>
          <w:tcPr>
            <w:tcW w:w="1642" w:type="dxa"/>
            <w:vMerge w:val="continue"/>
            <w:tcBorders>
              <w:bottom w:val="double" w:color="auto" w:sz="4" w:space="0"/>
            </w:tcBorders>
            <w:vAlign w:val="center"/>
          </w:tcPr>
          <w:p w14:paraId="7FD0A38D">
            <w:pPr>
              <w:spacing w:before="60" w:after="60"/>
              <w:jc w:val="center"/>
              <w:rPr>
                <w:sz w:val="20"/>
                <w:szCs w:val="20"/>
              </w:rPr>
            </w:pPr>
          </w:p>
        </w:tc>
        <w:tc>
          <w:tcPr>
            <w:tcW w:w="1188" w:type="dxa"/>
            <w:tcBorders>
              <w:bottom w:val="double" w:color="auto" w:sz="4" w:space="0"/>
            </w:tcBorders>
            <w:vAlign w:val="center"/>
          </w:tcPr>
          <w:p w14:paraId="021F682A">
            <w:pPr>
              <w:spacing w:before="60" w:after="60"/>
              <w:jc w:val="center"/>
              <w:rPr>
                <w:sz w:val="20"/>
                <w:szCs w:val="20"/>
              </w:rPr>
            </w:pPr>
            <w:r>
              <w:rPr>
                <w:sz w:val="20"/>
                <w:szCs w:val="20"/>
              </w:rPr>
              <w:t>80,000</w:t>
            </w:r>
          </w:p>
        </w:tc>
        <w:tc>
          <w:tcPr>
            <w:tcW w:w="1188" w:type="dxa"/>
            <w:tcBorders>
              <w:bottom w:val="double" w:color="auto" w:sz="4" w:space="0"/>
            </w:tcBorders>
            <w:vAlign w:val="center"/>
          </w:tcPr>
          <w:p w14:paraId="09EBC431">
            <w:pPr>
              <w:spacing w:before="60" w:after="60"/>
              <w:jc w:val="center"/>
              <w:rPr>
                <w:sz w:val="20"/>
                <w:szCs w:val="20"/>
              </w:rPr>
            </w:pPr>
            <w:r>
              <w:rPr>
                <w:sz w:val="20"/>
                <w:szCs w:val="20"/>
              </w:rPr>
              <w:t>40,000</w:t>
            </w:r>
          </w:p>
        </w:tc>
        <w:tc>
          <w:tcPr>
            <w:tcW w:w="1188" w:type="dxa"/>
            <w:tcBorders>
              <w:bottom w:val="double" w:color="auto" w:sz="4" w:space="0"/>
            </w:tcBorders>
            <w:vAlign w:val="center"/>
          </w:tcPr>
          <w:p w14:paraId="34D2305F">
            <w:pPr>
              <w:spacing w:before="60" w:after="60"/>
              <w:jc w:val="center"/>
              <w:rPr>
                <w:sz w:val="20"/>
                <w:szCs w:val="20"/>
              </w:rPr>
            </w:pPr>
            <w:r>
              <w:rPr>
                <w:sz w:val="20"/>
                <w:szCs w:val="20"/>
              </w:rPr>
              <w:t>20,000</w:t>
            </w:r>
          </w:p>
        </w:tc>
        <w:tc>
          <w:tcPr>
            <w:tcW w:w="1188" w:type="dxa"/>
            <w:tcBorders>
              <w:bottom w:val="double" w:color="auto" w:sz="4" w:space="0"/>
            </w:tcBorders>
            <w:vAlign w:val="center"/>
          </w:tcPr>
          <w:p w14:paraId="7E966931">
            <w:pPr>
              <w:spacing w:before="60" w:after="60"/>
              <w:jc w:val="center"/>
              <w:rPr>
                <w:sz w:val="20"/>
                <w:szCs w:val="20"/>
              </w:rPr>
            </w:pPr>
            <w:r>
              <w:rPr>
                <w:sz w:val="20"/>
                <w:szCs w:val="20"/>
              </w:rPr>
              <w:t>10,000</w:t>
            </w:r>
          </w:p>
        </w:tc>
      </w:tr>
      <w:tr w14:paraId="5B24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Borders>
              <w:top w:val="double" w:color="auto" w:sz="4" w:space="0"/>
            </w:tcBorders>
            <w:vAlign w:val="center"/>
          </w:tcPr>
          <w:p w14:paraId="3B9322DB">
            <w:pPr>
              <w:spacing w:before="60" w:after="60"/>
              <w:jc w:val="center"/>
              <w:rPr>
                <w:sz w:val="20"/>
                <w:szCs w:val="20"/>
              </w:rPr>
            </w:pPr>
            <w:r>
              <w:t>total-power</w:t>
            </w:r>
            <w:r>
              <w:rPr>
                <w:sz w:val="20"/>
                <w:szCs w:val="20"/>
              </w:rPr>
              <w:t xml:space="preserve"> PDP</w:t>
            </w:r>
          </w:p>
        </w:tc>
        <w:tc>
          <w:tcPr>
            <w:tcW w:w="1575" w:type="dxa"/>
            <w:tcBorders>
              <w:top w:val="double" w:color="auto" w:sz="4" w:space="0"/>
              <w:bottom w:val="single" w:color="auto" w:sz="4" w:space="0"/>
            </w:tcBorders>
            <w:vAlign w:val="center"/>
          </w:tcPr>
          <w:p w14:paraId="05DA758F">
            <w:pPr>
              <w:spacing w:before="60" w:after="60"/>
              <w:jc w:val="center"/>
              <w:rPr>
                <w:sz w:val="20"/>
                <w:szCs w:val="20"/>
              </w:rPr>
            </w:pPr>
            <w:r>
              <w:rPr>
                <w:sz w:val="20"/>
                <w:szCs w:val="20"/>
              </w:rPr>
              <w:t>0.36 M</w:t>
            </w:r>
          </w:p>
        </w:tc>
        <w:tc>
          <w:tcPr>
            <w:tcW w:w="1642" w:type="dxa"/>
            <w:tcBorders>
              <w:top w:val="double" w:color="auto" w:sz="4" w:space="0"/>
              <w:bottom w:val="single" w:color="auto" w:sz="4" w:space="0"/>
            </w:tcBorders>
            <w:vAlign w:val="center"/>
          </w:tcPr>
          <w:p w14:paraId="28DCA845">
            <w:pPr>
              <w:spacing w:before="60" w:after="60"/>
              <w:jc w:val="center"/>
              <w:rPr>
                <w:sz w:val="20"/>
                <w:szCs w:val="20"/>
              </w:rPr>
            </w:pPr>
            <w:r>
              <w:rPr>
                <w:sz w:val="20"/>
                <w:szCs w:val="20"/>
              </w:rPr>
              <w:t>9 M</w:t>
            </w:r>
          </w:p>
        </w:tc>
        <w:tc>
          <w:tcPr>
            <w:tcW w:w="1188" w:type="dxa"/>
            <w:tcBorders>
              <w:top w:val="double" w:color="auto" w:sz="4" w:space="0"/>
              <w:bottom w:val="single" w:color="auto" w:sz="4" w:space="0"/>
            </w:tcBorders>
            <w:vAlign w:val="center"/>
          </w:tcPr>
          <w:p w14:paraId="3430372F">
            <w:pPr>
              <w:spacing w:before="60" w:after="60"/>
              <w:jc w:val="center"/>
              <w:rPr>
                <w:sz w:val="20"/>
                <w:szCs w:val="20"/>
              </w:rPr>
            </w:pPr>
            <w:r>
              <w:rPr>
                <w:sz w:val="20"/>
                <w:szCs w:val="20"/>
              </w:rPr>
              <w:t>0.43</w:t>
            </w:r>
          </w:p>
        </w:tc>
        <w:tc>
          <w:tcPr>
            <w:tcW w:w="1188" w:type="dxa"/>
            <w:tcBorders>
              <w:top w:val="double" w:color="auto" w:sz="4" w:space="0"/>
              <w:bottom w:val="single" w:color="auto" w:sz="4" w:space="0"/>
            </w:tcBorders>
            <w:vAlign w:val="center"/>
          </w:tcPr>
          <w:p w14:paraId="38C1D0EE">
            <w:pPr>
              <w:spacing w:before="60" w:after="60"/>
              <w:jc w:val="center"/>
              <w:rPr>
                <w:sz w:val="20"/>
                <w:szCs w:val="20"/>
              </w:rPr>
            </w:pPr>
            <w:r>
              <w:rPr>
                <w:sz w:val="20"/>
                <w:szCs w:val="20"/>
              </w:rPr>
              <w:t>0.51</w:t>
            </w:r>
          </w:p>
        </w:tc>
        <w:tc>
          <w:tcPr>
            <w:tcW w:w="1188" w:type="dxa"/>
            <w:tcBorders>
              <w:top w:val="double" w:color="auto" w:sz="4" w:space="0"/>
              <w:bottom w:val="single" w:color="auto" w:sz="4" w:space="0"/>
            </w:tcBorders>
            <w:vAlign w:val="center"/>
          </w:tcPr>
          <w:p w14:paraId="7E78FF8B">
            <w:pPr>
              <w:spacing w:before="60" w:after="60"/>
              <w:jc w:val="center"/>
              <w:rPr>
                <w:sz w:val="20"/>
                <w:szCs w:val="20"/>
              </w:rPr>
            </w:pPr>
            <w:r>
              <w:rPr>
                <w:sz w:val="20"/>
                <w:szCs w:val="20"/>
              </w:rPr>
              <w:t>0.66</w:t>
            </w:r>
          </w:p>
        </w:tc>
        <w:tc>
          <w:tcPr>
            <w:tcW w:w="1188" w:type="dxa"/>
            <w:tcBorders>
              <w:top w:val="double" w:color="auto" w:sz="4" w:space="0"/>
              <w:bottom w:val="single" w:color="auto" w:sz="4" w:space="0"/>
            </w:tcBorders>
            <w:vAlign w:val="center"/>
          </w:tcPr>
          <w:p w14:paraId="02F06379">
            <w:pPr>
              <w:spacing w:before="60" w:after="60"/>
              <w:jc w:val="center"/>
              <w:rPr>
                <w:sz w:val="20"/>
                <w:szCs w:val="20"/>
              </w:rPr>
            </w:pPr>
            <w:r>
              <w:rPr>
                <w:sz w:val="20"/>
                <w:szCs w:val="20"/>
              </w:rPr>
              <w:t>0.86</w:t>
            </w:r>
          </w:p>
        </w:tc>
      </w:tr>
      <w:tr w14:paraId="29AB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Borders>
              <w:bottom w:val="single" w:color="auto" w:sz="4" w:space="0"/>
            </w:tcBorders>
            <w:vAlign w:val="center"/>
          </w:tcPr>
          <w:p w14:paraId="2C4DE0D0">
            <w:pPr>
              <w:spacing w:before="60" w:after="60"/>
              <w:jc w:val="center"/>
              <w:rPr>
                <w:sz w:val="20"/>
                <w:szCs w:val="20"/>
              </w:rPr>
            </w:pPr>
            <w:r>
              <w:rPr>
                <w:sz w:val="20"/>
                <w:szCs w:val="20"/>
              </w:rPr>
              <w:t>2-port PDP</w:t>
            </w:r>
          </w:p>
        </w:tc>
        <w:tc>
          <w:tcPr>
            <w:tcW w:w="1575" w:type="dxa"/>
            <w:tcBorders>
              <w:bottom w:val="single" w:color="auto" w:sz="4" w:space="0"/>
            </w:tcBorders>
            <w:vAlign w:val="center"/>
          </w:tcPr>
          <w:p w14:paraId="67CAAFB4">
            <w:pPr>
              <w:spacing w:before="60" w:after="60"/>
              <w:jc w:val="center"/>
              <w:rPr>
                <w:sz w:val="20"/>
                <w:szCs w:val="20"/>
              </w:rPr>
            </w:pPr>
            <w:r>
              <w:rPr>
                <w:sz w:val="20"/>
                <w:szCs w:val="20"/>
              </w:rPr>
              <w:t>0.37 M</w:t>
            </w:r>
          </w:p>
        </w:tc>
        <w:tc>
          <w:tcPr>
            <w:tcW w:w="1642" w:type="dxa"/>
            <w:tcBorders>
              <w:bottom w:val="single" w:color="auto" w:sz="4" w:space="0"/>
            </w:tcBorders>
            <w:vAlign w:val="center"/>
          </w:tcPr>
          <w:p w14:paraId="65C37CC8">
            <w:pPr>
              <w:spacing w:before="60" w:after="60"/>
              <w:jc w:val="center"/>
              <w:rPr>
                <w:sz w:val="20"/>
                <w:szCs w:val="20"/>
              </w:rPr>
            </w:pPr>
            <w:r>
              <w:rPr>
                <w:sz w:val="20"/>
                <w:szCs w:val="20"/>
              </w:rPr>
              <w:t>11 M</w:t>
            </w:r>
          </w:p>
        </w:tc>
        <w:tc>
          <w:tcPr>
            <w:tcW w:w="1188" w:type="dxa"/>
            <w:tcBorders>
              <w:bottom w:val="single" w:color="auto" w:sz="4" w:space="0"/>
            </w:tcBorders>
            <w:vAlign w:val="center"/>
          </w:tcPr>
          <w:p w14:paraId="1796F02E">
            <w:pPr>
              <w:spacing w:before="60" w:after="60"/>
              <w:jc w:val="center"/>
              <w:rPr>
                <w:sz w:val="20"/>
                <w:szCs w:val="20"/>
              </w:rPr>
            </w:pPr>
            <w:r>
              <w:rPr>
                <w:sz w:val="20"/>
                <w:szCs w:val="20"/>
              </w:rPr>
              <w:t>0.40</w:t>
            </w:r>
          </w:p>
        </w:tc>
        <w:tc>
          <w:tcPr>
            <w:tcW w:w="1188" w:type="dxa"/>
            <w:tcBorders>
              <w:bottom w:val="single" w:color="auto" w:sz="4" w:space="0"/>
            </w:tcBorders>
            <w:vAlign w:val="center"/>
          </w:tcPr>
          <w:p w14:paraId="1488E14A">
            <w:pPr>
              <w:spacing w:before="60" w:after="60"/>
              <w:jc w:val="center"/>
              <w:rPr>
                <w:sz w:val="20"/>
                <w:szCs w:val="20"/>
              </w:rPr>
            </w:pPr>
            <w:r>
              <w:rPr>
                <w:sz w:val="20"/>
                <w:szCs w:val="20"/>
              </w:rPr>
              <w:t>0.50</w:t>
            </w:r>
          </w:p>
        </w:tc>
        <w:tc>
          <w:tcPr>
            <w:tcW w:w="1188" w:type="dxa"/>
            <w:tcBorders>
              <w:bottom w:val="single" w:color="auto" w:sz="4" w:space="0"/>
            </w:tcBorders>
            <w:vAlign w:val="center"/>
          </w:tcPr>
          <w:p w14:paraId="62379FC9">
            <w:pPr>
              <w:spacing w:before="60" w:after="60"/>
              <w:jc w:val="center"/>
              <w:rPr>
                <w:sz w:val="20"/>
                <w:szCs w:val="20"/>
              </w:rPr>
            </w:pPr>
            <w:r>
              <w:rPr>
                <w:sz w:val="20"/>
                <w:szCs w:val="20"/>
              </w:rPr>
              <w:t>0.64</w:t>
            </w:r>
          </w:p>
        </w:tc>
        <w:tc>
          <w:tcPr>
            <w:tcW w:w="1188" w:type="dxa"/>
            <w:tcBorders>
              <w:bottom w:val="single" w:color="auto" w:sz="4" w:space="0"/>
            </w:tcBorders>
            <w:vAlign w:val="center"/>
          </w:tcPr>
          <w:p w14:paraId="0AF9BBF0">
            <w:pPr>
              <w:spacing w:before="60" w:after="60"/>
              <w:jc w:val="center"/>
              <w:rPr>
                <w:sz w:val="20"/>
                <w:szCs w:val="20"/>
              </w:rPr>
            </w:pPr>
            <w:r>
              <w:rPr>
                <w:sz w:val="20"/>
                <w:szCs w:val="20"/>
              </w:rPr>
              <w:t>0.83</w:t>
            </w:r>
          </w:p>
        </w:tc>
      </w:tr>
      <w:tr w14:paraId="11D3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31240747">
            <w:pPr>
              <w:spacing w:before="60" w:after="60"/>
              <w:jc w:val="center"/>
              <w:rPr>
                <w:sz w:val="20"/>
                <w:szCs w:val="20"/>
              </w:rPr>
            </w:pPr>
            <w:r>
              <w:rPr>
                <w:sz w:val="20"/>
                <w:szCs w:val="20"/>
              </w:rPr>
              <w:t>1-port PDP</w:t>
            </w:r>
          </w:p>
        </w:tc>
        <w:tc>
          <w:tcPr>
            <w:tcW w:w="1575" w:type="dxa"/>
          </w:tcPr>
          <w:p w14:paraId="4E380808">
            <w:pPr>
              <w:spacing w:before="60" w:after="60"/>
              <w:jc w:val="center"/>
              <w:rPr>
                <w:sz w:val="20"/>
                <w:szCs w:val="20"/>
              </w:rPr>
            </w:pPr>
            <w:r>
              <w:rPr>
                <w:sz w:val="20"/>
                <w:szCs w:val="20"/>
              </w:rPr>
              <w:t>0.36 M</w:t>
            </w:r>
          </w:p>
        </w:tc>
        <w:tc>
          <w:tcPr>
            <w:tcW w:w="1642" w:type="dxa"/>
          </w:tcPr>
          <w:p w14:paraId="5699018F">
            <w:pPr>
              <w:spacing w:before="60" w:after="60"/>
              <w:jc w:val="center"/>
              <w:rPr>
                <w:sz w:val="20"/>
                <w:szCs w:val="20"/>
              </w:rPr>
            </w:pPr>
            <w:r>
              <w:rPr>
                <w:sz w:val="20"/>
                <w:szCs w:val="20"/>
              </w:rPr>
              <w:t>9 M</w:t>
            </w:r>
          </w:p>
        </w:tc>
        <w:tc>
          <w:tcPr>
            <w:tcW w:w="1188" w:type="dxa"/>
          </w:tcPr>
          <w:p w14:paraId="46DD9EF2">
            <w:pPr>
              <w:spacing w:before="60" w:after="60"/>
              <w:jc w:val="center"/>
              <w:rPr>
                <w:sz w:val="20"/>
                <w:szCs w:val="20"/>
              </w:rPr>
            </w:pPr>
            <w:r>
              <w:rPr>
                <w:sz w:val="20"/>
                <w:szCs w:val="20"/>
              </w:rPr>
              <w:t>0.47</w:t>
            </w:r>
          </w:p>
        </w:tc>
        <w:tc>
          <w:tcPr>
            <w:tcW w:w="1188" w:type="dxa"/>
          </w:tcPr>
          <w:p w14:paraId="3F277524">
            <w:pPr>
              <w:spacing w:before="60" w:after="60"/>
              <w:jc w:val="center"/>
              <w:rPr>
                <w:sz w:val="20"/>
                <w:szCs w:val="20"/>
              </w:rPr>
            </w:pPr>
            <w:r>
              <w:rPr>
                <w:sz w:val="20"/>
                <w:szCs w:val="20"/>
              </w:rPr>
              <w:t>0.58</w:t>
            </w:r>
          </w:p>
        </w:tc>
        <w:tc>
          <w:tcPr>
            <w:tcW w:w="1188" w:type="dxa"/>
          </w:tcPr>
          <w:p w14:paraId="67C5CE00">
            <w:pPr>
              <w:spacing w:before="60" w:after="60"/>
              <w:jc w:val="center"/>
              <w:rPr>
                <w:sz w:val="20"/>
                <w:szCs w:val="20"/>
              </w:rPr>
            </w:pPr>
            <w:r>
              <w:rPr>
                <w:sz w:val="20"/>
                <w:szCs w:val="20"/>
              </w:rPr>
              <w:t>0.76</w:t>
            </w:r>
          </w:p>
        </w:tc>
        <w:tc>
          <w:tcPr>
            <w:tcW w:w="1188" w:type="dxa"/>
          </w:tcPr>
          <w:p w14:paraId="2A7CD3BB">
            <w:pPr>
              <w:spacing w:before="60" w:after="60"/>
              <w:jc w:val="center"/>
              <w:rPr>
                <w:sz w:val="20"/>
                <w:szCs w:val="20"/>
              </w:rPr>
            </w:pPr>
            <w:r>
              <w:rPr>
                <w:sz w:val="20"/>
                <w:szCs w:val="20"/>
              </w:rPr>
              <w:t>1.04</w:t>
            </w:r>
          </w:p>
        </w:tc>
      </w:tr>
    </w:tbl>
    <w:p w14:paraId="7F6A4213"/>
    <w:p w14:paraId="77DBFFD1">
      <w:r>
        <w:t>It can be concluded that the performance gains of using multi-port PDP do not justify the multiple increases in signaling sizes; and 1-port PDP discards useful information unnecessarily. Therefore, Rel-19 PDP reports should be based on PDP samples containing sample powers from all antenna ports.</w:t>
      </w:r>
    </w:p>
    <w:p w14:paraId="5F9FDBA9">
      <w:r>
        <w:t xml:space="preserve">Furthermore, the nonzero value positions of the DP report type should be determined based on PDP samples containing sample powers summed from all RX antenna ports. </w:t>
      </w:r>
    </w:p>
    <w:p w14:paraId="1E873631">
      <w:r>
        <w:t>Additionally, if 1-port is used, there exists the inconsistency issue between training and inference. That is, since it is up to implementation to select the receiver branch(es) in the existing definition of PRS-RSRPP and SRS-RSRPP, the UEs in training data collection and the UEs in inference are likely to use different receiver branch(es). This inconsistency issue does not exist if total-power is used instead.</w:t>
      </w:r>
    </w:p>
    <w:p w14:paraId="69C1332F">
      <w:r>
        <w:t>For the existing SRS-RSRPP definition, the receiver branch(es) to select is based on the first path, see the red-highlighted phrase below. If this is extended straightforwardly to sample-based measurement, then the receiver branch(es) to select is based on the first path for path-based measurement, and based on the first sample for sample-based measurement. However, for AI/ML fingerprinting, which is expected to be deployed in heavy NLOS environment, the first path or the first sample is expected to be weak and noisy, thus unreliable for selecting the strongest receiver branch. If using total-power, there is no need to select receiver branch(es), thus avoiding this issue. Furthermore, using total-power avoids any need to specify that the measurements for additional paths/samples are provided for the same receiver branch(es) as the first path/sample measurement (see blue-highlighted text below).</w:t>
      </w:r>
    </w:p>
    <w:p w14:paraId="7BA4FD08">
      <w:r>
        <w:t>Accordingly, definition of DP and PDP measurements in 38.215 should be made according to the above for AI/ML positioning.</w:t>
      </w:r>
    </w:p>
    <w:p w14:paraId="2E583AD2">
      <w:pPr>
        <w:pStyle w:val="73"/>
      </w:pPr>
      <w:bookmarkStart w:id="1445" w:name="_Toc189845111"/>
      <w:r>
        <w:t>Regarding PDP for model input, update the DL PRS-RSRPP and UL SRS-RSPP definitions where the path or sample powers are summed over all receive antenna ports, i.e., using total-power PDP.</w:t>
      </w:r>
      <w:bookmarkEnd w:id="1445"/>
    </w:p>
    <w:p w14:paraId="0075DB32">
      <w:pPr>
        <w:rPr>
          <w:lang w:eastAsia="en-GB"/>
        </w:rPr>
      </w:pPr>
      <w:bookmarkStart w:id="1446" w:name="_Toc163127624"/>
      <w:bookmarkEnd w:id="1446"/>
      <w:bookmarkStart w:id="1447" w:name="_Toc163133008"/>
      <w:bookmarkEnd w:id="1447"/>
      <w:bookmarkStart w:id="1448" w:name="_Toc163145413"/>
      <w:bookmarkEnd w:id="1448"/>
      <w:bookmarkStart w:id="1449" w:name="_Toc163128488"/>
      <w:bookmarkEnd w:id="1449"/>
      <w:bookmarkStart w:id="1450" w:name="_Toc163147958"/>
      <w:bookmarkEnd w:id="1450"/>
      <w:bookmarkStart w:id="1451" w:name="_Toc163145184"/>
      <w:bookmarkEnd w:id="1451"/>
    </w:p>
    <w:p w14:paraId="43C11175">
      <w:pPr>
        <w:rPr>
          <w:b/>
          <w:bCs/>
          <w:u w:val="single"/>
          <w:lang w:eastAsia="en-GB"/>
        </w:rPr>
      </w:pPr>
      <w:r>
        <w:rPr>
          <w:b/>
          <w:bCs/>
          <w:u w:val="single"/>
          <w:lang w:eastAsia="en-GB"/>
        </w:rPr>
        <w:t>Existing definitions in 38.215:</w:t>
      </w:r>
    </w:p>
    <w:p w14:paraId="2C451FCB">
      <w:bookmarkStart w:id="1452" w:name="_Toc161687946"/>
      <w:r>
        <w:t>5.1.35</w:t>
      </w:r>
      <w:r>
        <w:tab/>
      </w:r>
      <w:r>
        <w:t>DL PRS reference signal received path power (DL PRS-RSRPP)</w:t>
      </w:r>
      <w:bookmarkEnd w:id="1452"/>
    </w:p>
    <w:tbl>
      <w:tblPr>
        <w:tblStyle w:val="51"/>
        <w:tblW w:w="97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951"/>
        <w:gridCol w:w="7787"/>
      </w:tblGrid>
      <w:tr w14:paraId="36AA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jc w:val="center"/>
        </w:trPr>
        <w:tc>
          <w:tcPr>
            <w:tcW w:w="1951" w:type="dxa"/>
          </w:tcPr>
          <w:p w14:paraId="72E17301">
            <w:pPr>
              <w:pStyle w:val="78"/>
              <w:spacing w:after="0"/>
              <w:rPr>
                <w:rFonts w:ascii="Arial" w:hAnsi="Arial" w:cs="Arial"/>
                <w:b/>
                <w:sz w:val="16"/>
                <w:szCs w:val="16"/>
              </w:rPr>
            </w:pPr>
            <w:r>
              <w:rPr>
                <w:rFonts w:ascii="Arial" w:hAnsi="Arial" w:cs="Arial"/>
                <w:b/>
                <w:sz w:val="16"/>
                <w:szCs w:val="16"/>
              </w:rPr>
              <w:t>Definition</w:t>
            </w:r>
          </w:p>
        </w:tc>
        <w:tc>
          <w:tcPr>
            <w:tcW w:w="7787" w:type="dxa"/>
          </w:tcPr>
          <w:p w14:paraId="4E05D969">
            <w:pPr>
              <w:spacing w:after="0"/>
              <w:rPr>
                <w:rFonts w:ascii="Arial" w:hAnsi="Arial" w:cs="Arial"/>
                <w:sz w:val="16"/>
                <w:szCs w:val="16"/>
                <w:lang w:eastAsia="zh-CN"/>
              </w:rPr>
            </w:pPr>
            <w:r>
              <w:rPr>
                <w:rFonts w:ascii="Arial" w:hAnsi="Arial" w:cs="Arial"/>
                <w:sz w:val="16"/>
                <w:szCs w:val="16"/>
                <w:lang w:eastAsia="zh-CN"/>
              </w:rPr>
              <w:t>DL PRS reference signal received path power (DL PRS-RSRPP), is defined as the power of the linear average of the channel response at the i-th path delay of the resource elements that carry DL PRS signal configured for the measurement, where DL PRS-RSRPP for the 1st path delay is the power contribution corresponding to the first detected path in time.</w:t>
            </w:r>
          </w:p>
          <w:p w14:paraId="51726849">
            <w:pPr>
              <w:pStyle w:val="78"/>
              <w:spacing w:after="0"/>
              <w:rPr>
                <w:rFonts w:ascii="Arial" w:hAnsi="Arial" w:cs="Arial"/>
                <w:sz w:val="16"/>
                <w:szCs w:val="16"/>
              </w:rPr>
            </w:pPr>
          </w:p>
          <w:p w14:paraId="2D179BE0">
            <w:pPr>
              <w:pStyle w:val="78"/>
              <w:spacing w:after="0"/>
              <w:rPr>
                <w:rFonts w:ascii="Arial" w:hAnsi="Arial" w:cs="Arial"/>
                <w:sz w:val="16"/>
                <w:szCs w:val="16"/>
              </w:rPr>
            </w:pPr>
            <w:r>
              <w:rPr>
                <w:rFonts w:ascii="Arial" w:hAnsi="Arial" w:cs="Arial"/>
                <w:sz w:val="16"/>
                <w:szCs w:val="16"/>
              </w:rPr>
              <w:t>For frequency range 1, the reference point for the DL PRS-RSRPP shall be the antenna connector of the UE. For frequency range 2, DL PRS-RSRPP shall be measured based on the combined signal from antenna elements corresponding to a given receiver branch.</w:t>
            </w:r>
          </w:p>
          <w:p w14:paraId="7DC3B4AA">
            <w:pPr>
              <w:pStyle w:val="78"/>
              <w:spacing w:after="0"/>
              <w:rPr>
                <w:rFonts w:ascii="Arial" w:hAnsi="Arial" w:cs="Arial"/>
                <w:sz w:val="16"/>
                <w:szCs w:val="16"/>
              </w:rPr>
            </w:pPr>
          </w:p>
          <w:p w14:paraId="57F6EB39">
            <w:pPr>
              <w:pStyle w:val="78"/>
              <w:spacing w:after="0"/>
              <w:rPr>
                <w:rFonts w:ascii="Arial" w:hAnsi="Arial" w:cs="Arial"/>
                <w:sz w:val="16"/>
                <w:szCs w:val="16"/>
              </w:rPr>
            </w:pPr>
            <w:r>
              <w:rPr>
                <w:rFonts w:ascii="Arial" w:hAnsi="Arial" w:cs="Arial"/>
                <w:sz w:val="16"/>
                <w:szCs w:val="16"/>
              </w:rPr>
              <w:t xml:space="preserve">For frequency range 1 and 2, if receiver diversity is in use by the UE for DL PRS-RSRPP measurements, </w:t>
            </w:r>
            <w:r>
              <w:rPr>
                <w:rFonts w:ascii="Arial" w:hAnsi="Arial" w:eastAsia="宋体" w:cs="Arial"/>
                <w:sz w:val="16"/>
                <w:szCs w:val="16"/>
                <w:lang w:eastAsia="zh-CN"/>
              </w:rPr>
              <w:t xml:space="preserve">the reported DL PRS-RSRPP value included in the higher layer parameter </w:t>
            </w:r>
            <w:r>
              <w:rPr>
                <w:rFonts w:ascii="Arial" w:hAnsi="Arial" w:cs="Arial"/>
                <w:i/>
                <w:snapToGrid w:val="0"/>
                <w:sz w:val="16"/>
                <w:szCs w:val="16"/>
              </w:rPr>
              <w:t>NR-DL-AoD-MeasElement</w:t>
            </w:r>
            <w:r>
              <w:rPr>
                <w:rFonts w:ascii="Arial" w:hAnsi="Arial" w:eastAsia="宋体" w:cs="Arial"/>
                <w:sz w:val="16"/>
                <w:szCs w:val="16"/>
                <w:lang w:eastAsia="zh-CN"/>
              </w:rPr>
              <w:t xml:space="preserve"> for </w:t>
            </w:r>
            <w:r>
              <w:rPr>
                <w:rFonts w:ascii="Arial" w:hAnsi="Arial" w:eastAsia="宋体" w:cs="Arial"/>
                <w:color w:val="0070C0"/>
                <w:sz w:val="16"/>
                <w:szCs w:val="16"/>
                <w:lang w:eastAsia="zh-CN"/>
              </w:rPr>
              <w:t>the first and additional measurements shall be provided for the same receiver branch(es)</w:t>
            </w:r>
            <w:r>
              <w:rPr>
                <w:rFonts w:ascii="Arial" w:hAnsi="Arial" w:eastAsia="宋体" w:cs="Arial"/>
                <w:sz w:val="16"/>
                <w:szCs w:val="16"/>
                <w:lang w:eastAsia="zh-CN"/>
              </w:rPr>
              <w:t xml:space="preserve"> as applied for DL PRS-RSRP measurements</w:t>
            </w:r>
            <w:r>
              <w:rPr>
                <w:rFonts w:ascii="Arial" w:hAnsi="Arial" w:cs="Arial"/>
                <w:sz w:val="16"/>
                <w:szCs w:val="16"/>
              </w:rPr>
              <w:t>.</w:t>
            </w:r>
          </w:p>
        </w:tc>
      </w:tr>
    </w:tbl>
    <w:p w14:paraId="36821F7D">
      <w:pPr>
        <w:rPr>
          <w:lang w:eastAsia="en-GB"/>
        </w:rPr>
      </w:pPr>
    </w:p>
    <w:p w14:paraId="1E74DB56">
      <w:pPr>
        <w:rPr>
          <w:lang w:eastAsia="en-GB"/>
        </w:rPr>
      </w:pPr>
      <w:r>
        <w:rPr>
          <w:lang w:eastAsia="en-GB"/>
        </w:rPr>
        <w:t>5.2.6</w:t>
      </w:r>
      <w:r>
        <w:rPr>
          <w:lang w:eastAsia="en-GB"/>
        </w:rPr>
        <w:tab/>
      </w:r>
      <w:r>
        <w:rPr>
          <w:lang w:eastAsia="en-GB"/>
        </w:rPr>
        <w:t>UL SRS reference signal received path power (UL SRS-RSRPP)</w:t>
      </w:r>
    </w:p>
    <w:tbl>
      <w:tblPr>
        <w:tblStyle w:val="51"/>
        <w:tblW w:w="97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951"/>
        <w:gridCol w:w="7787"/>
      </w:tblGrid>
      <w:tr w14:paraId="42C4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446" w:hRule="atLeast"/>
          <w:jc w:val="center"/>
        </w:trPr>
        <w:tc>
          <w:tcPr>
            <w:tcW w:w="1951" w:type="dxa"/>
          </w:tcPr>
          <w:p w14:paraId="46BDDDC1">
            <w:pPr>
              <w:pStyle w:val="78"/>
              <w:spacing w:after="0"/>
              <w:rPr>
                <w:rFonts w:ascii="Arial" w:hAnsi="Arial" w:cs="Arial"/>
                <w:b/>
                <w:sz w:val="16"/>
                <w:szCs w:val="16"/>
              </w:rPr>
            </w:pPr>
            <w:r>
              <w:rPr>
                <w:rFonts w:ascii="Arial" w:hAnsi="Arial" w:cs="Arial"/>
                <w:b/>
                <w:sz w:val="16"/>
                <w:szCs w:val="16"/>
              </w:rPr>
              <w:t>Definition</w:t>
            </w:r>
          </w:p>
        </w:tc>
        <w:tc>
          <w:tcPr>
            <w:tcW w:w="7787" w:type="dxa"/>
          </w:tcPr>
          <w:p w14:paraId="7CF112B2">
            <w:pPr>
              <w:pStyle w:val="78"/>
              <w:spacing w:after="0"/>
              <w:rPr>
                <w:rFonts w:ascii="Arial" w:hAnsi="Arial" w:cs="Arial"/>
                <w:sz w:val="16"/>
                <w:szCs w:val="16"/>
              </w:rPr>
            </w:pPr>
            <w:r>
              <w:rPr>
                <w:rFonts w:ascii="Arial" w:hAnsi="Arial" w:cs="Arial"/>
                <w:sz w:val="16"/>
                <w:szCs w:val="16"/>
              </w:rPr>
              <w:t>UL SRS reference signal received path power (UL SRS-RSRPP) is defined as the power of the linear average of the channel response at the i-th path delay of the resource elements that carry the received UL SRS signal configured for the measurement, where UL SRS-RSRPP for 1st path delay is the power contribution corresponding to the first detected path in time</w:t>
            </w:r>
          </w:p>
          <w:p w14:paraId="476731D9">
            <w:pPr>
              <w:pStyle w:val="78"/>
              <w:spacing w:after="0"/>
              <w:rPr>
                <w:rFonts w:ascii="Arial" w:hAnsi="Arial" w:cs="Arial"/>
                <w:sz w:val="16"/>
                <w:szCs w:val="16"/>
              </w:rPr>
            </w:pPr>
          </w:p>
          <w:p w14:paraId="5CF01CFC">
            <w:pPr>
              <w:pStyle w:val="78"/>
              <w:spacing w:after="0"/>
              <w:rPr>
                <w:rFonts w:ascii="Arial" w:hAnsi="Arial" w:cs="Arial"/>
                <w:sz w:val="16"/>
                <w:szCs w:val="16"/>
              </w:rPr>
            </w:pPr>
            <w:r>
              <w:rPr>
                <w:rFonts w:ascii="Arial" w:hAnsi="Arial" w:cs="Arial"/>
                <w:sz w:val="16"/>
                <w:szCs w:val="16"/>
              </w:rPr>
              <w:t>The reference point for UL SRS-RSRPP shall be:</w:t>
            </w:r>
          </w:p>
          <w:p w14:paraId="0294D082">
            <w:pPr>
              <w:pStyle w:val="78"/>
              <w:spacing w:after="0"/>
              <w:rPr>
                <w:rFonts w:ascii="Arial" w:hAnsi="Arial" w:cs="Arial"/>
                <w:sz w:val="16"/>
                <w:szCs w:val="16"/>
              </w:rPr>
            </w:pPr>
            <w:r>
              <w:rPr>
                <w:rFonts w:ascii="Arial" w:hAnsi="Arial" w:cs="Arial"/>
                <w:sz w:val="16"/>
                <w:szCs w:val="16"/>
              </w:rPr>
              <w:t>-</w:t>
            </w:r>
            <w:r>
              <w:rPr>
                <w:rFonts w:ascii="Arial" w:hAnsi="Arial" w:cs="Arial"/>
                <w:sz w:val="16"/>
                <w:szCs w:val="16"/>
              </w:rPr>
              <w:tab/>
            </w:r>
            <w:r>
              <w:rPr>
                <w:rFonts w:ascii="Arial" w:hAnsi="Arial" w:cs="Arial"/>
                <w:sz w:val="16"/>
                <w:szCs w:val="16"/>
              </w:rPr>
              <w:t>for type 1-C base station TS 38.104 [9]: the Rx antenna connector,</w:t>
            </w:r>
          </w:p>
          <w:p w14:paraId="220FC05A">
            <w:pPr>
              <w:pStyle w:val="78"/>
              <w:spacing w:after="0"/>
              <w:rPr>
                <w:rFonts w:ascii="Arial" w:hAnsi="Arial" w:cs="Arial"/>
                <w:sz w:val="16"/>
                <w:szCs w:val="16"/>
              </w:rPr>
            </w:pPr>
            <w:r>
              <w:rPr>
                <w:rFonts w:ascii="Arial" w:hAnsi="Arial" w:cs="Arial"/>
                <w:sz w:val="16"/>
                <w:szCs w:val="16"/>
              </w:rPr>
              <w:t>-</w:t>
            </w:r>
            <w:r>
              <w:rPr>
                <w:rFonts w:ascii="Arial" w:hAnsi="Arial" w:cs="Arial"/>
                <w:sz w:val="16"/>
                <w:szCs w:val="16"/>
              </w:rPr>
              <w:tab/>
            </w:r>
            <w:r>
              <w:rPr>
                <w:rFonts w:ascii="Arial" w:hAnsi="Arial" w:cs="Arial"/>
                <w:sz w:val="16"/>
                <w:szCs w:val="16"/>
              </w:rPr>
              <w:t>for type 1-O or 2-O base station TS 38.104 [9]:  based on the combined signal from antenna elements corresponding to a given receiver branch</w:t>
            </w:r>
          </w:p>
          <w:p w14:paraId="51530E38">
            <w:pPr>
              <w:pStyle w:val="78"/>
              <w:spacing w:after="0"/>
              <w:rPr>
                <w:rFonts w:ascii="Arial" w:hAnsi="Arial" w:cs="Arial"/>
                <w:sz w:val="16"/>
                <w:szCs w:val="16"/>
              </w:rPr>
            </w:pPr>
            <w:r>
              <w:rPr>
                <w:rFonts w:ascii="Arial" w:hAnsi="Arial" w:cs="Arial"/>
                <w:sz w:val="16"/>
                <w:szCs w:val="16"/>
              </w:rPr>
              <w:t>-</w:t>
            </w:r>
            <w:r>
              <w:rPr>
                <w:rFonts w:ascii="Arial" w:hAnsi="Arial" w:cs="Arial"/>
                <w:sz w:val="16"/>
                <w:szCs w:val="16"/>
              </w:rPr>
              <w:tab/>
            </w:r>
            <w:r>
              <w:rPr>
                <w:rFonts w:ascii="Arial" w:hAnsi="Arial" w:cs="Arial"/>
                <w:sz w:val="16"/>
                <w:szCs w:val="16"/>
              </w:rPr>
              <w:t>for type 1-H base station TS 38.104 [9]: the Rx Transceiver Array Boundary connector.</w:t>
            </w:r>
          </w:p>
          <w:p w14:paraId="7A555CCC">
            <w:pPr>
              <w:pStyle w:val="78"/>
              <w:spacing w:after="0"/>
              <w:rPr>
                <w:rFonts w:ascii="Arial" w:hAnsi="Arial" w:cs="Arial"/>
                <w:sz w:val="16"/>
                <w:szCs w:val="16"/>
              </w:rPr>
            </w:pPr>
          </w:p>
          <w:p w14:paraId="37D5F1E0">
            <w:pPr>
              <w:pStyle w:val="78"/>
              <w:spacing w:after="0"/>
              <w:rPr>
                <w:rFonts w:ascii="Arial" w:hAnsi="Arial" w:cs="Arial"/>
                <w:sz w:val="16"/>
                <w:szCs w:val="16"/>
              </w:rPr>
            </w:pPr>
            <w:r>
              <w:rPr>
                <w:rFonts w:ascii="Arial" w:hAnsi="Arial" w:cs="Arial"/>
                <w:sz w:val="16"/>
                <w:szCs w:val="16"/>
              </w:rPr>
              <w:t>For frequency range 1 and 2, if receiver diversity is in use by the gNB for UL SRS-RSRPP measurements:</w:t>
            </w:r>
          </w:p>
          <w:p w14:paraId="25ACEA47">
            <w:pPr>
              <w:pStyle w:val="78"/>
              <w:spacing w:after="0"/>
              <w:rPr>
                <w:rFonts w:ascii="Arial" w:hAnsi="Arial" w:eastAsia="宋体" w:cs="Arial"/>
                <w:sz w:val="16"/>
                <w:szCs w:val="16"/>
                <w:lang w:eastAsia="zh-CN"/>
              </w:rPr>
            </w:pPr>
            <w:r>
              <w:rPr>
                <w:rFonts w:ascii="Arial" w:hAnsi="Arial" w:eastAsia="宋体" w:cs="Arial"/>
                <w:sz w:val="16"/>
                <w:szCs w:val="16"/>
                <w:lang w:eastAsia="zh-CN"/>
              </w:rPr>
              <w:t>-</w:t>
            </w:r>
            <w:r>
              <w:rPr>
                <w:rFonts w:ascii="Arial" w:hAnsi="Arial" w:eastAsia="宋体" w:cs="Arial"/>
                <w:sz w:val="16"/>
                <w:szCs w:val="16"/>
                <w:lang w:eastAsia="zh-CN"/>
              </w:rPr>
              <w:tab/>
            </w:r>
            <w:r>
              <w:rPr>
                <w:rFonts w:ascii="Arial" w:hAnsi="Arial" w:eastAsia="宋体" w:cs="Arial"/>
                <w:sz w:val="16"/>
                <w:szCs w:val="16"/>
                <w:lang w:eastAsia="zh-CN"/>
              </w:rPr>
              <w:t>The reported UL SRS-RSRPP value for the first and additional paths shall be provided for the same receiver branch(es) as applied for UL SRS-RSRP measurements, or</w:t>
            </w:r>
          </w:p>
          <w:p w14:paraId="75A47FB4">
            <w:pPr>
              <w:pStyle w:val="78"/>
              <w:spacing w:after="0"/>
              <w:rPr>
                <w:rFonts w:ascii="Arial" w:hAnsi="Arial" w:cs="Arial"/>
                <w:sz w:val="16"/>
                <w:szCs w:val="16"/>
                <w:lang w:val="en-US"/>
              </w:rPr>
            </w:pPr>
            <w:r>
              <w:rPr>
                <w:rFonts w:ascii="Arial" w:hAnsi="Arial" w:eastAsia="宋体" w:cs="Arial"/>
                <w:sz w:val="16"/>
                <w:szCs w:val="16"/>
                <w:lang w:eastAsia="zh-CN"/>
              </w:rPr>
              <w:t>-</w:t>
            </w:r>
            <w:r>
              <w:rPr>
                <w:rFonts w:ascii="Arial" w:hAnsi="Arial" w:eastAsia="宋体" w:cs="Arial"/>
                <w:sz w:val="16"/>
                <w:szCs w:val="16"/>
                <w:lang w:eastAsia="zh-CN"/>
              </w:rPr>
              <w:tab/>
            </w:r>
            <w:r>
              <w:rPr>
                <w:rFonts w:ascii="Arial" w:hAnsi="Arial" w:eastAsia="宋体" w:cs="Arial"/>
                <w:color w:val="FF0000"/>
                <w:sz w:val="16"/>
                <w:szCs w:val="16"/>
                <w:lang w:eastAsia="zh-CN"/>
              </w:rPr>
              <w:t xml:space="preserve">The reported UL SRS-RSRPP value for the first path shall not be lower than the corresponding UL SRS-RSRPP for the first path of any of the individual receiver branches </w:t>
            </w:r>
            <w:r>
              <w:rPr>
                <w:rFonts w:ascii="Arial" w:hAnsi="Arial" w:eastAsia="宋体" w:cs="Arial"/>
                <w:sz w:val="16"/>
                <w:szCs w:val="16"/>
                <w:lang w:eastAsia="zh-CN"/>
              </w:rPr>
              <w:t xml:space="preserve">and </w:t>
            </w:r>
            <w:r>
              <w:rPr>
                <w:rFonts w:ascii="Arial" w:hAnsi="Arial" w:eastAsia="宋体" w:cs="Arial"/>
                <w:color w:val="0070C0"/>
                <w:sz w:val="16"/>
                <w:szCs w:val="16"/>
                <w:lang w:eastAsia="zh-CN"/>
              </w:rPr>
              <w:t>the reported UL SRS-RSRPP for the additional paths shall be provided for the same receiver branch(es) as applied UL SRS-RSRPP for the first path.</w:t>
            </w:r>
          </w:p>
        </w:tc>
      </w:tr>
    </w:tbl>
    <w:p w14:paraId="7A89D077"/>
    <w:p w14:paraId="0412C92F">
      <w:pPr>
        <w:pStyle w:val="3"/>
        <w:rPr>
          <w:lang w:val="en-US"/>
        </w:rPr>
      </w:pPr>
      <w:bookmarkStart w:id="1453" w:name="_Toc173940671"/>
      <w:bookmarkEnd w:id="1453"/>
      <w:bookmarkStart w:id="1454" w:name="_Toc173850919"/>
      <w:bookmarkEnd w:id="1454"/>
      <w:bookmarkStart w:id="1455" w:name="_Toc173850916"/>
      <w:bookmarkEnd w:id="1455"/>
      <w:bookmarkStart w:id="1456" w:name="_Toc173940668"/>
      <w:bookmarkEnd w:id="1456"/>
      <w:bookmarkStart w:id="1457" w:name="_Toc173940670"/>
      <w:bookmarkEnd w:id="1457"/>
      <w:bookmarkStart w:id="1458" w:name="_Toc173850915"/>
      <w:bookmarkEnd w:id="1458"/>
      <w:bookmarkStart w:id="1459" w:name="_Toc173940667"/>
      <w:bookmarkEnd w:id="1459"/>
      <w:bookmarkStart w:id="1460" w:name="_Toc173940669"/>
      <w:bookmarkEnd w:id="1460"/>
      <w:bookmarkStart w:id="1461" w:name="_Toc173940665"/>
      <w:bookmarkEnd w:id="1461"/>
      <w:bookmarkStart w:id="1462" w:name="_Toc173940672"/>
      <w:bookmarkEnd w:id="1462"/>
      <w:bookmarkStart w:id="1463" w:name="_Toc173850914"/>
      <w:bookmarkEnd w:id="1463"/>
      <w:bookmarkStart w:id="1464" w:name="_Toc173850920"/>
      <w:bookmarkEnd w:id="1464"/>
      <w:bookmarkStart w:id="1465" w:name="_Toc173850913"/>
      <w:bookmarkEnd w:id="1465"/>
      <w:bookmarkStart w:id="1466" w:name="_Toc173850918"/>
      <w:bookmarkEnd w:id="1466"/>
      <w:bookmarkStart w:id="1467" w:name="_Toc173850917"/>
      <w:bookmarkEnd w:id="1467"/>
      <w:bookmarkStart w:id="1468" w:name="_Toc173940666"/>
      <w:bookmarkEnd w:id="1468"/>
      <w:bookmarkStart w:id="1469" w:name="_Toc165990987"/>
      <w:bookmarkStart w:id="1470" w:name="_Toc189845015"/>
      <w:r>
        <w:rPr>
          <w:lang w:val="en-US"/>
        </w:rPr>
        <w:t>Analysis of supporting phase information measurement</w:t>
      </w:r>
      <w:bookmarkEnd w:id="1469"/>
      <w:bookmarkEnd w:id="1470"/>
    </w:p>
    <w:p w14:paraId="6669F1E6">
      <w:r>
        <w:t xml:space="preserve">In RAN1#116, the following agreement was made to investigate whether phase information should be supported as a part of model input, for example, as list of phase information as in CIR or one phase value for the first detected path only. </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59646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75A1D542">
            <w:pPr>
              <w:spacing w:after="0"/>
              <w:rPr>
                <w:rFonts w:ascii="Times" w:hAnsi="Times" w:eastAsia="等线"/>
                <w:b/>
                <w:bCs/>
                <w:sz w:val="20"/>
                <w:highlight w:val="green"/>
                <w:lang w:val="en-GB"/>
              </w:rPr>
            </w:pPr>
            <w:r>
              <w:rPr>
                <w:rFonts w:hint="eastAsia" w:ascii="Times" w:hAnsi="Times" w:eastAsia="等线"/>
                <w:b/>
                <w:bCs/>
                <w:sz w:val="20"/>
                <w:highlight w:val="green"/>
                <w:lang w:val="en-GB"/>
              </w:rPr>
              <w:t>A</w:t>
            </w:r>
            <w:r>
              <w:rPr>
                <w:rFonts w:ascii="Times" w:hAnsi="Times" w:eastAsia="等线"/>
                <w:b/>
                <w:bCs/>
                <w:sz w:val="20"/>
                <w:highlight w:val="green"/>
                <w:lang w:val="en-GB"/>
              </w:rPr>
              <w:t>greement</w:t>
            </w:r>
          </w:p>
          <w:p w14:paraId="5C7F4C39">
            <w:pPr>
              <w:spacing w:after="0"/>
              <w:rPr>
                <w:rFonts w:ascii="Times" w:hAnsi="Times" w:eastAsia="Batang"/>
                <w:sz w:val="20"/>
                <w:lang w:val="en-GB"/>
              </w:rPr>
            </w:pPr>
            <w:r>
              <w:rPr>
                <w:rFonts w:ascii="Times" w:hAnsi="Times" w:eastAsia="Batang"/>
                <w:sz w:val="20"/>
                <w:lang w:val="en-GB"/>
              </w:rPr>
              <w:t>For AI/ML based positioning for all use cases, RAN1 investigate the necessity and feasibility of using phase information (in addition to timing information and power information) for determining model input. The issues to study include:</w:t>
            </w:r>
          </w:p>
          <w:p w14:paraId="1A9BFB4E">
            <w:pPr>
              <w:widowControl w:val="0"/>
              <w:numPr>
                <w:ilvl w:val="0"/>
                <w:numId w:val="27"/>
              </w:numPr>
              <w:spacing w:after="0"/>
              <w:rPr>
                <w:rFonts w:ascii="Times" w:hAnsi="Times" w:eastAsia="Batang" w:cs="等线"/>
                <w:sz w:val="20"/>
                <w:lang w:eastAsia="zh-CN"/>
              </w:rPr>
            </w:pPr>
            <w:r>
              <w:rPr>
                <w:rFonts w:ascii="Times" w:hAnsi="Times" w:eastAsia="Batang"/>
                <w:sz w:val="20"/>
                <w:lang w:eastAsia="zh-CN"/>
              </w:rPr>
              <w:t>Tradeoff of positioning accuracy and signaling overhead</w:t>
            </w:r>
          </w:p>
          <w:p w14:paraId="6D049595">
            <w:pPr>
              <w:widowControl w:val="0"/>
              <w:numPr>
                <w:ilvl w:val="0"/>
                <w:numId w:val="27"/>
              </w:numPr>
              <w:spacing w:after="0"/>
              <w:rPr>
                <w:rFonts w:ascii="Times" w:hAnsi="Times" w:eastAsia="Batang" w:cs="等线"/>
                <w:sz w:val="20"/>
                <w:lang w:eastAsia="zh-CN"/>
              </w:rPr>
            </w:pPr>
            <w:r>
              <w:rPr>
                <w:rFonts w:ascii="Times" w:hAnsi="Times" w:eastAsia="Batang"/>
                <w:sz w:val="20"/>
                <w:lang w:eastAsia="zh-CN"/>
              </w:rPr>
              <w:t>The impact of transmitter and receiver implementation</w:t>
            </w:r>
          </w:p>
          <w:p w14:paraId="63EB6273">
            <w:pPr>
              <w:widowControl w:val="0"/>
              <w:numPr>
                <w:ilvl w:val="0"/>
                <w:numId w:val="27"/>
              </w:numPr>
              <w:spacing w:after="0"/>
              <w:rPr>
                <w:rFonts w:ascii="Times" w:hAnsi="Times" w:eastAsia="Batang" w:cs="等线"/>
                <w:sz w:val="20"/>
                <w:lang w:val="en-GB" w:eastAsia="zh-CN"/>
              </w:rPr>
            </w:pPr>
            <w:r>
              <w:rPr>
                <w:rFonts w:ascii="Times" w:hAnsi="Times" w:eastAsia="Batang"/>
                <w:sz w:val="20"/>
                <w:lang w:eastAsia="zh-CN"/>
              </w:rPr>
              <w:t>S</w:t>
            </w:r>
            <w:r>
              <w:rPr>
                <w:rFonts w:ascii="Times" w:hAnsi="Times" w:eastAsia="Batang"/>
                <w:sz w:val="20"/>
                <w:lang w:val="en-GB" w:eastAsia="zh-CN"/>
              </w:rPr>
              <w:t>pecification impact</w:t>
            </w:r>
          </w:p>
          <w:p w14:paraId="582CB037">
            <w:pPr>
              <w:widowControl w:val="0"/>
              <w:numPr>
                <w:ilvl w:val="0"/>
                <w:numId w:val="27"/>
              </w:numPr>
              <w:spacing w:after="0"/>
              <w:rPr>
                <w:rFonts w:ascii="Times" w:hAnsi="Times" w:eastAsia="Batang" w:cs="等线"/>
                <w:sz w:val="20"/>
                <w:lang w:val="en-GB" w:eastAsia="zh-CN"/>
              </w:rPr>
            </w:pPr>
            <w:r>
              <w:rPr>
                <w:rFonts w:hint="eastAsia" w:ascii="Times" w:hAnsi="Times" w:eastAsia="宋体"/>
                <w:sz w:val="20"/>
                <w:lang w:eastAsia="zh-CN"/>
              </w:rPr>
              <w:t>Other aspects are not precluded</w:t>
            </w:r>
          </w:p>
          <w:p w14:paraId="45711109">
            <w:pPr>
              <w:spacing w:after="0"/>
              <w:rPr>
                <w:rFonts w:ascii="Times" w:hAnsi="Times" w:eastAsia="Batang" w:cs="等线"/>
                <w:sz w:val="20"/>
                <w:lang w:val="en-GB"/>
              </w:rPr>
            </w:pPr>
            <w:r>
              <w:rPr>
                <w:rFonts w:ascii="Times" w:hAnsi="Times" w:eastAsia="Batang" w:cs="等线"/>
                <w:sz w:val="20"/>
                <w:lang w:val="en-GB"/>
              </w:rPr>
              <w:t>Note: the phase information may be used in different ways, e.g., one phase value for the first path or first sample only; triplet of {timing information, power information, phase information} for CIR, etc.</w:t>
            </w:r>
          </w:p>
        </w:tc>
      </w:tr>
    </w:tbl>
    <w:p w14:paraId="4C91E0B4"/>
    <w:p w14:paraId="474FBB9D">
      <w:r>
        <w:t>In the sub-sections below, analysis is provided for the following aspects:</w:t>
      </w:r>
    </w:p>
    <w:p w14:paraId="7B2AD901">
      <w:pPr>
        <w:pStyle w:val="133"/>
        <w:numPr>
          <w:ilvl w:val="0"/>
          <w:numId w:val="27"/>
        </w:numPr>
      </w:pPr>
      <w:r>
        <w:t>Inapplicability of Rel-18 carrier phase positioning;</w:t>
      </w:r>
    </w:p>
    <w:p w14:paraId="02359349">
      <w:pPr>
        <w:pStyle w:val="133"/>
        <w:numPr>
          <w:ilvl w:val="0"/>
          <w:numId w:val="27"/>
        </w:numPr>
      </w:pPr>
      <w:r>
        <w:t>Issues with non-spatial-dependent initial phases;</w:t>
      </w:r>
    </w:p>
    <w:p w14:paraId="6BF77E78">
      <w:pPr>
        <w:pStyle w:val="133"/>
        <w:numPr>
          <w:ilvl w:val="0"/>
          <w:numId w:val="27"/>
        </w:numPr>
      </w:pPr>
      <w:r>
        <w:t>Difficulty to align phase measurements between model training and model inference;</w:t>
      </w:r>
    </w:p>
    <w:p w14:paraId="7143D9B5">
      <w:pPr>
        <w:pStyle w:val="133"/>
        <w:numPr>
          <w:ilvl w:val="0"/>
          <w:numId w:val="27"/>
        </w:numPr>
        <w:rPr>
          <w:lang w:val="sv-SE"/>
        </w:rPr>
      </w:pPr>
      <w:r>
        <w:t>Signaling overhead</w:t>
      </w:r>
    </w:p>
    <w:p w14:paraId="4C178F5A">
      <w:r>
        <w:t xml:space="preserve">Considering all the pros and cons of phase measurement as model input, we conclude that it is not feasible nor necessary to support phase information for determining model input, including CIR and single phase value for first path. </w:t>
      </w:r>
    </w:p>
    <w:p w14:paraId="014135B7">
      <w:pPr>
        <w:pStyle w:val="73"/>
      </w:pPr>
      <w:bookmarkStart w:id="1471" w:name="_Toc189845112"/>
      <w:r>
        <w:t>Do not support phase information for determining model input, including CIR and single phase value for first path/sample.</w:t>
      </w:r>
      <w:bookmarkEnd w:id="1471"/>
    </w:p>
    <w:p w14:paraId="3A4D1AF0">
      <w:pPr>
        <w:pStyle w:val="4"/>
        <w:rPr>
          <w:lang w:val="en-US"/>
        </w:rPr>
      </w:pPr>
      <w:bookmarkStart w:id="1472" w:name="_Toc189845016"/>
      <w:r>
        <w:rPr>
          <w:lang w:val="en-US"/>
        </w:rPr>
        <w:t>Inapplicability of Rel-18 carrier phase positioning</w:t>
      </w:r>
      <w:bookmarkEnd w:id="1472"/>
    </w:p>
    <w:p w14:paraId="5B724DB0">
      <w:r>
        <w:t xml:space="preserve">During RAN1#116bis, there was a discussion on supporting Rel18 CPP measurements (DL RSCPD, DL RSCP, UL RSCP) for AI/ML positioning as model input. Since release 18 positioning was specified in parallel to the AI/ML study item phase, CPP was not evaluated during the Rel-18 AI/ML study. Moreover, CPP was specified for environement with very high line of sight probability. During Rel18 CPP specification, it was concluded  that LOS was critical to proper operation of CPP.  Additionally, In AI/ML cases, the TRP/UE links are generally NLOS, and the phase information of the first path/sample does not carry much information of the UE position.  Additionally, NLOS phase information is very sensitive to even minimal environement changes, such as changes in the nature of the material reflecting the path.  Finally, CPP requires PRU to be operating next to the UE during both training and inference, which adds to deployment cost and signalling overhead.  </w:t>
      </w:r>
    </w:p>
    <w:p w14:paraId="3BB4A925"/>
    <w:p w14:paraId="41D262AC">
      <w:pPr>
        <w:pStyle w:val="97"/>
      </w:pPr>
      <w:bookmarkStart w:id="1473" w:name="_Toc189845066"/>
      <w:r>
        <w:t>Rel-18 CPP measurements (DL RSCPD, DL RSCP, UL RSCP) assume LoS environment, which is contradictory with the target use case of Rel-19 AI/ML based positioning.</w:t>
      </w:r>
      <w:bookmarkEnd w:id="1473"/>
    </w:p>
    <w:p w14:paraId="3E3DE211">
      <w:pPr>
        <w:pStyle w:val="97"/>
      </w:pPr>
      <w:bookmarkStart w:id="1474" w:name="_Toc189845067"/>
      <w:r>
        <w:t>Single phase value for first path/sample (e.g., DL RSCPD, DL RSCP, UL RSCP) brings no observable performance benefits to PDP, but incurs substantially high deployment cost and signalling overhead.</w:t>
      </w:r>
      <w:bookmarkEnd w:id="1474"/>
    </w:p>
    <w:p w14:paraId="5FBCB5D6">
      <w:pPr>
        <w:pStyle w:val="4"/>
        <w:rPr>
          <w:lang w:val="en-US"/>
        </w:rPr>
      </w:pPr>
      <w:bookmarkStart w:id="1475" w:name="_Ref163131777"/>
      <w:bookmarkStart w:id="1476" w:name="_Toc165990988"/>
      <w:bookmarkStart w:id="1477" w:name="_Toc189845017"/>
      <w:r>
        <w:rPr>
          <w:lang w:val="en-US"/>
        </w:rPr>
        <w:t>Issues with random initial phase</w:t>
      </w:r>
      <w:bookmarkEnd w:id="1475"/>
      <w:bookmarkEnd w:id="1476"/>
      <w:bookmarkEnd w:id="1477"/>
    </w:p>
    <w:p w14:paraId="6598C18F">
      <w:r>
        <w:t xml:space="preserve">The clock and/or frequency generation circuits are essential components in modern digital wireless communications systems. The circuits are used to drive reference waveform to demodulate signals received over the air. Due to the random states of clock/frequency generation circuits in the measurement radio node, the phase of the ML measurement data such as the time domain channel impulse responses may contain random and unhelpful information to AI/ML models. For the AI/ML positioning application, this means for UE revisiting the exact same location, the TD CIR sample sequences may still differ because the state of the clock/frequency generation circuits may be at different state. A TD CIR sample </w:t>
      </w:r>
      <m:oMath>
        <m:sSubSup>
          <m:sSubSupPr>
            <m:ctrlPr>
              <w:rPr>
                <w:rFonts w:ascii="Cambria Math" w:hAnsi="Cambria Math"/>
                <w:i/>
              </w:rPr>
            </m:ctrlPr>
          </m:sSubSupPr>
          <m:e>
            <m:r>
              <m:rPr/>
              <w:rPr>
                <w:rFonts w:ascii="Cambria Math" w:hAnsi="Cambria Math"/>
              </w:rPr>
              <m:t>h</m:t>
            </m:r>
            <m:ctrlPr>
              <w:rPr>
                <w:rFonts w:ascii="Cambria Math" w:hAnsi="Cambria Math"/>
                <w:i/>
                <w:iCs/>
              </w:rPr>
            </m:ctrlPr>
          </m:e>
          <m:sub>
            <m:r>
              <m:rPr/>
              <w:rPr>
                <w:rFonts w:ascii="Cambria Math" w:hAnsi="Cambria Math"/>
              </w:rPr>
              <m:t>a</m:t>
            </m:r>
            <m:ctrlPr>
              <w:rPr>
                <w:rFonts w:ascii="Cambria Math" w:hAnsi="Cambria Math"/>
                <w:i/>
                <w:iCs/>
              </w:rPr>
            </m:ctrlPr>
          </m:sub>
          <m:sup>
            <m:r>
              <m:rPr/>
              <w:rPr>
                <w:rFonts w:ascii="Cambria Math" w:hAnsi="Cambria Math"/>
              </w:rPr>
              <m:t>(1)</m:t>
            </m:r>
            <m:ctrlPr>
              <w:rPr>
                <w:rFonts w:ascii="Cambria Math" w:hAnsi="Cambria Math"/>
                <w:i/>
              </w:rPr>
            </m:ctrlPr>
          </m:sup>
        </m:sSubSup>
        <m:r>
          <m:rPr/>
          <w:rPr>
            <w:rFonts w:ascii="Cambria Math" w:hAnsi="Cambria Math"/>
          </w:rPr>
          <m:t>[d]</m:t>
        </m:r>
      </m:oMath>
      <w:r>
        <w:t xml:space="preserve"> measured </w:t>
      </w:r>
      <w:r>
        <w:rPr>
          <w:iCs/>
        </w:rPr>
        <w:t xml:space="preserve">at a first visit and </w:t>
      </w:r>
      <m:oMath>
        <m:sSubSup>
          <m:sSubSupPr>
            <m:ctrlPr>
              <w:rPr>
                <w:rFonts w:ascii="Cambria Math" w:hAnsi="Cambria Math"/>
                <w:i/>
              </w:rPr>
            </m:ctrlPr>
          </m:sSubSupPr>
          <m:e>
            <m:r>
              <m:rPr/>
              <w:rPr>
                <w:rFonts w:ascii="Cambria Math" w:hAnsi="Cambria Math"/>
              </w:rPr>
              <m:t>h</m:t>
            </m:r>
            <m:ctrlPr>
              <w:rPr>
                <w:rFonts w:ascii="Cambria Math" w:hAnsi="Cambria Math"/>
                <w:i/>
                <w:iCs/>
              </w:rPr>
            </m:ctrlPr>
          </m:e>
          <m:sub>
            <m:r>
              <m:rPr/>
              <w:rPr>
                <w:rFonts w:ascii="Cambria Math" w:hAnsi="Cambria Math"/>
              </w:rPr>
              <m:t>a</m:t>
            </m:r>
            <m:ctrlPr>
              <w:rPr>
                <w:rFonts w:ascii="Cambria Math" w:hAnsi="Cambria Math"/>
                <w:i/>
                <w:iCs/>
              </w:rPr>
            </m:ctrlPr>
          </m:sub>
          <m:sup>
            <m:r>
              <m:rPr/>
              <w:rPr>
                <w:rFonts w:ascii="Cambria Math" w:hAnsi="Cambria Math"/>
              </w:rPr>
              <m:t>(2)</m:t>
            </m:r>
            <m:ctrlPr>
              <w:rPr>
                <w:rFonts w:ascii="Cambria Math" w:hAnsi="Cambria Math"/>
                <w:i/>
              </w:rPr>
            </m:ctrlPr>
          </m:sup>
        </m:sSubSup>
        <m:d>
          <m:dPr>
            <m:begChr m:val="["/>
            <m:endChr m:val="]"/>
            <m:ctrlPr>
              <w:rPr>
                <w:rFonts w:ascii="Cambria Math" w:hAnsi="Cambria Math"/>
                <w:i/>
              </w:rPr>
            </m:ctrlPr>
          </m:dPr>
          <m:e>
            <m:r>
              <m:rPr/>
              <w:rPr>
                <w:rFonts w:ascii="Cambria Math" w:hAnsi="Cambria Math"/>
              </w:rPr>
              <m:t>d</m:t>
            </m:r>
            <m:ctrlPr>
              <w:rPr>
                <w:rFonts w:ascii="Cambria Math" w:hAnsi="Cambria Math"/>
                <w:i/>
              </w:rPr>
            </m:ctrlPr>
          </m:e>
        </m:d>
      </m:oMath>
      <w:r>
        <w:rPr>
          <w:iCs/>
        </w:rPr>
        <w:t xml:space="preserve"> measured at a second visit may be different because of the different </w:t>
      </w:r>
      <w:r>
        <w:t xml:space="preserve">states of clock/frequency generation circuits. </w:t>
      </w:r>
    </w:p>
    <w:p w14:paraId="30467D97">
      <w:r>
        <w:t xml:space="preserve">More specifically, let the sequence of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w:r>
        <w:t xml:space="preserve"> complex-valued TD CIR samples measured on receive antenna port </w:t>
      </w:r>
      <m:oMath>
        <m:r>
          <m:rPr/>
          <w:rPr>
            <w:rFonts w:ascii="Cambria Math" w:hAnsi="Cambria Math"/>
          </w:rPr>
          <m:t>a</m:t>
        </m:r>
      </m:oMath>
      <w:r>
        <w:t xml:space="preserve"> be </w:t>
      </w:r>
    </w:p>
    <w:p w14:paraId="1B4CE040">
      <m:oMathPara>
        <m:oMath>
          <m:d>
            <m:dPr>
              <m:begChr m:val="{"/>
              <m:endChr m:val="}"/>
              <m:ctrlPr>
                <w:rPr>
                  <w:rFonts w:ascii="Cambria Math" w:hAnsi="Cambria Math"/>
                  <w:i/>
                </w:rPr>
              </m:ctrlPr>
            </m:dPr>
            <m:e>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r>
                <m:rPr/>
                <w:rPr>
                  <w:rFonts w:ascii="Cambria Math" w:hAnsi="Cambria Math"/>
                </w:rPr>
                <m:t xml:space="preserve">, </m:t>
              </m:r>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r>
                <m:rPr/>
                <w:rPr>
                  <w:rFonts w:ascii="Cambria Math" w:hAnsi="Cambria Math"/>
                </w:rPr>
                <m:t xml:space="preserve">, …, </m:t>
              </m:r>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a</m:t>
                  </m:r>
                  <m:ctrlPr>
                    <w:rPr>
                      <w:rFonts w:ascii="Cambria Math" w:hAnsi="Cambria Math"/>
                      <w:i/>
                      <w:iCs/>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−1</m:t>
                  </m:r>
                  <m:ctrlPr>
                    <w:rPr>
                      <w:rFonts w:ascii="Cambria Math" w:hAnsi="Cambria Math"/>
                      <w:i/>
                    </w:rPr>
                  </m:ctrlPr>
                </m:sub>
              </m:sSub>
              <m:r>
                <m:rPr/>
                <w:rPr>
                  <w:rFonts w:ascii="Cambria Math" w:hAnsi="Cambria Math"/>
                </w:rPr>
                <m:t>]</m:t>
              </m:r>
              <m:ctrlPr>
                <w:rPr>
                  <w:rFonts w:ascii="Cambria Math" w:hAnsi="Cambria Math"/>
                  <w:i/>
                </w:rPr>
              </m:ctrlPr>
            </m:e>
          </m:d>
        </m:oMath>
      </m:oMathPara>
    </w:p>
    <w:p w14:paraId="6F43BB48">
      <w:r>
        <w:t xml:space="preserve">where </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d</m:t>
            </m:r>
            <m:ctrlPr>
              <w:rPr>
                <w:rFonts w:ascii="Cambria Math" w:hAnsi="Cambria Math"/>
                <w:i/>
              </w:rPr>
            </m:ctrlPr>
          </m:e>
          <m:sub>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−1</m:t>
            </m:r>
            <m:ctrlPr>
              <w:rPr>
                <w:rFonts w:ascii="Cambria Math" w:hAnsi="Cambria Math"/>
                <w:i/>
              </w:rPr>
            </m:ctrlPr>
          </m:sub>
        </m:sSub>
      </m:oMath>
      <w:r>
        <w:t xml:space="preserve"> are the sampling time locations of the TD CIR samples. The sampling time locations may be on a regular sampling grid with integer values or off the regular grid with non-integer values as discussed in the last section. The complex CIR samples can be equivalently represented by the power and phase parts:</w:t>
      </w:r>
    </w:p>
    <w:p w14:paraId="1474B6AA">
      <w:pPr>
        <w:rPr>
          <w:rFonts w:ascii="Cambria Math" w:hAnsi="Cambria Math"/>
          <w:i/>
          <w:iCs/>
        </w:rPr>
      </w:pPr>
      <m:oMathPara>
        <m:oMath>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iCs/>
                    </w:rPr>
                  </m:ctrlPr>
                </m:e>
              </m:d>
              <m:r>
                <m:rPr/>
                <w:rPr>
                  <w:rFonts w:ascii="Cambria Math" w:hAnsi="Cambria Math"/>
                </w:rPr>
                <m:t>,</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iCs/>
                    </w:rPr>
                  </m:ctrlPr>
                </m:e>
              </m:d>
              <m:r>
                <m:rPr/>
                <w:rPr>
                  <w:rFonts w:ascii="Cambria Math" w:hAnsi="Cambria Math"/>
                </w:rPr>
                <m:t xml:space="preserve">, …, </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a</m:t>
                  </m:r>
                  <m:ctrlPr>
                    <w:rPr>
                      <w:rFonts w:ascii="Cambria Math" w:hAnsi="Cambria Math"/>
                      <w:i/>
                      <w:iCs/>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−1</m:t>
                  </m:r>
                  <m:ctrlPr>
                    <w:rPr>
                      <w:rFonts w:ascii="Cambria Math" w:hAnsi="Cambria Math"/>
                      <w:i/>
                    </w:rPr>
                  </m:ctrlPr>
                </m:sub>
              </m:sSub>
              <m:r>
                <m:rPr/>
                <w:rPr>
                  <w:rFonts w:ascii="Cambria Math" w:hAnsi="Cambria Math"/>
                </w:rPr>
                <m:t>]</m:t>
              </m:r>
              <m:ctrlPr>
                <w:rPr>
                  <w:rFonts w:ascii="Cambria Math" w:hAnsi="Cambria Math"/>
                  <w:i/>
                  <w:iCs/>
                </w:rPr>
              </m:ctrlPr>
            </m:e>
          </m:d>
        </m:oMath>
      </m:oMathPara>
    </w:p>
    <w:p w14:paraId="5C9054D3">
      <w:pPr>
        <w:rPr>
          <w:rFonts w:ascii="Cambria Math" w:hAnsi="Cambria Math"/>
          <w:i/>
          <w:iCs/>
        </w:rPr>
      </w:pPr>
      <m:oMathPara>
        <m:oMath>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iCs/>
                    </w:rPr>
                  </m:ctrlPr>
                </m:e>
              </m:d>
              <m:r>
                <m:rPr/>
                <w:rPr>
                  <w:rFonts w:ascii="Cambria Math" w:hAnsi="Cambria Math"/>
                </w:rPr>
                <m:t xml:space="preserve">, </m:t>
              </m:r>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iCs/>
                    </w:rPr>
                  </m:ctrlPr>
                </m:e>
              </m:d>
              <m:r>
                <m:rPr/>
                <w:rPr>
                  <w:rFonts w:ascii="Cambria Math" w:hAnsi="Cambria Math"/>
                </w:rPr>
                <m:t xml:space="preserve">, …, </m:t>
              </m:r>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−1</m:t>
                  </m:r>
                  <m:ctrlPr>
                    <w:rPr>
                      <w:rFonts w:ascii="Cambria Math" w:hAnsi="Cambria Math"/>
                      <w:i/>
                    </w:rPr>
                  </m:ctrlPr>
                </m:sub>
              </m:sSub>
              <m:r>
                <m:rPr/>
                <w:rPr>
                  <w:rFonts w:ascii="Cambria Math" w:hAnsi="Cambria Math"/>
                </w:rPr>
                <m:t>]</m:t>
              </m:r>
              <m:ctrlPr>
                <w:rPr>
                  <w:rFonts w:ascii="Cambria Math" w:hAnsi="Cambria Math"/>
                  <w:i/>
                  <w:iCs/>
                </w:rPr>
              </m:ctrlPr>
            </m:e>
          </m:d>
        </m:oMath>
      </m:oMathPara>
    </w:p>
    <w:p w14:paraId="2812FDEB">
      <w:r>
        <w:t xml:space="preserve">where </w:t>
      </w:r>
      <m:oMath>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rPr>
            </m:ctrlPr>
          </m:dPr>
          <m:e>
            <m:r>
              <m:rPr/>
              <w:rPr>
                <w:rFonts w:ascii="Cambria Math" w:hAnsi="Cambria Math"/>
              </w:rPr>
              <m:t>d</m:t>
            </m:r>
            <m:ctrlPr>
              <w:rPr>
                <w:rFonts w:ascii="Cambria Math" w:hAnsi="Cambria Math"/>
                <w:i/>
              </w:rPr>
            </m:ctrlPr>
          </m:e>
        </m:d>
        <m:r>
          <m:rPr/>
          <w:rPr>
            <w:rFonts w:ascii="Cambria Math" w:hAnsi="Cambria Math"/>
          </w:rPr>
          <m:t>=</m:t>
        </m:r>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a</m:t>
                </m:r>
                <m:ctrlPr>
                  <w:rPr>
                    <w:rFonts w:ascii="Cambria Math" w:hAnsi="Cambria Math"/>
                    <w:i/>
                  </w:rPr>
                </m:ctrlPr>
              </m:sub>
            </m:sSub>
            <m:d>
              <m:dPr>
                <m:begChr m:val="["/>
                <m:endChr m:val="]"/>
                <m:ctrlPr>
                  <w:rPr>
                    <w:rFonts w:ascii="Cambria Math" w:hAnsi="Cambria Math"/>
                    <w:i/>
                  </w:rPr>
                </m:ctrlPr>
              </m:dPr>
              <m:e>
                <m:r>
                  <m:rPr/>
                  <w:rPr>
                    <w:rFonts w:ascii="Cambria Math" w:hAnsi="Cambria Math"/>
                  </w:rPr>
                  <m:t>d</m:t>
                </m:r>
                <m:ctrlPr>
                  <w:rPr>
                    <w:rFonts w:ascii="Cambria Math" w:hAnsi="Cambria Math"/>
                    <w:i/>
                  </w:rPr>
                </m:ctrlPr>
              </m:e>
            </m:d>
            <m:ctrlPr>
              <w:rPr>
                <w:rFonts w:ascii="Cambria Math" w:hAnsi="Cambria Math"/>
                <w:i/>
              </w:rPr>
            </m:ctrlPr>
          </m:e>
        </m:rad>
        <m:r>
          <m:rPr/>
          <w:rPr>
            <w:rFonts w:ascii="Cambria Math" w:hAnsi="Cambria Math"/>
          </w:rPr>
          <m:t>⋅</m:t>
        </m:r>
        <m:func>
          <m:funcPr>
            <m:ctrlPr>
              <w:rPr>
                <w:rFonts w:ascii="Cambria Math" w:hAnsi="Cambria Math"/>
                <w:i/>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m:rPr/>
                  <w:rPr>
                    <w:rFonts w:ascii="Cambria Math" w:hAnsi="Cambria Math"/>
                  </w:rPr>
                  <m:t>j</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a</m:t>
                    </m:r>
                    <m:ctrlPr>
                      <w:rPr>
                        <w:rFonts w:ascii="Cambria Math" w:hAnsi="Cambria Math"/>
                        <w:i/>
                      </w:rPr>
                    </m:ctrlPr>
                  </m:sub>
                </m:sSub>
                <m:d>
                  <m:dPr>
                    <m:begChr m:val="["/>
                    <m:endChr m:val="]"/>
                    <m:ctrlPr>
                      <w:rPr>
                        <w:rFonts w:ascii="Cambria Math" w:hAnsi="Cambria Math"/>
                        <w:i/>
                      </w:rPr>
                    </m:ctrlPr>
                  </m:dPr>
                  <m:e>
                    <m:r>
                      <m:rPr/>
                      <w:rPr>
                        <w:rFonts w:ascii="Cambria Math" w:hAnsi="Cambria Math"/>
                      </w:rPr>
                      <m:t>d</m:t>
                    </m:r>
                    <m:ctrlPr>
                      <w:rPr>
                        <w:rFonts w:ascii="Cambria Math" w:hAnsi="Cambria Math"/>
                        <w:i/>
                      </w:rPr>
                    </m:ctrlPr>
                  </m:e>
                </m:d>
                <m:ctrlPr>
                  <w:rPr>
                    <w:rFonts w:ascii="Cambria Math" w:hAnsi="Cambria Math"/>
                    <w:i/>
                  </w:rPr>
                </m:ctrlPr>
              </m:e>
            </m:d>
            <m:ctrlPr>
              <w:rPr>
                <w:rFonts w:ascii="Cambria Math" w:hAnsi="Cambria Math"/>
                <w:i/>
              </w:rPr>
            </m:ctrlPr>
          </m:e>
        </m:func>
      </m:oMath>
      <w:r>
        <w:t xml:space="preserve">, for </w:t>
      </w:r>
      <m:oMath>
        <m:r>
          <m:rPr/>
          <w:rPr>
            <w:rFonts w:ascii="Cambria Math" w:hAnsi="Cambria Math"/>
          </w:rPr>
          <m:t>d=</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d</m:t>
            </m:r>
            <m:ctrlPr>
              <w:rPr>
                <w:rFonts w:ascii="Cambria Math" w:hAnsi="Cambria Math"/>
                <w:i/>
              </w:rPr>
            </m:ctrlPr>
          </m:e>
          <m:sub>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−1</m:t>
            </m:r>
            <m:ctrlPr>
              <w:rPr>
                <w:rFonts w:ascii="Cambria Math" w:hAnsi="Cambria Math"/>
                <w:i/>
              </w:rPr>
            </m:ctrlPr>
          </m:sub>
        </m:sSub>
      </m:oMath>
      <w:r>
        <w:t>.</w:t>
      </w:r>
    </w:p>
    <w:p w14:paraId="7BA3DCFC">
      <w:r>
        <w:t xml:space="preserve">The above discussion indicates that the initial phase value </w:t>
      </w:r>
      <m:oMath>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iCs/>
              </w:rPr>
            </m:ctrlPr>
          </m:e>
        </m:d>
      </m:oMath>
      <w:r>
        <w:t xml:space="preserve"> may in fact be random and contains no useful spatial dependent information. An AI/ML model trained with samples containing such spurious values will nonetheless learn to associate the target positions with these random initial phases in the training dataset. When fed with new measurements with new random phases during inference, the model will be confused and generates inaccurate position estimates.</w:t>
      </w:r>
    </w:p>
    <w:p w14:paraId="5861ADBA">
      <w:r>
        <w:t xml:space="preserve">For instance, we trained a </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=256</m:t>
        </m:r>
      </m:oMath>
      <w:r>
        <w:t xml:space="preserve">,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=128</m:t>
        </m:r>
      </m:oMath>
      <w:r>
        <w:t xml:space="preserve"> CIR model using a training dataset of 40,000 samples with the measured phases (i.e., containing the random initial phases). In </w:t>
      </w:r>
      <w:r>
        <w:fldChar w:fldCharType="begin"/>
      </w:r>
      <w:r>
        <w:instrText xml:space="preserve"> REF _Ref163127728 </w:instrText>
      </w:r>
      <w:r>
        <w:fldChar w:fldCharType="separate"/>
      </w:r>
      <w:r>
        <w:t>Table 2</w:t>
      </w:r>
      <w:r>
        <w:fldChar w:fldCharType="end"/>
      </w:r>
      <w:r>
        <w:t>, we tested the trained model under two different conditions:</w:t>
      </w:r>
    </w:p>
    <w:p w14:paraId="36528DEA">
      <w:pPr>
        <w:pStyle w:val="133"/>
        <w:numPr>
          <w:ilvl w:val="0"/>
          <w:numId w:val="28"/>
        </w:numPr>
      </w:pPr>
      <w:r>
        <w:t>When the trained model is tested with consistent initial phase (that is, the initial phase values for different UE positions reflects only the spatial differences), the model achieves a 90%tile 2D UE positioning error of 0.38 m.</w:t>
      </w:r>
    </w:p>
    <w:p w14:paraId="181B1F94">
      <w:pPr>
        <w:pStyle w:val="133"/>
        <w:numPr>
          <w:ilvl w:val="0"/>
          <w:numId w:val="28"/>
        </w:numPr>
      </w:pPr>
      <w:r>
        <w:t>When the trained model is tested with random initial phase (that is, the initial phase values for different UE positions reflects the spatial differences and random phases), the 90%tile 2D UE positioning error increases by 20% to 0.46 m.</w:t>
      </w:r>
    </w:p>
    <w:p w14:paraId="639734E0">
      <w:pPr>
        <w:pStyle w:val="29"/>
      </w:pPr>
      <w:bookmarkStart w:id="1478" w:name="_Ref163127728"/>
      <w:r>
        <w:t xml:space="preserve">Table </w:t>
      </w:r>
      <w:r>
        <w:fldChar w:fldCharType="begin"/>
      </w:r>
      <w:r>
        <w:instrText xml:space="preserve"> SEQ Table \* ARABIC </w:instrText>
      </w:r>
      <w:r>
        <w:fldChar w:fldCharType="separate"/>
      </w:r>
      <w:r>
        <w:t>2</w:t>
      </w:r>
      <w:r>
        <w:fldChar w:fldCharType="end"/>
      </w:r>
      <w:bookmarkEnd w:id="1478"/>
      <w:r>
        <w:t xml:space="preserve"> Comparison of 2D UE positioning errors </w:t>
      </w:r>
      <m:oMath>
        <m:sSub>
          <m:sSubPr>
            <m:ctrlPr>
              <w:rPr>
                <w:rFonts w:ascii="Cambria Math" w:hAnsi="Cambria Math" w:eastAsia="Calibri"/>
                <w:i/>
              </w:rPr>
            </m:ctrlPr>
          </m:sSubPr>
          <m:e>
            <m:r>
              <m:rPr>
                <m:sty m:val="b"/>
              </m:rPr>
              <w:rPr>
                <w:rFonts w:ascii="Cambria Math" w:hAnsi="Cambria Math"/>
              </w:rPr>
              <m:t>Δ</m:t>
            </m:r>
            <m:ctrlPr>
              <w:rPr>
                <w:rFonts w:ascii="Cambria Math" w:hAnsi="Cambria Math"/>
              </w:rPr>
            </m:ctrlPr>
          </m:e>
          <m:sub>
            <m:r>
              <m:rPr>
                <m:sty m:val="bi"/>
              </m:rPr>
              <w:rPr>
                <w:rFonts w:ascii="Cambria Math" w:hAnsi="Cambria Math"/>
              </w:rPr>
              <m:t>90%</m:t>
            </m:r>
            <m:ctrlPr>
              <w:rPr>
                <w:rFonts w:ascii="Cambria Math" w:hAnsi="Cambria Math" w:eastAsia="Calibri"/>
                <w:i/>
              </w:rPr>
            </m:ctrlPr>
          </m:sub>
        </m:sSub>
      </m:oMath>
      <w:r>
        <w:t xml:space="preserve"> (in meters) for a </w:t>
      </w:r>
      <m:oMath>
        <m:sSub>
          <m:sSubPr>
            <m:ctrlPr>
              <w:rPr>
                <w:rFonts w:ascii="Cambria Math" w:hAnsi="Cambria Math"/>
                <w:i/>
              </w:rPr>
            </m:ctrlPr>
          </m:sSubPr>
          <m:e>
            <m:r>
              <m:rPr>
                <m:sty m:val="bi"/>
              </m:rPr>
              <w:rPr>
                <w:rFonts w:ascii="Cambria Math" w:hAnsi="Cambria Math"/>
              </w:rPr>
              <m:t>N</m:t>
            </m:r>
            <m:ctrlPr>
              <w:rPr>
                <w:rFonts w:ascii="Cambria Math" w:hAnsi="Cambria Math"/>
                <w:i/>
              </w:rPr>
            </m:ctrlPr>
          </m:e>
          <m:sub>
            <m:r>
              <m:rPr>
                <m:sty m:val="bi"/>
              </m:rPr>
              <w:rPr>
                <w:rFonts w:ascii="Cambria Math" w:hAnsi="Cambria Math"/>
              </w:rPr>
              <m:t>t</m:t>
            </m:r>
            <m:ctrlPr>
              <w:rPr>
                <w:rFonts w:ascii="Cambria Math" w:hAnsi="Cambria Math"/>
                <w:i/>
              </w:rPr>
            </m:ctrlPr>
          </m:sub>
        </m:sSub>
        <m:r>
          <m:rPr>
            <m:sty m:val="bi"/>
          </m:rPr>
          <w:rPr>
            <w:rFonts w:ascii="Cambria Math" w:hAnsi="Cambria Math"/>
          </w:rPr>
          <m:t>=256</m:t>
        </m:r>
      </m:oMath>
      <w:r>
        <w:t xml:space="preserve">, </w:t>
      </w:r>
      <m:oMath>
        <m:sSubSup>
          <m:sSubSupPr>
            <m:ctrlPr>
              <w:rPr>
                <w:rFonts w:ascii="Cambria Math" w:hAnsi="Cambria Math"/>
                <w:i/>
              </w:rPr>
            </m:ctrlPr>
          </m:sSubSupPr>
          <m:e>
            <m:r>
              <m:rPr>
                <m:sty m:val="bi"/>
              </m:rPr>
              <w:rPr>
                <w:rFonts w:ascii="Cambria Math" w:hAnsi="Cambria Math"/>
              </w:rPr>
              <m:t>N</m:t>
            </m:r>
            <m:ctrlPr>
              <w:rPr>
                <w:rFonts w:ascii="Cambria Math" w:hAnsi="Cambria Math"/>
                <w:i/>
              </w:rPr>
            </m:ctrlPr>
          </m:e>
          <m:sub>
            <m:r>
              <m:rPr>
                <m:sty m:val="bi"/>
              </m:rPr>
              <w:rPr>
                <w:rFonts w:ascii="Cambria Math" w:hAnsi="Cambria Math"/>
              </w:rPr>
              <m:t>t</m:t>
            </m:r>
            <m:ctrlPr>
              <w:rPr>
                <w:rFonts w:ascii="Cambria Math" w:hAnsi="Cambria Math"/>
                <w:i/>
              </w:rPr>
            </m:ctrlPr>
          </m:sub>
          <m:sup>
            <m:r>
              <m:rPr>
                <m:sty m:val="bi"/>
              </m:rPr>
              <w:rPr>
                <w:rFonts w:ascii="Cambria Math" w:hAnsi="Cambria Math"/>
              </w:rPr>
              <m:t>'</m:t>
            </m:r>
            <m:ctrlPr>
              <w:rPr>
                <w:rFonts w:ascii="Cambria Math" w:hAnsi="Cambria Math"/>
                <w:i/>
              </w:rPr>
            </m:ctrlPr>
          </m:sup>
        </m:sSubSup>
        <m:r>
          <m:rPr>
            <m:sty m:val="bi"/>
          </m:rPr>
          <w:rPr>
            <w:rFonts w:ascii="Cambria Math" w:hAnsi="Cambria Math"/>
          </w:rPr>
          <m:t>=128</m:t>
        </m:r>
      </m:oMath>
      <w:r>
        <w:t xml:space="preserve"> model trained without random initial phase and (1) tested without random initial phases or (2) tested with random initial phases in the </w:t>
      </w:r>
      <w:r>
        <w:rPr>
          <w:lang w:eastAsia="ja-JP"/>
        </w:rPr>
        <w:t>{60%, 6m, 2m} InF-DH scenario</w:t>
      </w:r>
      <w:r>
        <w:t xml:space="preserve">. The positioning accuracy is for the “small model” for centralized direct positioning trained with 40,000 samples </w:t>
      </w:r>
      <w:r>
        <w:fldChar w:fldCharType="begin"/>
      </w:r>
      <w:r>
        <w:instrText xml:space="preserve"> REF _Ref158730650 \r \h </w:instrText>
      </w:r>
      <w:r>
        <w:fldChar w:fldCharType="separate"/>
      </w:r>
      <w:r>
        <w:t>[6]</w:t>
      </w:r>
      <w:r>
        <w:fldChar w:fldCharType="end"/>
      </w:r>
      <w:r>
        <w:t>.</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3119"/>
        <w:gridCol w:w="3120"/>
      </w:tblGrid>
      <w:tr w14:paraId="7488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6" w:type="dxa"/>
            <w:vMerge w:val="restart"/>
            <w:vAlign w:val="center"/>
          </w:tcPr>
          <w:p w14:paraId="3AD4537C">
            <w:pPr>
              <w:spacing w:before="60" w:after="60"/>
              <w:jc w:val="center"/>
              <w:rPr>
                <w:sz w:val="20"/>
                <w:szCs w:val="20"/>
              </w:rPr>
            </w:pPr>
            <w:r>
              <w:rPr>
                <w:sz w:val="20"/>
                <w:szCs w:val="20"/>
              </w:rPr>
              <w:t>CDF Percentile</w:t>
            </w:r>
          </w:p>
        </w:tc>
        <w:tc>
          <w:tcPr>
            <w:tcW w:w="6239" w:type="dxa"/>
            <w:gridSpan w:val="2"/>
            <w:tcBorders>
              <w:bottom w:val="single" w:color="auto" w:sz="4" w:space="0"/>
            </w:tcBorders>
            <w:vAlign w:val="center"/>
          </w:tcPr>
          <w:p w14:paraId="7E939B47">
            <w:pPr>
              <w:spacing w:before="60" w:after="60"/>
              <w:jc w:val="center"/>
              <w:rPr>
                <w:sz w:val="20"/>
                <w:szCs w:val="20"/>
              </w:rPr>
            </w:pPr>
            <w:r>
              <w:rPr>
                <w:sz w:val="20"/>
                <w:szCs w:val="20"/>
              </w:rPr>
              <w:t>UE 2D positioning errors [m] in {60%, 6m, 2m}</w:t>
            </w:r>
          </w:p>
          <w:p w14:paraId="7FB8EDD2">
            <w:pPr>
              <w:spacing w:before="60" w:after="60"/>
              <w:jc w:val="center"/>
              <w:rPr>
                <w:sz w:val="20"/>
                <w:szCs w:val="20"/>
              </w:rPr>
            </w:pPr>
            <w:r>
              <w:rPr>
                <w:sz w:val="20"/>
                <w:szCs w:val="20"/>
              </w:rPr>
              <w:t xml:space="preserve">Model I trained with 40,000 CIR samples without random </w:t>
            </w:r>
            <m:oMath>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iCs/>
                    </w:rPr>
                  </m:ctrlPr>
                </m:e>
              </m:d>
            </m:oMath>
            <w:r>
              <w:rPr>
                <w:sz w:val="20"/>
                <w:szCs w:val="20"/>
              </w:rPr>
              <w:t xml:space="preserve"> </w:t>
            </w:r>
          </w:p>
        </w:tc>
      </w:tr>
      <w:tr w14:paraId="519E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6" w:type="dxa"/>
            <w:vMerge w:val="continue"/>
            <w:tcBorders>
              <w:bottom w:val="double" w:color="auto" w:sz="4" w:space="0"/>
            </w:tcBorders>
            <w:vAlign w:val="center"/>
          </w:tcPr>
          <w:p w14:paraId="37BDCF73">
            <w:pPr>
              <w:spacing w:before="60" w:after="60"/>
              <w:jc w:val="center"/>
              <w:rPr>
                <w:sz w:val="20"/>
                <w:szCs w:val="20"/>
              </w:rPr>
            </w:pPr>
          </w:p>
        </w:tc>
        <w:tc>
          <w:tcPr>
            <w:tcW w:w="3119" w:type="dxa"/>
            <w:tcBorders>
              <w:top w:val="single" w:color="auto" w:sz="4" w:space="0"/>
              <w:bottom w:val="double" w:color="auto" w:sz="4" w:space="0"/>
            </w:tcBorders>
            <w:vAlign w:val="center"/>
          </w:tcPr>
          <w:p w14:paraId="07CC4852">
            <w:pPr>
              <w:spacing w:before="60" w:after="60"/>
              <w:jc w:val="center"/>
              <w:rPr>
                <w:sz w:val="20"/>
                <w:szCs w:val="20"/>
              </w:rPr>
            </w:pPr>
            <w:r>
              <w:rPr>
                <w:sz w:val="20"/>
                <w:szCs w:val="20"/>
              </w:rPr>
              <w:t xml:space="preserve">Tested without random </w:t>
            </w:r>
            <m:oMath>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iCs/>
                    </w:rPr>
                  </m:ctrlPr>
                </m:e>
              </m:d>
            </m:oMath>
          </w:p>
        </w:tc>
        <w:tc>
          <w:tcPr>
            <w:tcW w:w="3120" w:type="dxa"/>
            <w:tcBorders>
              <w:top w:val="single" w:color="auto" w:sz="4" w:space="0"/>
              <w:bottom w:val="double" w:color="auto" w:sz="4" w:space="0"/>
            </w:tcBorders>
            <w:vAlign w:val="center"/>
          </w:tcPr>
          <w:p w14:paraId="42FF2796">
            <w:pPr>
              <w:spacing w:before="60" w:after="60"/>
              <w:jc w:val="center"/>
              <w:rPr>
                <w:sz w:val="20"/>
                <w:szCs w:val="20"/>
              </w:rPr>
            </w:pPr>
            <w:r>
              <w:rPr>
                <w:sz w:val="20"/>
                <w:szCs w:val="20"/>
              </w:rPr>
              <w:t xml:space="preserve">Tested with random </w:t>
            </w:r>
            <m:oMath>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iCs/>
                    </w:rPr>
                  </m:ctrlPr>
                </m:e>
              </m:d>
            </m:oMath>
          </w:p>
        </w:tc>
      </w:tr>
      <w:tr w14:paraId="1F897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6" w:type="dxa"/>
            <w:vAlign w:val="center"/>
          </w:tcPr>
          <w:p w14:paraId="4AEED5E0">
            <w:pPr>
              <w:spacing w:before="60" w:after="60"/>
              <w:jc w:val="center"/>
              <w:rPr>
                <w:sz w:val="20"/>
                <w:szCs w:val="20"/>
              </w:rPr>
            </w:pPr>
            <w:r>
              <w:rPr>
                <w:sz w:val="20"/>
                <w:szCs w:val="20"/>
              </w:rPr>
              <w:t>50</w:t>
            </w:r>
          </w:p>
        </w:tc>
        <w:tc>
          <w:tcPr>
            <w:tcW w:w="3119" w:type="dxa"/>
            <w:vAlign w:val="center"/>
          </w:tcPr>
          <w:p w14:paraId="478FCC37">
            <w:pPr>
              <w:spacing w:before="60" w:after="60"/>
              <w:jc w:val="center"/>
              <w:rPr>
                <w:sz w:val="20"/>
                <w:szCs w:val="20"/>
              </w:rPr>
            </w:pPr>
            <w:r>
              <w:rPr>
                <w:sz w:val="20"/>
                <w:szCs w:val="20"/>
              </w:rPr>
              <w:t>0.19</w:t>
            </w:r>
          </w:p>
        </w:tc>
        <w:tc>
          <w:tcPr>
            <w:tcW w:w="3120" w:type="dxa"/>
            <w:vAlign w:val="center"/>
          </w:tcPr>
          <w:p w14:paraId="729A2BA6">
            <w:pPr>
              <w:spacing w:before="60" w:after="60"/>
              <w:jc w:val="center"/>
              <w:rPr>
                <w:sz w:val="20"/>
                <w:szCs w:val="20"/>
              </w:rPr>
            </w:pPr>
            <w:r>
              <w:rPr>
                <w:sz w:val="20"/>
                <w:szCs w:val="20"/>
              </w:rPr>
              <w:t>0.23</w:t>
            </w:r>
          </w:p>
        </w:tc>
      </w:tr>
      <w:tr w14:paraId="6EA9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6" w:type="dxa"/>
            <w:vAlign w:val="center"/>
          </w:tcPr>
          <w:p w14:paraId="78DC30BF">
            <w:pPr>
              <w:spacing w:before="60" w:after="60"/>
              <w:jc w:val="center"/>
              <w:rPr>
                <w:sz w:val="20"/>
                <w:szCs w:val="20"/>
              </w:rPr>
            </w:pPr>
            <w:r>
              <w:rPr>
                <w:sz w:val="20"/>
                <w:szCs w:val="20"/>
              </w:rPr>
              <w:t>67</w:t>
            </w:r>
          </w:p>
        </w:tc>
        <w:tc>
          <w:tcPr>
            <w:tcW w:w="3119" w:type="dxa"/>
            <w:vAlign w:val="center"/>
          </w:tcPr>
          <w:p w14:paraId="32470879">
            <w:pPr>
              <w:spacing w:before="60" w:after="60"/>
              <w:jc w:val="center"/>
              <w:rPr>
                <w:sz w:val="20"/>
                <w:szCs w:val="20"/>
              </w:rPr>
            </w:pPr>
            <w:r>
              <w:rPr>
                <w:sz w:val="20"/>
                <w:szCs w:val="20"/>
              </w:rPr>
              <w:t>0.25</w:t>
            </w:r>
          </w:p>
        </w:tc>
        <w:tc>
          <w:tcPr>
            <w:tcW w:w="3120" w:type="dxa"/>
            <w:vAlign w:val="center"/>
          </w:tcPr>
          <w:p w14:paraId="6A1CD1D0">
            <w:pPr>
              <w:spacing w:before="60" w:after="60"/>
              <w:jc w:val="center"/>
              <w:rPr>
                <w:sz w:val="20"/>
                <w:szCs w:val="20"/>
              </w:rPr>
            </w:pPr>
            <w:r>
              <w:rPr>
                <w:sz w:val="20"/>
                <w:szCs w:val="20"/>
              </w:rPr>
              <w:t>0.30</w:t>
            </w:r>
          </w:p>
        </w:tc>
      </w:tr>
      <w:tr w14:paraId="0074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6" w:type="dxa"/>
            <w:vAlign w:val="center"/>
          </w:tcPr>
          <w:p w14:paraId="09E1BE4A">
            <w:pPr>
              <w:spacing w:before="60" w:after="60"/>
              <w:jc w:val="center"/>
              <w:rPr>
                <w:sz w:val="20"/>
                <w:szCs w:val="20"/>
              </w:rPr>
            </w:pPr>
            <w:r>
              <w:rPr>
                <w:sz w:val="20"/>
                <w:szCs w:val="20"/>
              </w:rPr>
              <w:t>80</w:t>
            </w:r>
          </w:p>
        </w:tc>
        <w:tc>
          <w:tcPr>
            <w:tcW w:w="3119" w:type="dxa"/>
            <w:vAlign w:val="center"/>
          </w:tcPr>
          <w:p w14:paraId="344DDDFF">
            <w:pPr>
              <w:spacing w:before="60" w:after="60"/>
              <w:jc w:val="center"/>
              <w:rPr>
                <w:sz w:val="20"/>
                <w:szCs w:val="20"/>
              </w:rPr>
            </w:pPr>
            <w:r>
              <w:rPr>
                <w:sz w:val="20"/>
                <w:szCs w:val="20"/>
              </w:rPr>
              <w:t>0.31</w:t>
            </w:r>
          </w:p>
        </w:tc>
        <w:tc>
          <w:tcPr>
            <w:tcW w:w="3120" w:type="dxa"/>
            <w:vAlign w:val="center"/>
          </w:tcPr>
          <w:p w14:paraId="2A4A538F">
            <w:pPr>
              <w:spacing w:before="60" w:after="60"/>
              <w:jc w:val="center"/>
              <w:rPr>
                <w:sz w:val="20"/>
                <w:szCs w:val="20"/>
              </w:rPr>
            </w:pPr>
            <w:r>
              <w:rPr>
                <w:sz w:val="20"/>
                <w:szCs w:val="20"/>
              </w:rPr>
              <w:t>0.38</w:t>
            </w:r>
          </w:p>
        </w:tc>
      </w:tr>
      <w:tr w14:paraId="12FC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6" w:type="dxa"/>
            <w:vAlign w:val="center"/>
          </w:tcPr>
          <w:p w14:paraId="0A8F324E">
            <w:pPr>
              <w:spacing w:before="60" w:after="60"/>
              <w:jc w:val="center"/>
              <w:rPr>
                <w:sz w:val="20"/>
                <w:szCs w:val="20"/>
              </w:rPr>
            </w:pPr>
            <w:r>
              <w:rPr>
                <w:sz w:val="20"/>
                <w:szCs w:val="20"/>
              </w:rPr>
              <w:t>90</w:t>
            </w:r>
          </w:p>
        </w:tc>
        <w:tc>
          <w:tcPr>
            <w:tcW w:w="3119" w:type="dxa"/>
            <w:vAlign w:val="center"/>
          </w:tcPr>
          <w:p w14:paraId="32898AF7">
            <w:pPr>
              <w:spacing w:before="60" w:after="60"/>
              <w:jc w:val="center"/>
              <w:rPr>
                <w:sz w:val="20"/>
                <w:szCs w:val="20"/>
              </w:rPr>
            </w:pPr>
            <w:r>
              <w:rPr>
                <w:sz w:val="20"/>
                <w:szCs w:val="20"/>
              </w:rPr>
              <w:t>0.38</w:t>
            </w:r>
          </w:p>
        </w:tc>
        <w:tc>
          <w:tcPr>
            <w:tcW w:w="3120" w:type="dxa"/>
            <w:vAlign w:val="center"/>
          </w:tcPr>
          <w:p w14:paraId="61A506A6">
            <w:pPr>
              <w:spacing w:before="60" w:after="60"/>
              <w:jc w:val="center"/>
              <w:rPr>
                <w:sz w:val="20"/>
                <w:szCs w:val="20"/>
              </w:rPr>
            </w:pPr>
            <w:r>
              <w:rPr>
                <w:sz w:val="20"/>
                <w:szCs w:val="20"/>
              </w:rPr>
              <w:t>0.46</w:t>
            </w:r>
          </w:p>
        </w:tc>
      </w:tr>
    </w:tbl>
    <w:p w14:paraId="0DFC1737"/>
    <w:p w14:paraId="1B13548D">
      <w:pPr>
        <w:pStyle w:val="97"/>
      </w:pPr>
      <w:bookmarkStart w:id="1479" w:name="_Toc189845068"/>
      <w:r>
        <w:t>The initial phase values of measured CIR samples may be random and contains no useful spatial dependent information for an AI/ML model to learn the association between measured CIR samples and the target positions. Without addressing such spurious information during training and inference, fingerprinting ML models using the CIR inputs can produce inaccurate position estimates.</w:t>
      </w:r>
      <w:bookmarkEnd w:id="1479"/>
    </w:p>
    <w:p w14:paraId="4F9F6835">
      <w:pPr>
        <w:pStyle w:val="73"/>
      </w:pPr>
      <w:bookmarkStart w:id="1480" w:name="_Toc189845113"/>
      <w:r>
        <w:t>Before CIR can be adopted as model input, RAN1 need to investigate whether fingerprinting ML models can handle CIR phase measurements, which vary not only with the radio channel environment but also with the transmitter/receiver circuits.</w:t>
      </w:r>
      <w:bookmarkEnd w:id="1480"/>
    </w:p>
    <w:p w14:paraId="316DA1EE"/>
    <w:p w14:paraId="55E9F7C8">
      <w:r>
        <w:t xml:space="preserve">While the initial phase </w:t>
      </w:r>
      <m:oMath>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iCs/>
              </w:rPr>
            </m:ctrlPr>
          </m:e>
        </m:d>
      </m:oMath>
      <w:r>
        <w:t xml:space="preserve"> may be random and contains no useful channel dependent information, the relative phases of the samples </w:t>
      </w:r>
    </w:p>
    <w:p w14:paraId="0BD3A913">
      <m:oMathPara>
        <m:oMath>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a</m:t>
              </m:r>
              <m:ctrlPr>
                <w:rPr>
                  <w:rFonts w:ascii="Cambria Math" w:hAnsi="Cambria Math"/>
                  <w:i/>
                </w:rPr>
              </m:ctrlPr>
            </m:sub>
          </m:sSub>
          <m:d>
            <m:dPr>
              <m:begChr m:val="["/>
              <m:endChr m:val="]"/>
              <m:ctrlPr>
                <w:rPr>
                  <w:rFonts w:ascii="Cambria Math" w:hAnsi="Cambria Math"/>
                  <w:i/>
                </w:rPr>
              </m:ctrlPr>
            </m:dPr>
            <m:e>
              <m:r>
                <m:rPr/>
                <w:rPr>
                  <w:rFonts w:ascii="Cambria Math" w:hAnsi="Cambria Math"/>
                </w:rPr>
                <m:t>d</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a</m:t>
              </m:r>
              <m:ctrlPr>
                <w:rPr>
                  <w:rFonts w:ascii="Cambria Math" w:hAnsi="Cambria Math"/>
                  <w:i/>
                </w:rPr>
              </m:ctrlPr>
            </m:sub>
          </m:sSub>
          <m:d>
            <m:dPr>
              <m:begChr m:val="["/>
              <m:endChr m:val="]"/>
              <m:ctrlPr>
                <w:rPr>
                  <w:rFonts w:ascii="Cambria Math" w:hAnsi="Cambria Math"/>
                  <w:i/>
                </w:rPr>
              </m:ctrlPr>
            </m:dPr>
            <m:e>
              <m:r>
                <m:rPr/>
                <w:rPr>
                  <w:rFonts w:ascii="Cambria Math" w:hAnsi="Cambria Math"/>
                </w:rPr>
                <m:t>d</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a</m:t>
              </m:r>
              <m:ctrlPr>
                <w:rPr>
                  <w:rFonts w:ascii="Cambria Math" w:hAnsi="Cambria Math"/>
                  <w:i/>
                </w:rPr>
              </m:ctrlPr>
            </m:sub>
          </m:sSub>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r>
            <m:rPr/>
            <w:rPr>
              <w:rFonts w:ascii="Cambria Math" w:hAnsi="Cambria Math"/>
            </w:rPr>
            <m:t xml:space="preserve">,  </m:t>
          </m:r>
          <m:r>
            <m:rPr>
              <m:nor/>
              <m:sty m:val="p"/>
            </m:rPr>
            <w:rPr>
              <w:rFonts w:ascii="Cambria Math" w:hAnsi="Cambria Math"/>
            </w:rPr>
            <m:t>for</m:t>
          </m:r>
          <m:r>
            <m:rPr/>
            <w:rPr>
              <w:rFonts w:ascii="Cambria Math" w:hAnsi="Cambria Math"/>
            </w:rPr>
            <m:t xml:space="preserve"> d=</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d</m:t>
              </m:r>
              <m:ctrlPr>
                <w:rPr>
                  <w:rFonts w:ascii="Cambria Math" w:hAnsi="Cambria Math"/>
                  <w:i/>
                </w:rPr>
              </m:ctrlPr>
            </m:e>
            <m:sub>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−1</m:t>
              </m:r>
              <m:ctrlPr>
                <w:rPr>
                  <w:rFonts w:ascii="Cambria Math" w:hAnsi="Cambria Math"/>
                  <w:i/>
                </w:rPr>
              </m:ctrlPr>
            </m:sub>
          </m:sSub>
        </m:oMath>
      </m:oMathPara>
    </w:p>
    <w:p w14:paraId="5209E337">
      <w:r>
        <w:t xml:space="preserve">still contain useful information relating the channel and the sampling time. Hence, one way to circumvent the impact of the random initial phases is to scrub it from the model input. That is, instead of recording/signaling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w:r>
        <w:t xml:space="preserve"> values of powers and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w:r>
        <w:t xml:space="preserve"> values of phases, only </w:t>
      </w:r>
      <m:oMath>
        <m:r>
          <m:rPr/>
          <w:rPr>
            <w:rFonts w:ascii="Cambria Math" w:hAnsi="Cambria Math"/>
          </w:rPr>
          <m:t>2</m:t>
        </m:r>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−1</m:t>
        </m:r>
      </m:oMath>
      <w:r>
        <w:t xml:space="preserve"> values are signaled/recorded:</w:t>
      </w:r>
    </w:p>
    <w:p w14:paraId="605EA05A">
      <w:pPr>
        <w:rPr>
          <w:rFonts w:ascii="Cambria Math" w:hAnsi="Cambria Math"/>
          <w:i/>
          <w:iCs/>
        </w:rPr>
      </w:pPr>
      <m:oMathPara>
        <m:oMath>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iCs/>
                    </w:rPr>
                  </m:ctrlPr>
                </m:e>
              </m:d>
              <m:r>
                <m:rPr/>
                <w:rPr>
                  <w:rFonts w:ascii="Cambria Math" w:hAnsi="Cambria Math"/>
                </w:rPr>
                <m:t>,</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iCs/>
                    </w:rPr>
                  </m:ctrlPr>
                </m:e>
              </m:d>
              <m:r>
                <m:rPr/>
                <w:rPr>
                  <w:rFonts w:ascii="Cambria Math" w:hAnsi="Cambria Math"/>
                </w:rPr>
                <m:t xml:space="preserve">, …, </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a</m:t>
                  </m:r>
                  <m:ctrlPr>
                    <w:rPr>
                      <w:rFonts w:ascii="Cambria Math" w:hAnsi="Cambria Math"/>
                      <w:i/>
                      <w:iCs/>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−1</m:t>
                  </m:r>
                  <m:ctrlPr>
                    <w:rPr>
                      <w:rFonts w:ascii="Cambria Math" w:hAnsi="Cambria Math"/>
                      <w:i/>
                    </w:rPr>
                  </m:ctrlPr>
                </m:sub>
              </m:sSub>
              <m:r>
                <m:rPr/>
                <w:rPr>
                  <w:rFonts w:ascii="Cambria Math" w:hAnsi="Cambria Math"/>
                </w:rPr>
                <m:t>]</m:t>
              </m:r>
              <m:ctrlPr>
                <w:rPr>
                  <w:rFonts w:ascii="Cambria Math" w:hAnsi="Cambria Math"/>
                  <w:i/>
                  <w:iCs/>
                </w:rPr>
              </m:ctrlPr>
            </m:e>
          </m:d>
        </m:oMath>
      </m:oMathPara>
    </w:p>
    <w:p w14:paraId="293A81B3">
      <w:pPr>
        <w:rPr>
          <w:rFonts w:ascii="Cambria Math" w:hAnsi="Cambria Math"/>
          <w:i/>
          <w:iCs/>
        </w:rPr>
      </w:pPr>
      <m:oMathPara>
        <m:oMath>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iCs/>
                    </w:rPr>
                  </m:ctrlPr>
                </m:e>
              </m:d>
              <m:r>
                <m:rPr/>
                <w:rPr>
                  <w:rFonts w:ascii="Cambria Math" w:hAnsi="Cambria Math"/>
                </w:rPr>
                <m:t>, ∆</m:t>
              </m:r>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Sub>
                  <m:ctrlPr>
                    <w:rPr>
                      <w:rFonts w:ascii="Cambria Math" w:hAnsi="Cambria Math"/>
                      <w:i/>
                      <w:iCs/>
                    </w:rPr>
                  </m:ctrlPr>
                </m:e>
              </m:d>
              <m:r>
                <m:rPr/>
                <w:rPr>
                  <w:rFonts w:ascii="Cambria Math" w:hAnsi="Cambria Math"/>
                </w:rPr>
                <m:t>, …, ∆</m:t>
              </m:r>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a</m:t>
                  </m:r>
                  <m:ctrlPr>
                    <w:rPr>
                      <w:rFonts w:ascii="Cambria Math" w:hAnsi="Cambria Math"/>
                      <w:i/>
                      <w:iCs/>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−1</m:t>
                  </m:r>
                  <m:ctrlPr>
                    <w:rPr>
                      <w:rFonts w:ascii="Cambria Math" w:hAnsi="Cambria Math"/>
                      <w:i/>
                    </w:rPr>
                  </m:ctrlPr>
                </m:sub>
              </m:sSub>
              <m:r>
                <m:rPr/>
                <w:rPr>
                  <w:rFonts w:ascii="Cambria Math" w:hAnsi="Cambria Math"/>
                </w:rPr>
                <m:t>]</m:t>
              </m:r>
              <m:ctrlPr>
                <w:rPr>
                  <w:rFonts w:ascii="Cambria Math" w:hAnsi="Cambria Math"/>
                  <w:i/>
                  <w:iCs/>
                </w:rPr>
              </m:ctrlPr>
            </m:e>
          </m:d>
        </m:oMath>
      </m:oMathPara>
    </w:p>
    <w:p w14:paraId="448E842C">
      <w:pPr>
        <w:rPr>
          <w:iCs/>
        </w:rPr>
      </w:pPr>
      <w:r>
        <w:t xml:space="preserve">The phase of the initial sample </w:t>
      </w:r>
      <m:oMath>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a</m:t>
            </m:r>
            <m:ctrlPr>
              <w:rPr>
                <w:rFonts w:ascii="Cambria Math" w:hAnsi="Cambria Math"/>
                <w:i/>
              </w:rPr>
            </m:ctrlPr>
          </m:sub>
        </m:sSub>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oMath>
      <w:r>
        <w:rPr>
          <w:iCs/>
        </w:rPr>
        <w:t xml:space="preserve"> is taken as zero and not signaled. Equivalently, this is just applying a common phase de-rotation to the complex-valued CIR samples to set the initial phase to zero:</w:t>
      </w:r>
    </w:p>
    <w:p w14:paraId="2A716527">
      <m:oMathPara>
        <m:oMath>
          <m:d>
            <m:dPr>
              <m:begChr m:val="{"/>
              <m:endChr m:val="}"/>
              <m:ctrlPr>
                <w:rPr>
                  <w:rFonts w:ascii="Cambria Math" w:hAnsi="Cambria Math"/>
                  <w:i/>
                </w:rPr>
              </m:ctrlPr>
            </m:dPr>
            <m:e>
              <m:rad>
                <m:radPr>
                  <m:degHide m:val="1"/>
                  <m:ctrlPr>
                    <w:rPr>
                      <w:rFonts w:ascii="Cambria Math" w:hAnsi="Cambria Math"/>
                      <w:i/>
                      <w:iCs/>
                    </w:rPr>
                  </m:ctrlPr>
                </m:radPr>
                <m:deg>
                  <m:ctrlPr>
                    <w:rPr>
                      <w:rFonts w:ascii="Cambria Math" w:hAnsi="Cambria Math"/>
                      <w:i/>
                      <w:iCs/>
                    </w:rPr>
                  </m:ctrlPr>
                </m:deg>
                <m:e>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ctrlPr>
                    <w:rPr>
                      <w:rFonts w:ascii="Cambria Math" w:hAnsi="Cambria Math"/>
                      <w:i/>
                      <w:iCs/>
                    </w:rPr>
                  </m:ctrlPr>
                </m:e>
              </m:rad>
              <m:r>
                <m:rPr/>
                <w:rPr>
                  <w:rFonts w:ascii="Cambria Math" w:hAnsi="Cambria Math"/>
                </w:rPr>
                <m:t xml:space="preserve">, </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a</m:t>
                      </m:r>
                      <m:ctrlPr>
                        <w:rPr>
                          <w:rFonts w:ascii="Cambria Math" w:hAnsi="Cambria Math"/>
                          <w:i/>
                        </w:rPr>
                      </m:ctrlPr>
                    </m:sub>
                  </m:sSub>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ctrlPr>
                    <w:rPr>
                      <w:rFonts w:ascii="Cambria Math" w:hAnsi="Cambria Math"/>
                      <w:i/>
                    </w:rPr>
                  </m:ctrlPr>
                </m:sup>
              </m:sSup>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a</m:t>
                  </m:r>
                  <m:ctrlPr>
                    <w:rPr>
                      <w:rFonts w:ascii="Cambria Math" w:hAnsi="Cambria Math"/>
                      <w:i/>
                      <w:iCs/>
                    </w:rPr>
                  </m:ctrlPr>
                </m:sub>
              </m:sSub>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ctrlPr>
                    <w:rPr>
                      <w:rFonts w:ascii="Cambria Math" w:hAnsi="Cambria Math"/>
                      <w:i/>
                    </w:rPr>
                  </m:ctrlPr>
                </m:e>
              </m:d>
              <m:r>
                <m:rPr/>
                <w:rPr>
                  <w:rFonts w:ascii="Cambria Math" w:hAnsi="Cambria Math"/>
                </w:rPr>
                <m:t>, …,</m:t>
              </m:r>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a</m:t>
                      </m:r>
                      <m:ctrlPr>
                        <w:rPr>
                          <w:rFonts w:ascii="Cambria Math" w:hAnsi="Cambria Math"/>
                          <w:i/>
                        </w:rPr>
                      </m:ctrlPr>
                    </m:sub>
                  </m:sSub>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d>
                  <m:ctrlPr>
                    <w:rPr>
                      <w:rFonts w:ascii="Cambria Math" w:hAnsi="Cambria Math"/>
                      <w:i/>
                    </w:rPr>
                  </m:ctrlPr>
                </m:sup>
              </m:sSup>
              <m:sSub>
                <m:sSubPr>
                  <m:ctrlPr>
                    <w:rPr>
                      <w:rFonts w:ascii="Cambria Math" w:hAnsi="Cambria Math"/>
                      <w:i/>
                      <w:iCs/>
                    </w:rPr>
                  </m:ctrlPr>
                </m:sSubPr>
                <m:e>
                  <m:r>
                    <m:rPr/>
                    <w:rPr>
                      <w:rFonts w:ascii="Cambria Math" w:hAnsi="Cambria Math"/>
                    </w:rPr>
                    <m:t>h</m:t>
                  </m:r>
                  <m:ctrlPr>
                    <w:rPr>
                      <w:rFonts w:ascii="Cambria Math" w:hAnsi="Cambria Math"/>
                      <w:i/>
                      <w:iCs/>
                    </w:rPr>
                  </m:ctrlPr>
                </m:e>
                <m:sub>
                  <m:r>
                    <m:rPr/>
                    <w:rPr>
                      <w:rFonts w:ascii="Cambria Math" w:hAnsi="Cambria Math"/>
                    </w:rPr>
                    <m:t>a</m:t>
                  </m:r>
                  <m:ctrlPr>
                    <w:rPr>
                      <w:rFonts w:ascii="Cambria Math" w:hAnsi="Cambria Math"/>
                      <w:i/>
                      <w:iCs/>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−1</m:t>
                  </m:r>
                  <m:ctrlPr>
                    <w:rPr>
                      <w:rFonts w:ascii="Cambria Math" w:hAnsi="Cambria Math"/>
                      <w:i/>
                    </w:rPr>
                  </m:ctrlPr>
                </m:sub>
              </m:sSub>
              <m:r>
                <m:rPr/>
                <w:rPr>
                  <w:rFonts w:ascii="Cambria Math" w:hAnsi="Cambria Math"/>
                </w:rPr>
                <m:t>]</m:t>
              </m:r>
              <m:ctrlPr>
                <w:rPr>
                  <w:rFonts w:ascii="Cambria Math" w:hAnsi="Cambria Math"/>
                  <w:i/>
                </w:rPr>
              </m:ctrlPr>
            </m:e>
          </m:d>
        </m:oMath>
      </m:oMathPara>
    </w:p>
    <w:p w14:paraId="5B42427D">
      <w:r>
        <w:t xml:space="preserve">In </w:t>
      </w:r>
      <w:r>
        <w:fldChar w:fldCharType="begin"/>
      </w:r>
      <w:r>
        <w:instrText xml:space="preserve"> REF _Ref163128462 </w:instrText>
      </w:r>
      <w:r>
        <w:fldChar w:fldCharType="separate"/>
      </w:r>
      <w:r>
        <w:t>Table 3</w:t>
      </w:r>
      <w:r>
        <w:fldChar w:fldCharType="end"/>
      </w:r>
      <w:r>
        <w:t xml:space="preserve">, we compared the 90%tile 2D UE positioning errors </w:t>
      </w:r>
      <m:oMath>
        <m:sSub>
          <m:sSubPr>
            <m:ctrlPr>
              <w:rPr>
                <w:rFonts w:ascii="Cambria Math" w:hAnsi="Cambria Math" w:eastAsia="Calibri"/>
                <w:i/>
              </w:rPr>
            </m:ctrlPr>
          </m:sSubPr>
          <m:e>
            <m:r>
              <m:rPr>
                <m:sty m:val="p"/>
              </m:rPr>
              <w:rPr>
                <w:rFonts w:ascii="Cambria Math" w:hAnsi="Cambria Math"/>
              </w:rPr>
              <m:t>Δ</m:t>
            </m:r>
            <m:ctrlPr>
              <w:rPr>
                <w:rFonts w:ascii="Cambria Math" w:hAnsi="Cambria Math"/>
              </w:rPr>
            </m:ctrlPr>
          </m:e>
          <m:sub>
            <m:r>
              <m:rPr/>
              <w:rPr>
                <w:rFonts w:ascii="Cambria Math" w:hAnsi="Cambria Math"/>
              </w:rPr>
              <m:t>90%</m:t>
            </m:r>
            <m:ctrlPr>
              <w:rPr>
                <w:rFonts w:ascii="Cambria Math" w:hAnsi="Cambria Math" w:eastAsia="Calibri"/>
                <w:i/>
              </w:rPr>
            </m:ctrlPr>
          </m:sub>
        </m:sSub>
      </m:oMath>
      <w:r>
        <w:t xml:space="preserve"> (in meters) for two sets of models:</w:t>
      </w:r>
    </w:p>
    <w:p w14:paraId="17FD8D87">
      <w:pPr>
        <w:pStyle w:val="133"/>
        <w:numPr>
          <w:ilvl w:val="0"/>
          <w:numId w:val="29"/>
        </w:numPr>
      </w:pPr>
      <w:r>
        <w:t>The first set of models are trained and tested with CIR samples containing no random initial phases. Note that it’s not possible to collect such type of CIR samples in reality because of the random states of the clock and/or frequency generation circuits discussed in the above.</w:t>
      </w:r>
    </w:p>
    <w:p w14:paraId="752B3EE5">
      <w:pPr>
        <w:pStyle w:val="133"/>
        <w:numPr>
          <w:ilvl w:val="0"/>
          <w:numId w:val="29"/>
        </w:numPr>
      </w:pPr>
      <w:r>
        <w:t>The second set of models are trained and tested CIR samples containing relative phases as just described.</w:t>
      </w:r>
    </w:p>
    <w:p w14:paraId="1718C2A4">
      <w:r>
        <w:t>It can be observed that the models trained and tested CIR relative phase samples achieve essentially identical positioning accuracy (up to simulation noises) as the models trained and tested with idealized (but not physically feasible) CIR samples.</w:t>
      </w:r>
    </w:p>
    <w:p w14:paraId="2BEFD357"/>
    <w:p w14:paraId="2A8B6834">
      <w:pPr>
        <w:pStyle w:val="97"/>
      </w:pPr>
      <w:bookmarkStart w:id="1481" w:name="_Toc189845069"/>
      <w:r>
        <w:t>CIR samples containing relative phases can be used as inputs to AI/ML models to circumvent the impact of random initial phase values of measured CIR samples.</w:t>
      </w:r>
      <w:bookmarkEnd w:id="1481"/>
    </w:p>
    <w:p w14:paraId="41296430"/>
    <w:p w14:paraId="6BF56259">
      <w:pPr>
        <w:pStyle w:val="29"/>
      </w:pPr>
      <w:bookmarkStart w:id="1482" w:name="_Ref163128462"/>
      <w:r>
        <w:t xml:space="preserve">Table </w:t>
      </w:r>
      <w:r>
        <w:fldChar w:fldCharType="begin"/>
      </w:r>
      <w:r>
        <w:instrText xml:space="preserve"> SEQ Table \* ARABIC </w:instrText>
      </w:r>
      <w:r>
        <w:fldChar w:fldCharType="separate"/>
      </w:r>
      <w:r>
        <w:t>3</w:t>
      </w:r>
      <w:r>
        <w:fldChar w:fldCharType="end"/>
      </w:r>
      <w:bookmarkEnd w:id="1482"/>
      <w:r>
        <w:t xml:space="preserve"> Comparison of 90%tile 2D UE positioning errors </w:t>
      </w:r>
      <m:oMath>
        <m:sSub>
          <m:sSubPr>
            <m:ctrlPr>
              <w:rPr>
                <w:rFonts w:ascii="Cambria Math" w:hAnsi="Cambria Math" w:eastAsia="Calibri"/>
                <w:i/>
              </w:rPr>
            </m:ctrlPr>
          </m:sSubPr>
          <m:e>
            <m:r>
              <m:rPr>
                <m:sty m:val="b"/>
              </m:rPr>
              <w:rPr>
                <w:rFonts w:ascii="Cambria Math" w:hAnsi="Cambria Math"/>
              </w:rPr>
              <m:t>Δ</m:t>
            </m:r>
            <m:ctrlPr>
              <w:rPr>
                <w:rFonts w:ascii="Cambria Math" w:hAnsi="Cambria Math"/>
              </w:rPr>
            </m:ctrlPr>
          </m:e>
          <m:sub>
            <m:r>
              <m:rPr>
                <m:sty m:val="bi"/>
              </m:rPr>
              <w:rPr>
                <w:rFonts w:ascii="Cambria Math" w:hAnsi="Cambria Math"/>
              </w:rPr>
              <m:t>90%</m:t>
            </m:r>
            <m:ctrlPr>
              <w:rPr>
                <w:rFonts w:ascii="Cambria Math" w:hAnsi="Cambria Math" w:eastAsia="Calibri"/>
                <w:i/>
              </w:rPr>
            </m:ctrlPr>
          </m:sub>
        </m:sSub>
      </m:oMath>
      <w:r>
        <w:t xml:space="preserve"> (in meters) for (1) models trained and tested with CIR samples containing no random initial phases and (2) models trained and tested with CIR samples containing relative phases in the </w:t>
      </w:r>
      <w:r>
        <w:rPr>
          <w:lang w:eastAsia="ja-JP"/>
        </w:rPr>
        <w:t>{60%, 6m, 2m} InF-DH scenario</w:t>
      </w:r>
      <w:r>
        <w:t xml:space="preserve">. The positioning accuracy is for the “small model” for centralized direct positioning trained with 40,000 samples </w:t>
      </w:r>
      <w:r>
        <w:fldChar w:fldCharType="begin"/>
      </w:r>
      <w:r>
        <w:instrText xml:space="preserve"> REF _Ref158730650 \r \h </w:instrText>
      </w:r>
      <w:r>
        <w:fldChar w:fldCharType="separate"/>
      </w:r>
      <w:r>
        <w:t>[6]</w:t>
      </w:r>
      <w:r>
        <w:fldChar w:fldCharType="end"/>
      </w:r>
      <w:r>
        <w:t>.</w:t>
      </w:r>
    </w:p>
    <w:tbl>
      <w:tblPr>
        <w:tblStyle w:val="52"/>
        <w:tblW w:w="8995"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3"/>
        <w:gridCol w:w="1423"/>
        <w:gridCol w:w="3074"/>
        <w:gridCol w:w="3075"/>
      </w:tblGrid>
      <w:tr w14:paraId="2F65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Merge w:val="restart"/>
            <w:vAlign w:val="center"/>
          </w:tcPr>
          <w:p w14:paraId="3FCAD32A">
            <w:pPr>
              <w:spacing w:before="40" w:after="40"/>
              <w:jc w:val="center"/>
              <w:rPr>
                <w:sz w:val="20"/>
                <w:szCs w:val="20"/>
              </w:rPr>
            </w:pPr>
            <m:oMathPara>
              <m:oMath>
                <m:sSub>
                  <m:sSubPr>
                    <m:ctrlPr>
                      <w:rPr>
                        <w:rFonts w:ascii="Cambria Math" w:hAnsi="Cambria Math"/>
                        <w:i/>
                        <w:sz w:val="20"/>
                        <w:szCs w:val="20"/>
                      </w:rPr>
                    </m:ctrlPr>
                  </m:sSubPr>
                  <m:e>
                    <m:r>
                      <m:rPr/>
                      <w:rPr>
                        <w:rFonts w:ascii="Cambria Math" w:hAnsi="Cambria Math"/>
                        <w:sz w:val="20"/>
                        <w:szCs w:val="20"/>
                      </w:rPr>
                      <m:t>N</m:t>
                    </m:r>
                    <m:ctrlPr>
                      <w:rPr>
                        <w:rFonts w:ascii="Cambria Math" w:hAnsi="Cambria Math"/>
                        <w:i/>
                        <w:sz w:val="20"/>
                        <w:szCs w:val="20"/>
                      </w:rPr>
                    </m:ctrlPr>
                  </m:e>
                  <m:sub>
                    <m:r>
                      <m:rPr/>
                      <w:rPr>
                        <w:rFonts w:ascii="Cambria Math" w:hAnsi="Cambria Math"/>
                        <w:sz w:val="20"/>
                        <w:szCs w:val="20"/>
                      </w:rPr>
                      <m:t>t</m:t>
                    </m:r>
                    <m:ctrlPr>
                      <w:rPr>
                        <w:rFonts w:ascii="Cambria Math" w:hAnsi="Cambria Math"/>
                        <w:i/>
                        <w:sz w:val="20"/>
                        <w:szCs w:val="20"/>
                      </w:rPr>
                    </m:ctrlPr>
                  </m:sub>
                </m:sSub>
              </m:oMath>
            </m:oMathPara>
          </w:p>
        </w:tc>
        <w:tc>
          <w:tcPr>
            <w:tcW w:w="1423" w:type="dxa"/>
            <w:vMerge w:val="restart"/>
            <w:vAlign w:val="center"/>
          </w:tcPr>
          <w:p w14:paraId="6313BC36">
            <w:pPr>
              <w:spacing w:before="40" w:after="40"/>
              <w:jc w:val="center"/>
              <w:rPr>
                <w:sz w:val="20"/>
                <w:szCs w:val="20"/>
              </w:rPr>
            </w:pPr>
            <m:oMathPara>
              <m:oMath>
                <m:sSubSup>
                  <m:sSubSupPr>
                    <m:ctrlPr>
                      <w:rPr>
                        <w:rFonts w:ascii="Cambria Math" w:hAnsi="Cambria Math"/>
                        <w:sz w:val="20"/>
                        <w:szCs w:val="20"/>
                      </w:rPr>
                    </m:ctrlPr>
                  </m:sSubSupPr>
                  <m:e>
                    <m:r>
                      <m:rPr/>
                      <w:rPr>
                        <w:rFonts w:ascii="Cambria Math" w:hAnsi="Cambria Math"/>
                        <w:sz w:val="20"/>
                        <w:szCs w:val="20"/>
                      </w:rPr>
                      <m:t>N</m:t>
                    </m:r>
                    <m:ctrlPr>
                      <w:rPr>
                        <w:rFonts w:ascii="Cambria Math" w:hAnsi="Cambria Math"/>
                        <w:sz w:val="20"/>
                        <w:szCs w:val="20"/>
                      </w:rPr>
                    </m:ctrlPr>
                  </m:e>
                  <m:sub>
                    <m:r>
                      <m:rPr/>
                      <w:rPr>
                        <w:rFonts w:ascii="Cambria Math" w:hAnsi="Cambria Math"/>
                        <w:sz w:val="20"/>
                        <w:szCs w:val="20"/>
                      </w:rPr>
                      <m:t>t</m:t>
                    </m:r>
                    <m:ctrlPr>
                      <w:rPr>
                        <w:rFonts w:ascii="Cambria Math" w:hAnsi="Cambria Math"/>
                        <w:sz w:val="20"/>
                        <w:szCs w:val="20"/>
                      </w:rPr>
                    </m:ctrlPr>
                  </m:sub>
                  <m:sup>
                    <m:r>
                      <m:rPr>
                        <m:sty m:val="p"/>
                      </m:rPr>
                      <w:rPr>
                        <w:rFonts w:ascii="Cambria Math" w:hAnsi="Cambria Math"/>
                        <w:sz w:val="20"/>
                        <w:szCs w:val="20"/>
                      </w:rPr>
                      <m:t>'</m:t>
                    </m:r>
                    <m:ctrlPr>
                      <w:rPr>
                        <w:rFonts w:ascii="Cambria Math" w:hAnsi="Cambria Math"/>
                        <w:sz w:val="20"/>
                        <w:szCs w:val="20"/>
                      </w:rPr>
                    </m:ctrlPr>
                  </m:sup>
                </m:sSubSup>
              </m:oMath>
            </m:oMathPara>
          </w:p>
        </w:tc>
        <w:tc>
          <w:tcPr>
            <w:tcW w:w="6149" w:type="dxa"/>
            <w:gridSpan w:val="2"/>
            <w:vAlign w:val="center"/>
          </w:tcPr>
          <w:p w14:paraId="0728482D">
            <w:pPr>
              <w:spacing w:before="40" w:after="40"/>
              <w:jc w:val="center"/>
              <w:rPr>
                <w:sz w:val="20"/>
                <w:szCs w:val="20"/>
              </w:rPr>
            </w:pPr>
            <w:r>
              <w:rPr>
                <w:sz w:val="20"/>
                <w:szCs w:val="20"/>
              </w:rPr>
              <w:t>90%tile 2D positioning error [m] in {60%, 6m, 2m} InF-DH</w:t>
            </w:r>
            <w:r>
              <w:rPr>
                <w:sz w:val="20"/>
                <w:szCs w:val="20"/>
              </w:rPr>
              <w:br w:type="textWrapping"/>
            </w:r>
            <w:r>
              <w:rPr>
                <w:sz w:val="20"/>
                <w:szCs w:val="20"/>
              </w:rPr>
              <w:t>Model I trained with 40,000 CIR samples</w:t>
            </w:r>
          </w:p>
        </w:tc>
      </w:tr>
      <w:tr w14:paraId="7B106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Merge w:val="continue"/>
            <w:vAlign w:val="center"/>
          </w:tcPr>
          <w:p w14:paraId="666C551A">
            <w:pPr>
              <w:spacing w:before="40" w:after="40"/>
              <w:jc w:val="center"/>
              <w:rPr>
                <w:sz w:val="20"/>
                <w:szCs w:val="20"/>
              </w:rPr>
            </w:pPr>
          </w:p>
        </w:tc>
        <w:tc>
          <w:tcPr>
            <w:tcW w:w="1423" w:type="dxa"/>
            <w:vMerge w:val="continue"/>
            <w:vAlign w:val="center"/>
          </w:tcPr>
          <w:p w14:paraId="6509A3E1">
            <w:pPr>
              <w:spacing w:before="40" w:after="40"/>
              <w:jc w:val="center"/>
              <w:rPr>
                <w:sz w:val="20"/>
                <w:szCs w:val="20"/>
              </w:rPr>
            </w:pPr>
          </w:p>
        </w:tc>
        <w:tc>
          <w:tcPr>
            <w:tcW w:w="3074" w:type="dxa"/>
            <w:vAlign w:val="center"/>
          </w:tcPr>
          <w:p w14:paraId="3DE0DBFC">
            <w:pPr>
              <w:spacing w:before="40" w:after="40"/>
              <w:jc w:val="center"/>
              <w:rPr>
                <w:sz w:val="20"/>
                <w:szCs w:val="20"/>
              </w:rPr>
            </w:pPr>
            <w:r>
              <w:rPr>
                <w:sz w:val="20"/>
                <w:szCs w:val="20"/>
              </w:rPr>
              <w:t xml:space="preserve">Trained and tested </w:t>
            </w:r>
            <w:r>
              <w:rPr>
                <w:sz w:val="20"/>
                <w:szCs w:val="20"/>
              </w:rPr>
              <w:br w:type="textWrapping"/>
            </w:r>
            <w:r>
              <w:rPr>
                <w:sz w:val="20"/>
                <w:szCs w:val="20"/>
              </w:rPr>
              <w:t>without random initial phases</w:t>
            </w:r>
          </w:p>
        </w:tc>
        <w:tc>
          <w:tcPr>
            <w:tcW w:w="3075" w:type="dxa"/>
          </w:tcPr>
          <w:p w14:paraId="766425F0">
            <w:pPr>
              <w:spacing w:before="40" w:after="40"/>
              <w:jc w:val="center"/>
              <w:rPr>
                <w:sz w:val="20"/>
                <w:szCs w:val="20"/>
              </w:rPr>
            </w:pPr>
            <w:r>
              <w:rPr>
                <w:sz w:val="20"/>
                <w:szCs w:val="20"/>
              </w:rPr>
              <w:t xml:space="preserve">Trained and tested </w:t>
            </w:r>
            <w:r>
              <w:rPr>
                <w:sz w:val="20"/>
                <w:szCs w:val="20"/>
              </w:rPr>
              <w:br w:type="textWrapping"/>
            </w:r>
            <w:r>
              <w:rPr>
                <w:sz w:val="20"/>
                <w:szCs w:val="20"/>
              </w:rPr>
              <w:t>with relative phases</w:t>
            </w:r>
          </w:p>
        </w:tc>
      </w:tr>
      <w:tr w14:paraId="3D6E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4075EB02">
            <w:pPr>
              <w:spacing w:before="40" w:after="40"/>
              <w:jc w:val="center"/>
              <w:rPr>
                <w:sz w:val="20"/>
                <w:szCs w:val="20"/>
              </w:rPr>
            </w:pPr>
            <w:r>
              <w:rPr>
                <w:rFonts w:cs="Arial"/>
                <w:color w:val="000000"/>
                <w:sz w:val="20"/>
                <w:szCs w:val="20"/>
              </w:rPr>
              <w:t>256</w:t>
            </w:r>
          </w:p>
        </w:tc>
        <w:tc>
          <w:tcPr>
            <w:tcW w:w="1423" w:type="dxa"/>
            <w:vAlign w:val="center"/>
          </w:tcPr>
          <w:p w14:paraId="06C5802D">
            <w:pPr>
              <w:spacing w:before="40" w:after="40"/>
              <w:jc w:val="center"/>
              <w:rPr>
                <w:sz w:val="20"/>
                <w:szCs w:val="20"/>
              </w:rPr>
            </w:pPr>
            <w:r>
              <w:rPr>
                <w:sz w:val="20"/>
                <w:szCs w:val="20"/>
              </w:rPr>
              <w:t>128</w:t>
            </w:r>
          </w:p>
        </w:tc>
        <w:tc>
          <w:tcPr>
            <w:tcW w:w="3074" w:type="dxa"/>
          </w:tcPr>
          <w:p w14:paraId="61D2E6A8">
            <w:pPr>
              <w:spacing w:before="40" w:after="40"/>
              <w:jc w:val="center"/>
              <w:rPr>
                <w:sz w:val="20"/>
                <w:szCs w:val="20"/>
              </w:rPr>
            </w:pPr>
            <w:r>
              <w:rPr>
                <w:sz w:val="20"/>
                <w:szCs w:val="20"/>
              </w:rPr>
              <w:t>0.38</w:t>
            </w:r>
          </w:p>
        </w:tc>
        <w:tc>
          <w:tcPr>
            <w:tcW w:w="3075" w:type="dxa"/>
          </w:tcPr>
          <w:p w14:paraId="72E7B097">
            <w:pPr>
              <w:spacing w:before="40" w:after="40"/>
              <w:jc w:val="center"/>
              <w:rPr>
                <w:sz w:val="20"/>
                <w:szCs w:val="20"/>
              </w:rPr>
            </w:pPr>
            <w:r>
              <w:rPr>
                <w:sz w:val="20"/>
                <w:szCs w:val="20"/>
              </w:rPr>
              <w:t>0.39</w:t>
            </w:r>
          </w:p>
        </w:tc>
      </w:tr>
      <w:tr w14:paraId="7D41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55B71E82">
            <w:pPr>
              <w:spacing w:before="40" w:after="40"/>
              <w:jc w:val="center"/>
              <w:rPr>
                <w:sz w:val="20"/>
                <w:szCs w:val="20"/>
              </w:rPr>
            </w:pPr>
            <w:r>
              <w:rPr>
                <w:rFonts w:cs="Arial"/>
                <w:color w:val="000000"/>
                <w:sz w:val="20"/>
                <w:szCs w:val="20"/>
              </w:rPr>
              <w:t>256</w:t>
            </w:r>
          </w:p>
        </w:tc>
        <w:tc>
          <w:tcPr>
            <w:tcW w:w="1423" w:type="dxa"/>
            <w:vAlign w:val="center"/>
          </w:tcPr>
          <w:p w14:paraId="6D1A46FA">
            <w:pPr>
              <w:spacing w:before="40" w:after="40"/>
              <w:jc w:val="center"/>
              <w:rPr>
                <w:sz w:val="20"/>
                <w:szCs w:val="20"/>
              </w:rPr>
            </w:pPr>
            <w:r>
              <w:rPr>
                <w:sz w:val="20"/>
                <w:szCs w:val="20"/>
              </w:rPr>
              <w:t>64</w:t>
            </w:r>
          </w:p>
        </w:tc>
        <w:tc>
          <w:tcPr>
            <w:tcW w:w="3074" w:type="dxa"/>
          </w:tcPr>
          <w:p w14:paraId="2421D849">
            <w:pPr>
              <w:spacing w:before="40" w:after="40"/>
              <w:jc w:val="center"/>
              <w:rPr>
                <w:sz w:val="20"/>
                <w:szCs w:val="20"/>
              </w:rPr>
            </w:pPr>
            <w:r>
              <w:rPr>
                <w:sz w:val="20"/>
                <w:szCs w:val="20"/>
              </w:rPr>
              <w:t>0.43</w:t>
            </w:r>
          </w:p>
        </w:tc>
        <w:tc>
          <w:tcPr>
            <w:tcW w:w="3075" w:type="dxa"/>
          </w:tcPr>
          <w:p w14:paraId="41733EE9">
            <w:pPr>
              <w:spacing w:before="40" w:after="40"/>
              <w:jc w:val="center"/>
              <w:rPr>
                <w:sz w:val="20"/>
                <w:szCs w:val="20"/>
              </w:rPr>
            </w:pPr>
            <w:r>
              <w:rPr>
                <w:sz w:val="20"/>
                <w:szCs w:val="20"/>
              </w:rPr>
              <w:t>0.44</w:t>
            </w:r>
          </w:p>
        </w:tc>
      </w:tr>
      <w:tr w14:paraId="655D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4F4E8C23">
            <w:pPr>
              <w:spacing w:before="40" w:after="40"/>
              <w:jc w:val="center"/>
              <w:rPr>
                <w:sz w:val="20"/>
                <w:szCs w:val="20"/>
              </w:rPr>
            </w:pPr>
            <w:r>
              <w:rPr>
                <w:rFonts w:cs="Arial"/>
                <w:color w:val="000000"/>
                <w:sz w:val="20"/>
                <w:szCs w:val="20"/>
              </w:rPr>
              <w:t>128</w:t>
            </w:r>
          </w:p>
        </w:tc>
        <w:tc>
          <w:tcPr>
            <w:tcW w:w="1423" w:type="dxa"/>
            <w:vAlign w:val="center"/>
          </w:tcPr>
          <w:p w14:paraId="1362FE26">
            <w:pPr>
              <w:spacing w:before="40" w:after="40"/>
              <w:jc w:val="center"/>
              <w:rPr>
                <w:sz w:val="20"/>
                <w:szCs w:val="20"/>
              </w:rPr>
            </w:pPr>
            <w:r>
              <w:rPr>
                <w:sz w:val="20"/>
                <w:szCs w:val="20"/>
              </w:rPr>
              <w:t>64</w:t>
            </w:r>
          </w:p>
        </w:tc>
        <w:tc>
          <w:tcPr>
            <w:tcW w:w="3074" w:type="dxa"/>
          </w:tcPr>
          <w:p w14:paraId="57BCACB4">
            <w:pPr>
              <w:spacing w:before="40" w:after="40"/>
              <w:jc w:val="center"/>
              <w:rPr>
                <w:sz w:val="20"/>
                <w:szCs w:val="20"/>
              </w:rPr>
            </w:pPr>
            <w:r>
              <w:rPr>
                <w:sz w:val="20"/>
                <w:szCs w:val="20"/>
              </w:rPr>
              <w:t>0.48</w:t>
            </w:r>
          </w:p>
        </w:tc>
        <w:tc>
          <w:tcPr>
            <w:tcW w:w="3075" w:type="dxa"/>
          </w:tcPr>
          <w:p w14:paraId="7C3A585E">
            <w:pPr>
              <w:spacing w:before="40" w:after="40"/>
              <w:jc w:val="center"/>
              <w:rPr>
                <w:sz w:val="20"/>
                <w:szCs w:val="20"/>
              </w:rPr>
            </w:pPr>
            <w:r>
              <w:rPr>
                <w:sz w:val="20"/>
                <w:szCs w:val="20"/>
              </w:rPr>
              <w:t>0.46</w:t>
            </w:r>
          </w:p>
        </w:tc>
      </w:tr>
      <w:tr w14:paraId="03722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3DAEC7DC">
            <w:pPr>
              <w:spacing w:before="40" w:after="40"/>
              <w:jc w:val="center"/>
              <w:rPr>
                <w:sz w:val="20"/>
                <w:szCs w:val="20"/>
              </w:rPr>
            </w:pPr>
            <w:r>
              <w:rPr>
                <w:rFonts w:cs="Arial"/>
                <w:color w:val="000000"/>
                <w:sz w:val="20"/>
                <w:szCs w:val="20"/>
              </w:rPr>
              <w:t>256</w:t>
            </w:r>
          </w:p>
        </w:tc>
        <w:tc>
          <w:tcPr>
            <w:tcW w:w="1423" w:type="dxa"/>
            <w:vAlign w:val="center"/>
          </w:tcPr>
          <w:p w14:paraId="7536187D">
            <w:pPr>
              <w:spacing w:before="40" w:after="40"/>
              <w:jc w:val="center"/>
              <w:rPr>
                <w:sz w:val="20"/>
                <w:szCs w:val="20"/>
              </w:rPr>
            </w:pPr>
            <w:r>
              <w:rPr>
                <w:sz w:val="20"/>
                <w:szCs w:val="20"/>
              </w:rPr>
              <w:t>32</w:t>
            </w:r>
          </w:p>
        </w:tc>
        <w:tc>
          <w:tcPr>
            <w:tcW w:w="3074" w:type="dxa"/>
          </w:tcPr>
          <w:p w14:paraId="37565DE2">
            <w:pPr>
              <w:spacing w:before="40" w:after="40"/>
              <w:jc w:val="center"/>
              <w:rPr>
                <w:sz w:val="20"/>
                <w:szCs w:val="20"/>
              </w:rPr>
            </w:pPr>
            <w:r>
              <w:rPr>
                <w:sz w:val="20"/>
                <w:szCs w:val="20"/>
              </w:rPr>
              <w:t>0.54</w:t>
            </w:r>
          </w:p>
        </w:tc>
        <w:tc>
          <w:tcPr>
            <w:tcW w:w="3075" w:type="dxa"/>
          </w:tcPr>
          <w:p w14:paraId="075C854A">
            <w:pPr>
              <w:spacing w:before="40" w:after="40"/>
              <w:jc w:val="center"/>
              <w:rPr>
                <w:sz w:val="20"/>
                <w:szCs w:val="20"/>
              </w:rPr>
            </w:pPr>
            <w:r>
              <w:rPr>
                <w:sz w:val="20"/>
                <w:szCs w:val="20"/>
              </w:rPr>
              <w:t>0.55</w:t>
            </w:r>
          </w:p>
        </w:tc>
      </w:tr>
      <w:tr w14:paraId="7887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4D6AB4C1">
            <w:pPr>
              <w:spacing w:before="40" w:after="40"/>
              <w:jc w:val="center"/>
              <w:rPr>
                <w:sz w:val="20"/>
                <w:szCs w:val="20"/>
              </w:rPr>
            </w:pPr>
            <w:r>
              <w:rPr>
                <w:rFonts w:cs="Arial"/>
                <w:color w:val="000000"/>
                <w:sz w:val="20"/>
                <w:szCs w:val="20"/>
              </w:rPr>
              <w:t>128</w:t>
            </w:r>
          </w:p>
        </w:tc>
        <w:tc>
          <w:tcPr>
            <w:tcW w:w="1423" w:type="dxa"/>
            <w:vAlign w:val="center"/>
          </w:tcPr>
          <w:p w14:paraId="11A53412">
            <w:pPr>
              <w:spacing w:before="40" w:after="40"/>
              <w:jc w:val="center"/>
              <w:rPr>
                <w:sz w:val="20"/>
                <w:szCs w:val="20"/>
              </w:rPr>
            </w:pPr>
            <w:r>
              <w:rPr>
                <w:sz w:val="20"/>
                <w:szCs w:val="20"/>
              </w:rPr>
              <w:t>32</w:t>
            </w:r>
          </w:p>
        </w:tc>
        <w:tc>
          <w:tcPr>
            <w:tcW w:w="3074" w:type="dxa"/>
          </w:tcPr>
          <w:p w14:paraId="09CB55DB">
            <w:pPr>
              <w:spacing w:before="40" w:after="40"/>
              <w:jc w:val="center"/>
              <w:rPr>
                <w:sz w:val="20"/>
                <w:szCs w:val="20"/>
              </w:rPr>
            </w:pPr>
            <w:r>
              <w:rPr>
                <w:sz w:val="20"/>
                <w:szCs w:val="20"/>
              </w:rPr>
              <w:t>0.53</w:t>
            </w:r>
          </w:p>
        </w:tc>
        <w:tc>
          <w:tcPr>
            <w:tcW w:w="3075" w:type="dxa"/>
          </w:tcPr>
          <w:p w14:paraId="58A978B1">
            <w:pPr>
              <w:spacing w:before="40" w:after="40"/>
              <w:jc w:val="center"/>
              <w:rPr>
                <w:sz w:val="20"/>
                <w:szCs w:val="20"/>
              </w:rPr>
            </w:pPr>
            <w:r>
              <w:rPr>
                <w:sz w:val="20"/>
                <w:szCs w:val="20"/>
              </w:rPr>
              <w:t>0.55</w:t>
            </w:r>
          </w:p>
        </w:tc>
      </w:tr>
      <w:tr w14:paraId="63B9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135E4DB8">
            <w:pPr>
              <w:spacing w:before="40" w:after="40"/>
              <w:jc w:val="center"/>
              <w:rPr>
                <w:sz w:val="20"/>
                <w:szCs w:val="20"/>
              </w:rPr>
            </w:pPr>
            <w:r>
              <w:rPr>
                <w:rFonts w:cs="Arial"/>
                <w:color w:val="000000"/>
                <w:sz w:val="20"/>
                <w:szCs w:val="20"/>
              </w:rPr>
              <w:t>64</w:t>
            </w:r>
          </w:p>
        </w:tc>
        <w:tc>
          <w:tcPr>
            <w:tcW w:w="1423" w:type="dxa"/>
            <w:vAlign w:val="center"/>
          </w:tcPr>
          <w:p w14:paraId="23D8446B">
            <w:pPr>
              <w:spacing w:before="40" w:after="40"/>
              <w:jc w:val="center"/>
              <w:rPr>
                <w:sz w:val="20"/>
                <w:szCs w:val="20"/>
              </w:rPr>
            </w:pPr>
            <w:r>
              <w:rPr>
                <w:sz w:val="20"/>
                <w:szCs w:val="20"/>
              </w:rPr>
              <w:t>32</w:t>
            </w:r>
          </w:p>
        </w:tc>
        <w:tc>
          <w:tcPr>
            <w:tcW w:w="3074" w:type="dxa"/>
          </w:tcPr>
          <w:p w14:paraId="3AC575AB">
            <w:pPr>
              <w:spacing w:before="40" w:after="40"/>
              <w:jc w:val="center"/>
              <w:rPr>
                <w:sz w:val="20"/>
                <w:szCs w:val="20"/>
              </w:rPr>
            </w:pPr>
            <w:r>
              <w:rPr>
                <w:sz w:val="20"/>
                <w:szCs w:val="20"/>
              </w:rPr>
              <w:t>0.67</w:t>
            </w:r>
          </w:p>
        </w:tc>
        <w:tc>
          <w:tcPr>
            <w:tcW w:w="3075" w:type="dxa"/>
          </w:tcPr>
          <w:p w14:paraId="443FEED2">
            <w:pPr>
              <w:spacing w:before="40" w:after="40"/>
              <w:jc w:val="center"/>
              <w:rPr>
                <w:sz w:val="20"/>
                <w:szCs w:val="20"/>
              </w:rPr>
            </w:pPr>
            <w:r>
              <w:rPr>
                <w:sz w:val="20"/>
                <w:szCs w:val="20"/>
              </w:rPr>
              <w:t>0.66</w:t>
            </w:r>
          </w:p>
        </w:tc>
      </w:tr>
      <w:tr w14:paraId="35368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6B5333BC">
            <w:pPr>
              <w:spacing w:before="40" w:after="40"/>
              <w:jc w:val="center"/>
              <w:rPr>
                <w:sz w:val="20"/>
                <w:szCs w:val="20"/>
              </w:rPr>
            </w:pPr>
            <w:r>
              <w:rPr>
                <w:rFonts w:cs="Arial"/>
                <w:color w:val="000000"/>
                <w:sz w:val="20"/>
                <w:szCs w:val="20"/>
              </w:rPr>
              <w:t>256</w:t>
            </w:r>
          </w:p>
        </w:tc>
        <w:tc>
          <w:tcPr>
            <w:tcW w:w="1423" w:type="dxa"/>
            <w:vAlign w:val="center"/>
          </w:tcPr>
          <w:p w14:paraId="71F4918E">
            <w:pPr>
              <w:spacing w:before="40" w:after="40"/>
              <w:jc w:val="center"/>
              <w:rPr>
                <w:sz w:val="20"/>
                <w:szCs w:val="20"/>
              </w:rPr>
            </w:pPr>
            <w:r>
              <w:rPr>
                <w:sz w:val="20"/>
                <w:szCs w:val="20"/>
              </w:rPr>
              <w:t>16</w:t>
            </w:r>
          </w:p>
        </w:tc>
        <w:tc>
          <w:tcPr>
            <w:tcW w:w="3074" w:type="dxa"/>
          </w:tcPr>
          <w:p w14:paraId="4E80E1E8">
            <w:pPr>
              <w:spacing w:before="40" w:after="40"/>
              <w:jc w:val="center"/>
              <w:rPr>
                <w:sz w:val="20"/>
                <w:szCs w:val="20"/>
              </w:rPr>
            </w:pPr>
            <w:r>
              <w:rPr>
                <w:sz w:val="20"/>
                <w:szCs w:val="20"/>
              </w:rPr>
              <w:t>0.68</w:t>
            </w:r>
          </w:p>
        </w:tc>
        <w:tc>
          <w:tcPr>
            <w:tcW w:w="3075" w:type="dxa"/>
          </w:tcPr>
          <w:p w14:paraId="41675BB8">
            <w:pPr>
              <w:spacing w:before="40" w:after="40"/>
              <w:jc w:val="center"/>
              <w:rPr>
                <w:sz w:val="20"/>
                <w:szCs w:val="20"/>
              </w:rPr>
            </w:pPr>
            <w:r>
              <w:rPr>
                <w:sz w:val="20"/>
                <w:szCs w:val="20"/>
              </w:rPr>
              <w:t>0.69</w:t>
            </w:r>
          </w:p>
        </w:tc>
      </w:tr>
      <w:tr w14:paraId="6CB51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07954A58">
            <w:pPr>
              <w:spacing w:before="40" w:after="40"/>
              <w:jc w:val="center"/>
              <w:rPr>
                <w:sz w:val="20"/>
                <w:szCs w:val="20"/>
              </w:rPr>
            </w:pPr>
            <w:r>
              <w:rPr>
                <w:rFonts w:cs="Arial"/>
                <w:color w:val="000000"/>
                <w:sz w:val="20"/>
                <w:szCs w:val="20"/>
              </w:rPr>
              <w:t>128</w:t>
            </w:r>
          </w:p>
        </w:tc>
        <w:tc>
          <w:tcPr>
            <w:tcW w:w="1423" w:type="dxa"/>
            <w:vAlign w:val="center"/>
          </w:tcPr>
          <w:p w14:paraId="0551BCD5">
            <w:pPr>
              <w:spacing w:before="40" w:after="40"/>
              <w:jc w:val="center"/>
              <w:rPr>
                <w:sz w:val="20"/>
                <w:szCs w:val="20"/>
              </w:rPr>
            </w:pPr>
            <w:r>
              <w:rPr>
                <w:sz w:val="20"/>
                <w:szCs w:val="20"/>
              </w:rPr>
              <w:t>16</w:t>
            </w:r>
          </w:p>
        </w:tc>
        <w:tc>
          <w:tcPr>
            <w:tcW w:w="3074" w:type="dxa"/>
          </w:tcPr>
          <w:p w14:paraId="2BC5E6F6">
            <w:pPr>
              <w:spacing w:before="40" w:after="40"/>
              <w:jc w:val="center"/>
              <w:rPr>
                <w:sz w:val="20"/>
                <w:szCs w:val="20"/>
              </w:rPr>
            </w:pPr>
            <w:r>
              <w:rPr>
                <w:sz w:val="20"/>
                <w:szCs w:val="20"/>
              </w:rPr>
              <w:t>0.64</w:t>
            </w:r>
          </w:p>
        </w:tc>
        <w:tc>
          <w:tcPr>
            <w:tcW w:w="3075" w:type="dxa"/>
          </w:tcPr>
          <w:p w14:paraId="623A2BF4">
            <w:pPr>
              <w:spacing w:before="40" w:after="40"/>
              <w:jc w:val="center"/>
              <w:rPr>
                <w:sz w:val="20"/>
                <w:szCs w:val="20"/>
              </w:rPr>
            </w:pPr>
            <w:r>
              <w:rPr>
                <w:sz w:val="20"/>
                <w:szCs w:val="20"/>
              </w:rPr>
              <w:t>0.65</w:t>
            </w:r>
          </w:p>
        </w:tc>
      </w:tr>
      <w:tr w14:paraId="3440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7B869F55">
            <w:pPr>
              <w:spacing w:before="40" w:after="40"/>
              <w:jc w:val="center"/>
              <w:rPr>
                <w:sz w:val="20"/>
                <w:szCs w:val="20"/>
              </w:rPr>
            </w:pPr>
            <w:r>
              <w:rPr>
                <w:rFonts w:cs="Arial"/>
                <w:color w:val="000000"/>
                <w:sz w:val="20"/>
                <w:szCs w:val="20"/>
              </w:rPr>
              <w:t>64</w:t>
            </w:r>
          </w:p>
        </w:tc>
        <w:tc>
          <w:tcPr>
            <w:tcW w:w="1423" w:type="dxa"/>
            <w:vAlign w:val="center"/>
          </w:tcPr>
          <w:p w14:paraId="769B694D">
            <w:pPr>
              <w:spacing w:before="40" w:after="40"/>
              <w:jc w:val="center"/>
              <w:rPr>
                <w:sz w:val="20"/>
                <w:szCs w:val="20"/>
              </w:rPr>
            </w:pPr>
            <w:r>
              <w:rPr>
                <w:sz w:val="20"/>
                <w:szCs w:val="20"/>
              </w:rPr>
              <w:t>16</w:t>
            </w:r>
          </w:p>
        </w:tc>
        <w:tc>
          <w:tcPr>
            <w:tcW w:w="3074" w:type="dxa"/>
          </w:tcPr>
          <w:p w14:paraId="43239EB1">
            <w:pPr>
              <w:spacing w:before="40" w:after="40"/>
              <w:jc w:val="center"/>
              <w:rPr>
                <w:sz w:val="20"/>
                <w:szCs w:val="20"/>
              </w:rPr>
            </w:pPr>
            <w:r>
              <w:rPr>
                <w:sz w:val="20"/>
                <w:szCs w:val="20"/>
              </w:rPr>
              <w:t>0.70</w:t>
            </w:r>
          </w:p>
        </w:tc>
        <w:tc>
          <w:tcPr>
            <w:tcW w:w="3075" w:type="dxa"/>
          </w:tcPr>
          <w:p w14:paraId="488BBF8C">
            <w:pPr>
              <w:spacing w:before="40" w:after="40"/>
              <w:jc w:val="center"/>
              <w:rPr>
                <w:sz w:val="20"/>
                <w:szCs w:val="20"/>
              </w:rPr>
            </w:pPr>
            <w:r>
              <w:rPr>
                <w:sz w:val="20"/>
                <w:szCs w:val="20"/>
              </w:rPr>
              <w:t>0.71</w:t>
            </w:r>
          </w:p>
        </w:tc>
      </w:tr>
      <w:tr w14:paraId="24089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1D834CC3">
            <w:pPr>
              <w:spacing w:before="40" w:after="40"/>
              <w:jc w:val="center"/>
              <w:rPr>
                <w:sz w:val="20"/>
                <w:szCs w:val="20"/>
              </w:rPr>
            </w:pPr>
            <w:r>
              <w:rPr>
                <w:rFonts w:cs="Arial"/>
                <w:color w:val="000000"/>
                <w:sz w:val="20"/>
                <w:szCs w:val="20"/>
              </w:rPr>
              <w:t>256</w:t>
            </w:r>
          </w:p>
        </w:tc>
        <w:tc>
          <w:tcPr>
            <w:tcW w:w="1423" w:type="dxa"/>
            <w:vAlign w:val="center"/>
          </w:tcPr>
          <w:p w14:paraId="5124A876">
            <w:pPr>
              <w:spacing w:before="40" w:after="40"/>
              <w:jc w:val="center"/>
              <w:rPr>
                <w:sz w:val="20"/>
                <w:szCs w:val="20"/>
              </w:rPr>
            </w:pPr>
            <w:r>
              <w:rPr>
                <w:sz w:val="20"/>
                <w:szCs w:val="20"/>
              </w:rPr>
              <w:t>9</w:t>
            </w:r>
          </w:p>
        </w:tc>
        <w:tc>
          <w:tcPr>
            <w:tcW w:w="3074" w:type="dxa"/>
          </w:tcPr>
          <w:p w14:paraId="065F859F">
            <w:pPr>
              <w:spacing w:before="40" w:after="40"/>
              <w:jc w:val="center"/>
              <w:rPr>
                <w:sz w:val="20"/>
                <w:szCs w:val="20"/>
              </w:rPr>
            </w:pPr>
            <w:r>
              <w:rPr>
                <w:sz w:val="20"/>
                <w:szCs w:val="20"/>
              </w:rPr>
              <w:t>0.82</w:t>
            </w:r>
          </w:p>
        </w:tc>
        <w:tc>
          <w:tcPr>
            <w:tcW w:w="3075" w:type="dxa"/>
          </w:tcPr>
          <w:p w14:paraId="1995D492">
            <w:pPr>
              <w:spacing w:before="40" w:after="40"/>
              <w:jc w:val="center"/>
              <w:rPr>
                <w:sz w:val="20"/>
                <w:szCs w:val="20"/>
              </w:rPr>
            </w:pPr>
            <w:r>
              <w:rPr>
                <w:sz w:val="20"/>
                <w:szCs w:val="20"/>
              </w:rPr>
              <w:t>0.84</w:t>
            </w:r>
          </w:p>
        </w:tc>
      </w:tr>
      <w:tr w14:paraId="3E255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7829191F">
            <w:pPr>
              <w:spacing w:before="40" w:after="40"/>
              <w:jc w:val="center"/>
              <w:rPr>
                <w:sz w:val="20"/>
                <w:szCs w:val="20"/>
              </w:rPr>
            </w:pPr>
            <w:r>
              <w:rPr>
                <w:rFonts w:cs="Arial"/>
                <w:color w:val="000000"/>
                <w:sz w:val="20"/>
                <w:szCs w:val="20"/>
              </w:rPr>
              <w:t>128</w:t>
            </w:r>
          </w:p>
        </w:tc>
        <w:tc>
          <w:tcPr>
            <w:tcW w:w="1423" w:type="dxa"/>
            <w:vAlign w:val="center"/>
          </w:tcPr>
          <w:p w14:paraId="5BB5C2DB">
            <w:pPr>
              <w:spacing w:before="40" w:after="40"/>
              <w:jc w:val="center"/>
              <w:rPr>
                <w:sz w:val="20"/>
                <w:szCs w:val="20"/>
              </w:rPr>
            </w:pPr>
            <w:r>
              <w:rPr>
                <w:sz w:val="20"/>
                <w:szCs w:val="20"/>
              </w:rPr>
              <w:t>9</w:t>
            </w:r>
          </w:p>
        </w:tc>
        <w:tc>
          <w:tcPr>
            <w:tcW w:w="3074" w:type="dxa"/>
          </w:tcPr>
          <w:p w14:paraId="67012A7E">
            <w:pPr>
              <w:spacing w:before="40" w:after="40"/>
              <w:jc w:val="center"/>
              <w:rPr>
                <w:sz w:val="20"/>
                <w:szCs w:val="20"/>
              </w:rPr>
            </w:pPr>
            <w:r>
              <w:rPr>
                <w:sz w:val="20"/>
                <w:szCs w:val="20"/>
              </w:rPr>
              <w:t>0.82</w:t>
            </w:r>
          </w:p>
        </w:tc>
        <w:tc>
          <w:tcPr>
            <w:tcW w:w="3075" w:type="dxa"/>
          </w:tcPr>
          <w:p w14:paraId="32C802EF">
            <w:pPr>
              <w:spacing w:before="40" w:after="40"/>
              <w:jc w:val="center"/>
              <w:rPr>
                <w:sz w:val="20"/>
                <w:szCs w:val="20"/>
              </w:rPr>
            </w:pPr>
            <w:r>
              <w:rPr>
                <w:sz w:val="20"/>
                <w:szCs w:val="20"/>
              </w:rPr>
              <w:t>0.81</w:t>
            </w:r>
          </w:p>
        </w:tc>
      </w:tr>
      <w:tr w14:paraId="20BC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3" w:type="dxa"/>
            <w:vAlign w:val="center"/>
          </w:tcPr>
          <w:p w14:paraId="39C1F462">
            <w:pPr>
              <w:spacing w:before="40" w:after="40"/>
              <w:jc w:val="center"/>
              <w:rPr>
                <w:sz w:val="20"/>
                <w:szCs w:val="20"/>
              </w:rPr>
            </w:pPr>
            <w:r>
              <w:rPr>
                <w:rFonts w:cs="Arial"/>
                <w:color w:val="000000"/>
                <w:sz w:val="20"/>
                <w:szCs w:val="20"/>
              </w:rPr>
              <w:t>64</w:t>
            </w:r>
          </w:p>
        </w:tc>
        <w:tc>
          <w:tcPr>
            <w:tcW w:w="1423" w:type="dxa"/>
            <w:vAlign w:val="center"/>
          </w:tcPr>
          <w:p w14:paraId="60C91610">
            <w:pPr>
              <w:spacing w:before="40" w:after="40"/>
              <w:jc w:val="center"/>
              <w:rPr>
                <w:sz w:val="20"/>
                <w:szCs w:val="20"/>
              </w:rPr>
            </w:pPr>
            <w:r>
              <w:rPr>
                <w:sz w:val="20"/>
                <w:szCs w:val="20"/>
              </w:rPr>
              <w:t>9</w:t>
            </w:r>
          </w:p>
        </w:tc>
        <w:tc>
          <w:tcPr>
            <w:tcW w:w="3074" w:type="dxa"/>
          </w:tcPr>
          <w:p w14:paraId="1D604213">
            <w:pPr>
              <w:spacing w:before="40" w:after="40"/>
              <w:jc w:val="center"/>
              <w:rPr>
                <w:sz w:val="20"/>
                <w:szCs w:val="20"/>
              </w:rPr>
            </w:pPr>
            <w:r>
              <w:rPr>
                <w:sz w:val="20"/>
                <w:szCs w:val="20"/>
              </w:rPr>
              <w:t>0.80</w:t>
            </w:r>
          </w:p>
        </w:tc>
        <w:tc>
          <w:tcPr>
            <w:tcW w:w="3075" w:type="dxa"/>
          </w:tcPr>
          <w:p w14:paraId="10D399B6">
            <w:pPr>
              <w:spacing w:before="40" w:after="40"/>
              <w:jc w:val="center"/>
              <w:rPr>
                <w:sz w:val="20"/>
                <w:szCs w:val="20"/>
              </w:rPr>
            </w:pPr>
            <w:r>
              <w:rPr>
                <w:sz w:val="20"/>
                <w:szCs w:val="20"/>
              </w:rPr>
              <w:t>0.80</w:t>
            </w:r>
          </w:p>
        </w:tc>
      </w:tr>
    </w:tbl>
    <w:p w14:paraId="007463D4"/>
    <w:p w14:paraId="1D5A94C9">
      <w:r>
        <w:t>If the relative phase described above is to be supported, then new measurement types needs to be introduced in 38.215. An example is shown below and called UL RSRCP, which is for UL measurements based on SRS. Similar new measurement type is needed for DL PRS as well.</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0DE56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752E57A6">
            <w:pPr>
              <w:keepNext/>
              <w:keepLines/>
              <w:rPr>
                <w:sz w:val="18"/>
                <w:lang w:val="en-CA"/>
              </w:rPr>
            </w:pPr>
            <w:r>
              <w:rPr>
                <w:iCs/>
                <w:sz w:val="18"/>
                <w:lang w:val="en-CA"/>
              </w:rPr>
              <w:t xml:space="preserve">UL reference signal relative carrier phase (RSRCP) is defined as a sequence of relative phase values </w:t>
            </w:r>
            <w:r>
              <w:rPr>
                <w:rFonts w:eastAsia="MS Mincho" w:cs="Arial"/>
                <w:sz w:val="18"/>
                <w:lang w:val="zh-CN" w:eastAsia="zh-CN"/>
              </w:rPr>
              <w:t>of the channel response</w:t>
            </w:r>
            <w:r>
              <w:rPr>
                <w:rFonts w:eastAsia="MS Mincho" w:cs="Arial"/>
                <w:sz w:val="18"/>
                <w:lang w:eastAsia="zh-CN"/>
              </w:rPr>
              <w:t xml:space="preserve"> derived from the resource elements carrying sounding reference signals (SRS) configured for the measurement</w:t>
            </w:r>
            <w:r>
              <w:rPr>
                <w:iCs/>
                <w:sz w:val="18"/>
                <w:lang w:val="en-CA"/>
              </w:rPr>
              <w:t xml:space="preserve">. For the j-th path, the relative phase is the difference between the phase of the j-th path and the phase of the first path. </w:t>
            </w:r>
          </w:p>
        </w:tc>
      </w:tr>
    </w:tbl>
    <w:p w14:paraId="7B32C2E9"/>
    <w:p w14:paraId="6D533511">
      <w:pPr>
        <w:rPr>
          <w:rFonts w:cs="Arial"/>
          <w:lang w:eastAsia="zh-CN"/>
        </w:rPr>
      </w:pPr>
      <w:r>
        <w:t xml:space="preserve">It is noted that the UL RSRCP illustrated above needs to be added in addition to the existing </w:t>
      </w:r>
      <w:r>
        <w:rPr>
          <w:rFonts w:cs="Arial"/>
          <w:lang w:val="zh-CN" w:eastAsia="zh-CN"/>
        </w:rPr>
        <w:t>UL reference signal carrier phase (RSCP)</w:t>
      </w:r>
      <w:r>
        <w:rPr>
          <w:rFonts w:cs="Arial"/>
          <w:lang w:eastAsia="zh-CN"/>
        </w:rPr>
        <w:t xml:space="preserve"> introduced in Rel-18, which is only for the phase of the first detected path delay. Related to the new measurement type UL RSRCP, standardization effort is also needed in RAN1/RAN2/RAN3 for signaling support for training data collection and model inference, and potentially in RAN4 for requirements. </w:t>
      </w:r>
      <w:r>
        <w:t>Similar standardization effort is needed for the corresponding DL PRS measurement as well.</w:t>
      </w:r>
      <w:r>
        <w:rPr>
          <w:rFonts w:cs="Arial"/>
          <w:lang w:eastAsia="zh-CN"/>
        </w:rPr>
        <w:t xml:space="preserve"> RAN1 needs to take these into account in determining whether to support CIR in Rel-19.</w:t>
      </w:r>
    </w:p>
    <w:p w14:paraId="1B995465">
      <w:r>
        <w:t xml:space="preserve">Furthermore, the analysis above does not consider inter-path phase difference caused by the TRP’s and the UEs antenna patterns. As discussed in section </w:t>
      </w:r>
      <w:r>
        <w:fldChar w:fldCharType="begin"/>
      </w:r>
      <w:r>
        <w:instrText xml:space="preserve"> REF _Ref163131948 \r </w:instrText>
      </w:r>
      <w:r>
        <w:fldChar w:fldCharType="separate"/>
      </w:r>
      <w:r>
        <w:t>3.2.3</w:t>
      </w:r>
      <w:r>
        <w:fldChar w:fldCharType="end"/>
      </w:r>
      <w:r>
        <w:t>, it is unclear how to remove such inter-path phase difference between model training and model inference, especially the phase offset caused by UE Tx or Rx antenna.</w:t>
      </w:r>
    </w:p>
    <w:p w14:paraId="0F369AF1"/>
    <w:p w14:paraId="470DD67B">
      <w:pPr>
        <w:pStyle w:val="73"/>
      </w:pPr>
      <w:bookmarkStart w:id="1483" w:name="_Toc189845114"/>
      <w:r>
        <w:t>To decide whether to support phase information to enable CIR as model input, RAN1 should weigh the small positioning accuracy improvement against the standardization effort, the signaling overhead, and the difficulty to align phase information between training and inference.</w:t>
      </w:r>
      <w:bookmarkEnd w:id="1483"/>
    </w:p>
    <w:p w14:paraId="35DC122B">
      <w:pPr>
        <w:pStyle w:val="73"/>
      </w:pPr>
      <w:bookmarkStart w:id="1484" w:name="_Toc189845115"/>
      <w:r>
        <w:t>If phase information is supported to enable CIR as model input, the phase values are reported in the format of relative phase.</w:t>
      </w:r>
      <w:bookmarkEnd w:id="1484"/>
    </w:p>
    <w:p w14:paraId="56B1DBAE">
      <w:pPr>
        <w:pStyle w:val="4"/>
      </w:pPr>
      <w:bookmarkStart w:id="1485" w:name="_Ref163131948"/>
      <w:bookmarkStart w:id="1486" w:name="_Toc165990989"/>
      <w:bookmarkStart w:id="1487" w:name="_Toc189845018"/>
      <w:r>
        <w:t>Difficulty to align phase measurements</w:t>
      </w:r>
      <w:bookmarkEnd w:id="1485"/>
      <w:r>
        <w:t xml:space="preserve"> between model training and model inference</w:t>
      </w:r>
      <w:bookmarkEnd w:id="1486"/>
      <w:bookmarkEnd w:id="1487"/>
    </w:p>
    <w:p w14:paraId="004576CF">
      <w:r>
        <w:t>Assuming a magnitude-phase measurement is used as model input, e.g., a complex CIR or even a single path, some ambiguity will need to be resolved. In the downlink, the phase component of a received path consists of the following:</w:t>
      </w:r>
    </w:p>
    <w:p w14:paraId="03EB9974">
      <m:oMathPara>
        <m:oMath>
          <m:sSub>
            <m:sSubPr>
              <m:ctrlPr>
                <w:rPr>
                  <w:rFonts w:ascii="Cambria Math" w:hAnsi="Cambria Math"/>
                  <w:i/>
                </w:rPr>
              </m:ctrlPr>
            </m:sSubPr>
            <m:e>
              <m:acc>
                <m:accPr>
                  <m:ctrlPr>
                    <w:rPr>
                      <w:rFonts w:ascii="Cambria Math" w:hAnsi="Cambria Math"/>
                      <w:i/>
                    </w:rPr>
                  </m:ctrlPr>
                </m:accPr>
                <m:e>
                  <m:r>
                    <m:rPr/>
                    <w:rPr>
                      <w:rFonts w:ascii="Cambria Math" w:hAnsi="Cambria Math"/>
                    </w:rPr>
                    <m:t>θ</m:t>
                  </m:r>
                  <m:ctrlPr>
                    <w:rPr>
                      <w:rFonts w:ascii="Cambria Math" w:hAnsi="Cambria Math"/>
                      <w:i/>
                    </w:rPr>
                  </m:ctrlPr>
                </m:e>
              </m:acc>
              <m:ctrlPr>
                <w:rPr>
                  <w:rFonts w:ascii="Cambria Math" w:hAnsi="Cambria Math"/>
                  <w:i/>
                </w:rPr>
              </m:ctrlPr>
            </m:e>
            <m:sub>
              <m:r>
                <m:rPr/>
                <w:rPr>
                  <w:rFonts w:ascii="Cambria Math" w:hAnsi="Cambria Math"/>
                </w:rPr>
                <m:t>ue</m:t>
              </m:r>
              <m:ctrlPr>
                <w:rPr>
                  <w:rFonts w:ascii="Cambria Math" w:hAnsi="Cambria Math"/>
                  <w:i/>
                </w:rPr>
              </m:ctrlPr>
            </m:sub>
          </m:sSub>
          <m:r>
            <m:rPr/>
            <w:rPr>
              <w:rFonts w:ascii="Cambria Math" w:hAnsi="Cambria Math"/>
            </w:rPr>
            <m:t>=θ(</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1u</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u</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ue</m:t>
              </m:r>
              <m:ctrlPr>
                <w:rPr>
                  <w:rFonts w:ascii="Cambria Math" w:hAnsi="Cambria Math"/>
                  <w:i/>
                </w:rPr>
              </m:ctrlPr>
            </m:sub>
          </m:sSub>
          <m:r>
            <m:rPr/>
            <w:rPr>
              <w:rFonts w:ascii="Cambria Math" w:hAnsi="Cambria Math"/>
            </w:rPr>
            <m:t>)</m:t>
          </m:r>
        </m:oMath>
      </m:oMathPara>
    </w:p>
    <w:p w14:paraId="006A97BD">
      <w:r>
        <w:t>In this equation, we can see that the receive phase is made of:</w:t>
      </w:r>
    </w:p>
    <w:p w14:paraId="144BF009">
      <w:pPr>
        <w:pStyle w:val="133"/>
        <w:numPr>
          <w:ilvl w:val="0"/>
          <w:numId w:val="30"/>
        </w:numPr>
      </w:pPr>
      <w:r>
        <w:t xml:space="preserve">The channel path phase </w:t>
      </w:r>
      <m:oMath>
        <m:r>
          <m:rPr/>
          <w:rPr>
            <w:rFonts w:ascii="Cambria Math" w:hAnsi="Cambria Math"/>
          </w:rPr>
          <m:t>θ(</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1u</m:t>
            </m:r>
            <m:ctrlPr>
              <w:rPr>
                <w:rFonts w:ascii="Cambria Math" w:hAnsi="Cambria Math"/>
                <w:i/>
              </w:rPr>
            </m:ctrlPr>
          </m:sub>
        </m:sSub>
        <m:r>
          <m:rPr/>
          <w:rPr>
            <w:rFonts w:ascii="Cambria Math" w:hAnsi="Cambria Math"/>
          </w:rPr>
          <m:t>)</m:t>
        </m:r>
      </m:oMath>
      <w:r>
        <w:t>, which is a function of the distance between the TRP and the UE.</w:t>
      </w:r>
    </w:p>
    <w:p w14:paraId="404449AD">
      <w:pPr>
        <w:pStyle w:val="133"/>
        <w:numPr>
          <w:ilvl w:val="0"/>
          <w:numId w:val="30"/>
        </w:numPr>
      </w:pPr>
      <w:r>
        <w:t xml:space="preserve">The TRP phase at the time of transmission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1</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m:t>
                </m:r>
                <m:ctrlPr>
                  <w:rPr>
                    <w:rFonts w:ascii="Cambria Math" w:hAnsi="Cambria Math"/>
                    <w:i/>
                  </w:rPr>
                </m:ctrlPr>
              </m:sub>
            </m:sSub>
            <m:ctrlPr>
              <w:rPr>
                <w:rFonts w:ascii="Cambria Math" w:hAnsi="Cambria Math"/>
                <w:i/>
              </w:rPr>
            </m:ctrlPr>
          </m:e>
        </m:d>
      </m:oMath>
      <w:r>
        <w:t xml:space="preserve">, which includes a random phase rotation caused by the free-running oscillator, and a deterministic rotation caused by the beamforming weights and the Tx antenna pattern. Thus the initial phase depends on the direction of departure of the path. </w:t>
      </w:r>
    </w:p>
    <w:p w14:paraId="16CB503E">
      <w:pPr>
        <w:pStyle w:val="133"/>
        <w:numPr>
          <w:ilvl w:val="0"/>
          <w:numId w:val="30"/>
        </w:numPr>
      </w:pPr>
      <w:r>
        <w:t xml:space="preserve">The UE phase at the time of reception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u</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ue</m:t>
            </m:r>
            <m:ctrlPr>
              <w:rPr>
                <w:rFonts w:ascii="Cambria Math" w:hAnsi="Cambria Math"/>
                <w:i/>
              </w:rPr>
            </m:ctrlPr>
          </m:sub>
        </m:sSub>
        <m:r>
          <m:rPr/>
          <w:rPr>
            <w:rFonts w:ascii="Cambria Math" w:hAnsi="Cambria Math"/>
          </w:rPr>
          <m:t>)</m:t>
        </m:r>
      </m:oMath>
      <w:r>
        <w:t xml:space="preserve">, which includes a random phase rotation caused by the free-running oscillator, and a deterministic rotation caused by the beamforming weights and the Rx antenna pattern. Thus the initial phase depends on the direction of arrival of the path. </w:t>
      </w:r>
    </w:p>
    <w:p w14:paraId="10D210C6"/>
    <w:p w14:paraId="65DA42E3">
      <w:r>
        <w:t>Let’s assume that the model input is the RSCP/RSCPD measurement defined in release 18, i.e., the (complex) phase/ phase difference for the first path. Carrier phase positioning specified in release 18 measures the phase difference between two DL PRSs received from two TRPs:</w:t>
      </w:r>
    </w:p>
    <w:p w14:paraId="0144D8D5">
      <m:oMathPara>
        <m:oMath>
          <m:sSubSup>
            <m:sSubSupPr>
              <m:ctrlPr>
                <w:rPr>
                  <w:rFonts w:ascii="Cambria Math" w:hAnsi="Cambria Math"/>
                  <w:i/>
                </w:rPr>
              </m:ctrlPr>
            </m:sSubSupPr>
            <m:e>
              <m:acc>
                <m:accPr>
                  <m:ctrlPr>
                    <w:rPr>
                      <w:rFonts w:ascii="Cambria Math" w:hAnsi="Cambria Math"/>
                      <w:i/>
                    </w:rPr>
                  </m:ctrlPr>
                </m:accPr>
                <m:e>
                  <m:r>
                    <m:rPr/>
                    <w:rPr>
                      <w:rFonts w:ascii="Cambria Math" w:hAnsi="Cambria Math"/>
                    </w:rPr>
                    <m:t>θ</m:t>
                  </m:r>
                  <m:ctrlPr>
                    <w:rPr>
                      <w:rFonts w:ascii="Cambria Math" w:hAnsi="Cambria Math"/>
                      <w:i/>
                    </w:rPr>
                  </m:ctrlPr>
                </m:e>
              </m:acc>
              <m:ctrlPr>
                <w:rPr>
                  <w:rFonts w:ascii="Cambria Math" w:hAnsi="Cambria Math"/>
                  <w:i/>
                </w:rPr>
              </m:ctrlPr>
            </m:e>
            <m:sub>
              <m:r>
                <m:rPr/>
                <w:rPr>
                  <w:rFonts w:ascii="Cambria Math" w:hAnsi="Cambria Math"/>
                </w:rPr>
                <m:t>ue</m:t>
              </m:r>
              <m:ctrlPr>
                <w:rPr>
                  <w:rFonts w:ascii="Cambria Math" w:hAnsi="Cambria Math"/>
                  <w:i/>
                </w:rPr>
              </m:ctrlPr>
            </m:sub>
            <m:sup>
              <m:r>
                <m:rPr/>
                <w:rPr>
                  <w:rFonts w:ascii="Cambria Math" w:hAnsi="Cambria Math"/>
                </w:rPr>
                <m:t>diff</m:t>
              </m:r>
              <m:ctrlPr>
                <w:rPr>
                  <w:rFonts w:ascii="Cambria Math" w:hAnsi="Cambria Math"/>
                  <w:i/>
                </w:rPr>
              </m:ctrlPr>
            </m:sup>
          </m:sSubSup>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1u</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1</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TRP1</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u</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ue</m:t>
                  </m:r>
                  <m:ctrlPr>
                    <w:rPr>
                      <w:rFonts w:ascii="Cambria Math" w:hAnsi="Cambria Math"/>
                      <w:i/>
                    </w:rPr>
                  </m:ctrlPr>
                </m:sub>
              </m:sSub>
              <m:ctrlPr>
                <w:rPr>
                  <w:rFonts w:ascii="Cambria Math" w:hAnsi="Cambria Math"/>
                  <w:i/>
                </w:rPr>
              </m:ctrlPr>
            </m:e>
          </m:d>
          <m:r>
            <m:rPr/>
            <w:rPr>
              <w:rFonts w:ascii="Cambria Math" w:hAnsi="Cambria Math"/>
            </w:rPr>
            <m:t xml:space="preserve">− </m:t>
          </m:r>
          <m:d>
            <m:dPr>
              <m:ctrlPr>
                <w:rPr>
                  <w:rFonts w:ascii="Cambria Math" w:hAnsi="Cambria Math"/>
                  <w:i/>
                </w:rPr>
              </m:ctrlPr>
            </m:dPr>
            <m:e>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2u</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2</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TRP2</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u</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ue</m:t>
                      </m:r>
                      <m:ctrlPr>
                        <w:rPr>
                          <w:rFonts w:ascii="Cambria Math" w:hAnsi="Cambria Math"/>
                          <w:i/>
                        </w:rPr>
                      </m:ctrlPr>
                    </m:sub>
                  </m:sSub>
                  <m:ctrlPr>
                    <w:rPr>
                      <w:rFonts w:ascii="Cambria Math" w:hAnsi="Cambria Math"/>
                      <w:i/>
                    </w:rPr>
                  </m:ctrlPr>
                </m:e>
              </m:d>
              <m:ctrlPr>
                <w:rPr>
                  <w:rFonts w:ascii="Cambria Math" w:hAnsi="Cambria Math"/>
                  <w:i/>
                </w:rPr>
              </m:ctrlPr>
            </m:e>
          </m:d>
        </m:oMath>
      </m:oMathPara>
    </w:p>
    <w:p w14:paraId="493F191A">
      <w:r>
        <w:t xml:space="preserve">Doing so cancels out the UE’s own random phase error contribution to the phase error. We can assume there is no UE phase error contribution left </w:t>
      </w:r>
      <w:r>
        <w:rPr>
          <w:i/>
        </w:rPr>
        <w:t>if the UE knows its antenna pattern’s phase offset and can remove it</w:t>
      </w:r>
      <w:r>
        <w:t>. The remaining phase difference becomes:</w:t>
      </w:r>
    </w:p>
    <w:p w14:paraId="14B2DD5B">
      <m:oMathPara>
        <m:oMath>
          <m:sSubSup>
            <m:sSubSupPr>
              <m:ctrlPr>
                <w:rPr>
                  <w:rFonts w:ascii="Cambria Math" w:hAnsi="Cambria Math"/>
                  <w:i/>
                </w:rPr>
              </m:ctrlPr>
            </m:sSubSupPr>
            <m:e>
              <m:acc>
                <m:accPr>
                  <m:ctrlPr>
                    <w:rPr>
                      <w:rFonts w:ascii="Cambria Math" w:hAnsi="Cambria Math"/>
                      <w:i/>
                    </w:rPr>
                  </m:ctrlPr>
                </m:accPr>
                <m:e>
                  <m:r>
                    <m:rPr/>
                    <w:rPr>
                      <w:rFonts w:ascii="Cambria Math" w:hAnsi="Cambria Math"/>
                    </w:rPr>
                    <m:t>θ</m:t>
                  </m:r>
                  <m:ctrlPr>
                    <w:rPr>
                      <w:rFonts w:ascii="Cambria Math" w:hAnsi="Cambria Math"/>
                      <w:i/>
                    </w:rPr>
                  </m:ctrlPr>
                </m:e>
              </m:acc>
              <m:ctrlPr>
                <w:rPr>
                  <w:rFonts w:ascii="Cambria Math" w:hAnsi="Cambria Math"/>
                  <w:i/>
                </w:rPr>
              </m:ctrlPr>
            </m:e>
            <m:sub>
              <m:r>
                <m:rPr/>
                <w:rPr>
                  <w:rFonts w:ascii="Cambria Math" w:hAnsi="Cambria Math"/>
                </w:rPr>
                <m:t>ue</m:t>
              </m:r>
              <m:ctrlPr>
                <w:rPr>
                  <w:rFonts w:ascii="Cambria Math" w:hAnsi="Cambria Math"/>
                  <w:i/>
                </w:rPr>
              </m:ctrlPr>
            </m:sub>
            <m:sup>
              <m:r>
                <m:rPr/>
                <w:rPr>
                  <w:rFonts w:ascii="Cambria Math" w:hAnsi="Cambria Math"/>
                </w:rPr>
                <m:t>diff</m:t>
              </m:r>
              <m:ctrlPr>
                <w:rPr>
                  <w:rFonts w:ascii="Cambria Math" w:hAnsi="Cambria Math"/>
                  <w:i/>
                </w:rPr>
              </m:ctrlPr>
            </m:sup>
          </m:sSubSup>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1u</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1</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TRP1</m:t>
                  </m:r>
                  <m:ctrlPr>
                    <w:rPr>
                      <w:rFonts w:ascii="Cambria Math" w:hAnsi="Cambria Math"/>
                      <w:i/>
                    </w:rPr>
                  </m:ctrlPr>
                </m:sub>
              </m:sSub>
              <m:ctrlPr>
                <w:rPr>
                  <w:rFonts w:ascii="Cambria Math" w:hAnsi="Cambria Math"/>
                  <w:i/>
                </w:rPr>
              </m:ctrlPr>
            </m:e>
          </m:d>
          <m:r>
            <m:rPr/>
            <w:rPr>
              <w:rFonts w:ascii="Cambria Math" w:hAnsi="Cambria Math"/>
            </w:rPr>
            <m:t xml:space="preserve">− </m:t>
          </m:r>
          <m:d>
            <m:dPr>
              <m:ctrlPr>
                <w:rPr>
                  <w:rFonts w:ascii="Cambria Math" w:hAnsi="Cambria Math"/>
                  <w:i/>
                </w:rPr>
              </m:ctrlPr>
            </m:dPr>
            <m:e>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2u</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2</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TRP2</m:t>
                      </m:r>
                      <m:ctrlPr>
                        <w:rPr>
                          <w:rFonts w:ascii="Cambria Math" w:hAnsi="Cambria Math"/>
                          <w:i/>
                        </w:rPr>
                      </m:ctrlPr>
                    </m:sub>
                  </m:sSub>
                  <m:ctrlPr>
                    <w:rPr>
                      <w:rFonts w:ascii="Cambria Math" w:hAnsi="Cambria Math"/>
                      <w:i/>
                    </w:rPr>
                  </m:ctrlPr>
                </m:e>
              </m:d>
              <m:ctrlPr>
                <w:rPr>
                  <w:rFonts w:ascii="Cambria Math" w:hAnsi="Cambria Math"/>
                  <w:i/>
                </w:rPr>
              </m:ctrlPr>
            </m:e>
          </m:d>
        </m:oMath>
      </m:oMathPara>
    </w:p>
    <w:p w14:paraId="2CE2A202">
      <w:r>
        <w:t>To cancel out the TRPs contribution to the phase error, a PRU is used to collect a measurement from each TRP and form its own phase difference:</w:t>
      </w:r>
    </w:p>
    <w:p w14:paraId="0D6DF82D">
      <m:oMathPara>
        <m:oMath>
          <m:sSubSup>
            <m:sSubSupPr>
              <m:ctrlPr>
                <w:rPr>
                  <w:rFonts w:ascii="Cambria Math" w:hAnsi="Cambria Math"/>
                  <w:i/>
                </w:rPr>
              </m:ctrlPr>
            </m:sSubSupPr>
            <m:e>
              <m:acc>
                <m:accPr>
                  <m:ctrlPr>
                    <w:rPr>
                      <w:rFonts w:ascii="Cambria Math" w:hAnsi="Cambria Math"/>
                      <w:i/>
                    </w:rPr>
                  </m:ctrlPr>
                </m:accPr>
                <m:e>
                  <m:r>
                    <m:rPr/>
                    <w:rPr>
                      <w:rFonts w:ascii="Cambria Math" w:hAnsi="Cambria Math"/>
                    </w:rPr>
                    <m:t>θ</m:t>
                  </m:r>
                  <m:ctrlPr>
                    <w:rPr>
                      <w:rFonts w:ascii="Cambria Math" w:hAnsi="Cambria Math"/>
                      <w:i/>
                    </w:rPr>
                  </m:ctrlPr>
                </m:e>
              </m:acc>
              <m:ctrlPr>
                <w:rPr>
                  <w:rFonts w:ascii="Cambria Math" w:hAnsi="Cambria Math"/>
                  <w:i/>
                </w:rPr>
              </m:ctrlPr>
            </m:e>
            <m:sub>
              <m:r>
                <m:rPr/>
                <w:rPr>
                  <w:rFonts w:ascii="Cambria Math" w:hAnsi="Cambria Math"/>
                </w:rPr>
                <m:t>PRU</m:t>
              </m:r>
              <m:ctrlPr>
                <w:rPr>
                  <w:rFonts w:ascii="Cambria Math" w:hAnsi="Cambria Math"/>
                  <w:i/>
                </w:rPr>
              </m:ctrlPr>
            </m:sub>
            <m:sup>
              <m:r>
                <m:rPr/>
                <w:rPr>
                  <w:rFonts w:ascii="Cambria Math" w:hAnsi="Cambria Math"/>
                </w:rPr>
                <m:t>diff</m:t>
              </m:r>
              <m:ctrlPr>
                <w:rPr>
                  <w:rFonts w:ascii="Cambria Math" w:hAnsi="Cambria Math"/>
                  <w:i/>
                </w:rPr>
              </m:ctrlPr>
            </m:sup>
          </m:sSubSup>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1,PRU</m:t>
                  </m:r>
                  <m:ctrlPr>
                    <w:rPr>
                      <w:rFonts w:ascii="Cambria Math" w:hAnsi="Cambria Math"/>
                      <w:i/>
                    </w:rPr>
                  </m:ctrlPr>
                </m:sub>
              </m:sSub>
              <m:ctrlPr>
                <w:rPr>
                  <w:rFonts w:ascii="Cambria Math" w:hAnsi="Cambria Math"/>
                  <w:i/>
                </w:rPr>
              </m:ctrlPr>
            </m:e>
          </m:d>
          <m:r>
            <m:rPr/>
            <w:rPr>
              <w:rFonts w:ascii="Cambria Math" w:hAnsi="Cambria Math"/>
            </w:rPr>
            <m:t>+</m:t>
          </m:r>
          <m:sSubSup>
            <m:sSubSupPr>
              <m:ctrlPr>
                <w:rPr>
                  <w:rFonts w:ascii="Cambria Math" w:hAnsi="Cambria Math"/>
                </w:rPr>
              </m:ctrlPr>
            </m:sSubSupPr>
            <m:e>
              <m:r>
                <m:rPr>
                  <m:sty m:val="p"/>
                </m:rPr>
                <w:rPr>
                  <w:rFonts w:ascii="Cambria Math" w:hAnsi="Cambria Math"/>
                </w:rPr>
                <m:t>Δ</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PRU</m:t>
              </m:r>
              <m:ctrlPr>
                <w:rPr>
                  <w:rFonts w:ascii="Cambria Math" w:hAnsi="Cambria Math"/>
                </w:rPr>
              </m:ctrlPr>
            </m:sup>
          </m:sSubSup>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TRP1</m:t>
                  </m:r>
                  <m:ctrlPr>
                    <w:rPr>
                      <w:rFonts w:ascii="Cambria Math" w:hAnsi="Cambria Math"/>
                      <w:i/>
                    </w:rPr>
                  </m:ctrlPr>
                </m:sub>
              </m:sSub>
              <m:ctrlPr>
                <w:rPr>
                  <w:rFonts w:ascii="Cambria Math" w:hAnsi="Cambria Math"/>
                  <w:i/>
                </w:rPr>
              </m:ctrlPr>
            </m:e>
          </m:d>
          <m:r>
            <m:rPr/>
            <w:rPr>
              <w:rFonts w:ascii="Cambria Math" w:hAnsi="Cambria Math"/>
            </w:rPr>
            <m:t xml:space="preserve">− </m:t>
          </m:r>
          <m:d>
            <m:dPr>
              <m:ctrlPr>
                <w:rPr>
                  <w:rFonts w:ascii="Cambria Math" w:hAnsi="Cambria Math"/>
                  <w:i/>
                </w:rPr>
              </m:ctrlPr>
            </m:dPr>
            <m:e>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2,PRU</m:t>
                      </m:r>
                      <m:ctrlPr>
                        <w:rPr>
                          <w:rFonts w:ascii="Cambria Math" w:hAnsi="Cambria Math"/>
                          <w:i/>
                        </w:rPr>
                      </m:ctrlPr>
                    </m:sub>
                  </m:sSub>
                  <m:ctrlPr>
                    <w:rPr>
                      <w:rFonts w:ascii="Cambria Math" w:hAnsi="Cambria Math"/>
                      <w:i/>
                    </w:rPr>
                  </m:ctrlPr>
                </m:e>
              </m:d>
              <m:r>
                <m:rPr/>
                <w:rPr>
                  <w:rFonts w:ascii="Cambria Math" w:hAnsi="Cambria Math"/>
                </w:rPr>
                <m:t>+</m:t>
              </m:r>
              <m:sSubSup>
                <m:sSubSupPr>
                  <m:ctrlPr>
                    <w:rPr>
                      <w:rFonts w:ascii="Cambria Math" w:hAnsi="Cambria Math"/>
                    </w:rPr>
                  </m:ctrlPr>
                </m:sSubSupPr>
                <m:e>
                  <m:r>
                    <m:rPr>
                      <m:sty m:val="p"/>
                    </m:rPr>
                    <w:rPr>
                      <w:rFonts w:ascii="Cambria Math" w:hAnsi="Cambria Math"/>
                    </w:rPr>
                    <m:t>Δ</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PRU</m:t>
                  </m:r>
                  <m:ctrlPr>
                    <w:rPr>
                      <w:rFonts w:ascii="Cambria Math" w:hAnsi="Cambria Math"/>
                    </w:rPr>
                  </m:ctrlPr>
                </m:sup>
              </m:sSubSup>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TRP2</m:t>
                      </m:r>
                      <m:ctrlPr>
                        <w:rPr>
                          <w:rFonts w:ascii="Cambria Math" w:hAnsi="Cambria Math"/>
                          <w:i/>
                        </w:rPr>
                      </m:ctrlPr>
                    </m:sub>
                  </m:sSub>
                  <m:ctrlPr>
                    <w:rPr>
                      <w:rFonts w:ascii="Cambria Math" w:hAnsi="Cambria Math"/>
                      <w:i/>
                    </w:rPr>
                  </m:ctrlPr>
                </m:e>
              </m:d>
              <m:ctrlPr>
                <w:rPr>
                  <w:rFonts w:ascii="Cambria Math" w:hAnsi="Cambria Math"/>
                  <w:i/>
                </w:rPr>
              </m:ctrlPr>
            </m:e>
          </m:d>
        </m:oMath>
      </m:oMathPara>
    </w:p>
    <w:p w14:paraId="4ED69AD5">
      <w:r>
        <w:t>The assumption is that the PRU allows the estimator to perfectly know the distance between the TRP and the PRU, so that the differential phase errors between the TRPs can be estimated as:</w:t>
      </w:r>
    </w:p>
    <w:p w14:paraId="19FEB7F8">
      <m:oMathPara>
        <m:oMath>
          <m:sSubSup>
            <m:sSubSupPr>
              <m:ctrlPr>
                <w:rPr>
                  <w:rFonts w:ascii="Cambria Math" w:hAnsi="Cambria Math"/>
                  <w:i/>
                </w:rPr>
              </m:ctrlPr>
            </m:sSubSupPr>
            <m:e>
              <m:acc>
                <m:accPr>
                  <m:ctrlPr>
                    <w:rPr>
                      <w:rFonts w:ascii="Cambria Math" w:hAnsi="Cambria Math"/>
                      <w:i/>
                    </w:rPr>
                  </m:ctrlPr>
                </m:accPr>
                <m:e>
                  <m:r>
                    <m:rPr/>
                    <w:rPr>
                      <w:rFonts w:ascii="Cambria Math" w:hAnsi="Cambria Math"/>
                    </w:rPr>
                    <m:t>θ</m:t>
                  </m:r>
                  <m:ctrlPr>
                    <w:rPr>
                      <w:rFonts w:ascii="Cambria Math" w:hAnsi="Cambria Math"/>
                      <w:i/>
                    </w:rPr>
                  </m:ctrlPr>
                </m:e>
              </m:acc>
              <m:ctrlPr>
                <w:rPr>
                  <w:rFonts w:ascii="Cambria Math" w:hAnsi="Cambria Math"/>
                  <w:i/>
                </w:rPr>
              </m:ctrlPr>
            </m:e>
            <m:sub>
              <m:r>
                <m:rPr/>
                <w:rPr>
                  <w:rFonts w:ascii="Cambria Math" w:hAnsi="Cambria Math"/>
                </w:rPr>
                <m:t>PRU</m:t>
              </m:r>
              <m:ctrlPr>
                <w:rPr>
                  <w:rFonts w:ascii="Cambria Math" w:hAnsi="Cambria Math"/>
                  <w:i/>
                </w:rPr>
              </m:ctrlPr>
            </m:sub>
            <m:sup>
              <m:r>
                <m:rPr/>
                <w:rPr>
                  <w:rFonts w:ascii="Cambria Math" w:hAnsi="Cambria Math"/>
                </w:rPr>
                <m:t>diff</m:t>
              </m:r>
              <m:ctrlPr>
                <w:rPr>
                  <w:rFonts w:ascii="Cambria Math" w:hAnsi="Cambria Math"/>
                  <w:i/>
                </w:rPr>
              </m:ctrlPr>
            </m:sup>
          </m:sSubSup>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1,PRU</m:t>
                  </m:r>
                  <m:ctrlPr>
                    <w:rPr>
                      <w:rFonts w:ascii="Cambria Math" w:hAnsi="Cambria Math"/>
                      <w:i/>
                    </w:rPr>
                  </m:ctrlPr>
                </m:sub>
              </m:sSub>
              <m:ctrlPr>
                <w:rPr>
                  <w:rFonts w:ascii="Cambria Math" w:hAnsi="Cambria Math"/>
                  <w:i/>
                </w:rPr>
              </m:ctrlPr>
            </m:e>
          </m:d>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2,PRU</m:t>
                  </m:r>
                  <m:ctrlPr>
                    <w:rPr>
                      <w:rFonts w:ascii="Cambria Math" w:hAnsi="Cambria Math"/>
                      <w:i/>
                    </w:rPr>
                  </m:ctrlPr>
                </m:sub>
              </m:sSub>
              <m:ctrlPr>
                <w:rPr>
                  <w:rFonts w:ascii="Cambria Math" w:hAnsi="Cambria Math"/>
                  <w:i/>
                </w:rPr>
              </m:ctrlPr>
            </m:e>
          </m:d>
          <m:r>
            <m:rPr/>
            <w:rPr>
              <w:rFonts w:ascii="Cambria Math" w:hAnsi="Cambria Math"/>
            </w:rPr>
            <m:t>=</m:t>
          </m:r>
          <m:sSubSup>
            <m:sSubSupPr>
              <m:ctrlPr>
                <w:rPr>
                  <w:rFonts w:ascii="Cambria Math" w:hAnsi="Cambria Math"/>
                </w:rPr>
              </m:ctrlPr>
            </m:sSubSupPr>
            <m:e>
              <m:r>
                <m:rPr>
                  <m:sty m:val="p"/>
                </m:rPr>
                <w:rPr>
                  <w:rFonts w:ascii="Cambria Math" w:hAnsi="Cambria Math"/>
                </w:rPr>
                <m:t>Δ</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PRU</m:t>
              </m:r>
              <m:ctrlPr>
                <w:rPr>
                  <w:rFonts w:ascii="Cambria Math" w:hAnsi="Cambria Math"/>
                </w:rPr>
              </m:ctrlPr>
            </m:sup>
          </m:sSubSup>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TRP1</m:t>
                  </m:r>
                  <m:ctrlPr>
                    <w:rPr>
                      <w:rFonts w:ascii="Cambria Math" w:hAnsi="Cambria Math"/>
                      <w:i/>
                    </w:rPr>
                  </m:ctrlPr>
                </m:sub>
              </m:sSub>
              <m:ctrlPr>
                <w:rPr>
                  <w:rFonts w:ascii="Cambria Math" w:hAnsi="Cambria Math"/>
                  <w:i/>
                </w:rPr>
              </m:ctrlPr>
            </m:e>
          </m:d>
          <m:r>
            <m:rPr/>
            <w:rPr>
              <w:rFonts w:ascii="Cambria Math" w:hAnsi="Cambria Math"/>
            </w:rPr>
            <m:t xml:space="preserve">− </m:t>
          </m:r>
          <m:sSubSup>
            <m:sSubSupPr>
              <m:ctrlPr>
                <w:rPr>
                  <w:rFonts w:ascii="Cambria Math" w:hAnsi="Cambria Math"/>
                </w:rPr>
              </m:ctrlPr>
            </m:sSubSupPr>
            <m:e>
              <m:r>
                <m:rPr>
                  <m:sty m:val="p"/>
                </m:rPr>
                <w:rPr>
                  <w:rFonts w:ascii="Cambria Math" w:hAnsi="Cambria Math"/>
                </w:rPr>
                <m:t>Δ</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PRU</m:t>
              </m:r>
              <m:ctrlPr>
                <w:rPr>
                  <w:rFonts w:ascii="Cambria Math" w:hAnsi="Cambria Math"/>
                </w:rPr>
              </m:ctrlPr>
            </m:sup>
          </m:sSubSup>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TRP2</m:t>
                  </m:r>
                  <m:ctrlPr>
                    <w:rPr>
                      <w:rFonts w:ascii="Cambria Math" w:hAnsi="Cambria Math"/>
                      <w:i/>
                    </w:rPr>
                  </m:ctrlPr>
                </m:sub>
              </m:sSub>
              <m:ctrlPr>
                <w:rPr>
                  <w:rFonts w:ascii="Cambria Math" w:hAnsi="Cambria Math"/>
                  <w:i/>
                </w:rPr>
              </m:ctrlPr>
            </m:e>
          </m:d>
        </m:oMath>
      </m:oMathPara>
    </w:p>
    <w:p w14:paraId="659EE2BF">
      <w:r>
        <w:t xml:space="preserve">The final phase difference then can be expressed as following and can be used to find </w:t>
      </w:r>
      <m:oMath>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1u</m:t>
                </m:r>
                <m:ctrlPr>
                  <w:rPr>
                    <w:rFonts w:ascii="Cambria Math" w:hAnsi="Cambria Math"/>
                    <w:i/>
                  </w:rPr>
                </m:ctrlPr>
              </m:sub>
            </m:sSub>
            <m:ctrlPr>
              <w:rPr>
                <w:rFonts w:ascii="Cambria Math" w:hAnsi="Cambria Math"/>
                <w:i/>
              </w:rPr>
            </m:ctrlPr>
          </m:e>
        </m:d>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2u</m:t>
                </m:r>
                <m:ctrlPr>
                  <w:rPr>
                    <w:rFonts w:ascii="Cambria Math" w:hAnsi="Cambria Math"/>
                    <w:i/>
                  </w:rPr>
                </m:ctrlPr>
              </m:sub>
            </m:sSub>
            <m:ctrlPr>
              <w:rPr>
                <w:rFonts w:ascii="Cambria Math" w:hAnsi="Cambria Math"/>
                <w:i/>
              </w:rPr>
            </m:ctrlPr>
          </m:e>
        </m:d>
      </m:oMath>
      <w:r>
        <w:t xml:space="preserve">: </w:t>
      </w:r>
    </w:p>
    <w:p w14:paraId="3277E7AE">
      <m:oMathPara>
        <m:oMath>
          <m:sSubSup>
            <m:sSubSupPr>
              <m:ctrlPr>
                <w:rPr>
                  <w:rFonts w:ascii="Cambria Math" w:hAnsi="Cambria Math"/>
                  <w:i/>
                </w:rPr>
              </m:ctrlPr>
            </m:sSubSupPr>
            <m:e>
              <m:acc>
                <m:accPr>
                  <m:chr m:val="̃"/>
                  <m:ctrlPr>
                    <w:rPr>
                      <w:rFonts w:ascii="Cambria Math" w:hAnsi="Cambria Math"/>
                      <w:i/>
                    </w:rPr>
                  </m:ctrlPr>
                </m:accPr>
                <m:e>
                  <m:r>
                    <m:rPr/>
                    <w:rPr>
                      <w:rFonts w:ascii="Cambria Math" w:hAnsi="Cambria Math"/>
                    </w:rPr>
                    <m:t>θ</m:t>
                  </m:r>
                  <m:ctrlPr>
                    <w:rPr>
                      <w:rFonts w:ascii="Cambria Math" w:hAnsi="Cambria Math"/>
                      <w:i/>
                    </w:rPr>
                  </m:ctrlPr>
                </m:e>
              </m:acc>
              <m:ctrlPr>
                <w:rPr>
                  <w:rFonts w:ascii="Cambria Math" w:hAnsi="Cambria Math"/>
                  <w:i/>
                </w:rPr>
              </m:ctrlPr>
            </m:e>
            <m:sub>
              <m:r>
                <m:rPr/>
                <w:rPr>
                  <w:rFonts w:ascii="Cambria Math" w:hAnsi="Cambria Math"/>
                </w:rPr>
                <m:t>ue</m:t>
              </m:r>
              <m:ctrlPr>
                <w:rPr>
                  <w:rFonts w:ascii="Cambria Math" w:hAnsi="Cambria Math"/>
                  <w:i/>
                </w:rPr>
              </m:ctrlPr>
            </m:sub>
            <m:sup>
              <m:r>
                <m:rPr/>
                <w:rPr>
                  <w:rFonts w:ascii="Cambria Math" w:hAnsi="Cambria Math"/>
                </w:rPr>
                <m:t>diff</m:t>
              </m:r>
              <m:ctrlPr>
                <w:rPr>
                  <w:rFonts w:ascii="Cambria Math" w:hAnsi="Cambria Math"/>
                  <w:i/>
                </w:rPr>
              </m:ctrlPr>
            </m:sup>
          </m:sSubSup>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1u</m:t>
                  </m:r>
                  <m:ctrlPr>
                    <w:rPr>
                      <w:rFonts w:ascii="Cambria Math" w:hAnsi="Cambria Math"/>
                      <w:i/>
                    </w:rPr>
                  </m:ctrlPr>
                </m:sub>
              </m:sSub>
              <m:ctrlPr>
                <w:rPr>
                  <w:rFonts w:ascii="Cambria Math" w:hAnsi="Cambria Math"/>
                  <w:i/>
                </w:rPr>
              </m:ctrlPr>
            </m:e>
          </m:d>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2u</m:t>
                  </m:r>
                  <m:ctrlPr>
                    <w:rPr>
                      <w:rFonts w:ascii="Cambria Math" w:hAnsi="Cambria Math"/>
                      <w:i/>
                    </w:rPr>
                  </m:ctrlPr>
                </m:sub>
              </m:sSub>
              <m:ctrlPr>
                <w:rPr>
                  <w:rFonts w:ascii="Cambria Math" w:hAnsi="Cambria Math"/>
                  <w:i/>
                </w:rPr>
              </m:ctrlPr>
            </m:e>
          </m:d>
          <m:r>
            <m:rPr/>
            <w:rPr>
              <w:rFonts w:ascii="Cambria Math" w:hAnsi="Cambria Math"/>
            </w:rPr>
            <m:t>+</m:t>
          </m:r>
          <m:sSubSup>
            <m:sSubSupPr>
              <m:ctrlPr>
                <w:rPr>
                  <w:rFonts w:ascii="Cambria Math" w:hAnsi="Cambria Math"/>
                  <w:i/>
                </w:rPr>
              </m:ctrlPr>
            </m:sSubSupPr>
            <m:e>
              <m:acc>
                <m:accPr>
                  <m:ctrlPr>
                    <w:rPr>
                      <w:rFonts w:ascii="Cambria Math" w:hAnsi="Cambria Math"/>
                      <w:i/>
                    </w:rPr>
                  </m:ctrlPr>
                </m:accPr>
                <m:e>
                  <m:r>
                    <m:rPr/>
                    <w:rPr>
                      <w:rFonts w:ascii="Cambria Math" w:hAnsi="Cambria Math"/>
                    </w:rPr>
                    <m:t>θ</m:t>
                  </m:r>
                  <m:ctrlPr>
                    <w:rPr>
                      <w:rFonts w:ascii="Cambria Math" w:hAnsi="Cambria Math"/>
                      <w:i/>
                    </w:rPr>
                  </m:ctrlPr>
                </m:e>
              </m:acc>
              <m:ctrlPr>
                <w:rPr>
                  <w:rFonts w:ascii="Cambria Math" w:hAnsi="Cambria Math"/>
                  <w:i/>
                </w:rPr>
              </m:ctrlPr>
            </m:e>
            <m:sub>
              <m:r>
                <m:rPr/>
                <w:rPr>
                  <w:rFonts w:ascii="Cambria Math" w:hAnsi="Cambria Math"/>
                </w:rPr>
                <m:t>PRU</m:t>
              </m:r>
              <m:ctrlPr>
                <w:rPr>
                  <w:rFonts w:ascii="Cambria Math" w:hAnsi="Cambria Math"/>
                  <w:i/>
                </w:rPr>
              </m:ctrlPr>
            </m:sub>
            <m:sup>
              <m:r>
                <m:rPr/>
                <w:rPr>
                  <w:rFonts w:ascii="Cambria Math" w:hAnsi="Cambria Math"/>
                </w:rPr>
                <m:t>diff</m:t>
              </m:r>
              <m:ctrlPr>
                <w:rPr>
                  <w:rFonts w:ascii="Cambria Math" w:hAnsi="Cambria Math"/>
                  <w:i/>
                </w:rPr>
              </m:ctrlPr>
            </m:sup>
          </m:sSubSup>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1,PRU</m:t>
                  </m:r>
                  <m:ctrlPr>
                    <w:rPr>
                      <w:rFonts w:ascii="Cambria Math" w:hAnsi="Cambria Math"/>
                      <w:i/>
                    </w:rPr>
                  </m:ctrlPr>
                </m:sub>
              </m:sSub>
              <m:ctrlPr>
                <w:rPr>
                  <w:rFonts w:ascii="Cambria Math" w:hAnsi="Cambria Math"/>
                  <w:i/>
                </w:rPr>
              </m:ctrlPr>
            </m:e>
          </m:d>
          <m:r>
            <m:rPr/>
            <w:rPr>
              <w:rFonts w:ascii="Cambria Math" w:hAnsi="Cambria Math"/>
            </w:rPr>
            <m:t>+θ</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2,PRU</m:t>
                  </m:r>
                  <m:ctrlPr>
                    <w:rPr>
                      <w:rFonts w:ascii="Cambria Math" w:hAnsi="Cambria Math"/>
                      <w:i/>
                    </w:rPr>
                  </m:ctrlPr>
                </m:sub>
              </m:sSub>
              <m:ctrlPr>
                <w:rPr>
                  <w:rFonts w:ascii="Cambria Math" w:hAnsi="Cambria Math"/>
                  <w:i/>
                </w:rPr>
              </m:ctrlPr>
            </m:e>
          </m:d>
        </m:oMath>
      </m:oMathPara>
    </w:p>
    <w:p w14:paraId="1B6DB1B9">
      <w:r>
        <w:t xml:space="preserve">In the above, it is assumed that </w:t>
      </w:r>
      <m:oMath>
        <m:sSubSup>
          <m:sSubSupPr>
            <m:ctrlPr>
              <w:rPr>
                <w:rFonts w:ascii="Cambria Math" w:hAnsi="Cambria Math"/>
              </w:rPr>
            </m:ctrlPr>
          </m:sSubSupPr>
          <m:e>
            <m:r>
              <m:rPr>
                <m:sty m:val="p"/>
              </m:rPr>
              <w:rPr>
                <w:rFonts w:ascii="Cambria Math" w:hAnsi="Cambria Math"/>
              </w:rPr>
              <m:t>Δ</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PRU</m:t>
            </m:r>
            <m:ctrlPr>
              <w:rPr>
                <w:rFonts w:ascii="Cambria Math" w:hAnsi="Cambria Math"/>
              </w:rPr>
            </m:ctrlPr>
          </m:sup>
        </m:sSubSup>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TRP1</m:t>
                </m:r>
                <m:ctrlPr>
                  <w:rPr>
                    <w:rFonts w:ascii="Cambria Math" w:hAnsi="Cambria Math"/>
                    <w:i/>
                  </w:rPr>
                </m:ctrlPr>
              </m:sub>
            </m:sSub>
            <m:ctrlPr>
              <w:rPr>
                <w:rFonts w:ascii="Cambria Math" w:hAnsi="Cambria Math"/>
                <w:i/>
              </w:rPr>
            </m:ctrlPr>
          </m:e>
        </m:d>
        <m:r>
          <m:rPr/>
          <w:rPr>
            <w:rFonts w:ascii="Cambria Math" w:hAnsi="Cambria Math"/>
          </w:rPr>
          <m:t xml:space="preserve">− </m:t>
        </m:r>
        <m:sSubSup>
          <m:sSubSupPr>
            <m:ctrlPr>
              <w:rPr>
                <w:rFonts w:ascii="Cambria Math" w:hAnsi="Cambria Math"/>
              </w:rPr>
            </m:ctrlPr>
          </m:sSubSupPr>
          <m:e>
            <m:r>
              <m:rPr>
                <m:sty m:val="p"/>
              </m:rPr>
              <w:rPr>
                <w:rFonts w:ascii="Cambria Math" w:hAnsi="Cambria Math"/>
              </w:rPr>
              <m:t>Δ</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PRU</m:t>
            </m:r>
            <m:ctrlPr>
              <w:rPr>
                <w:rFonts w:ascii="Cambria Math" w:hAnsi="Cambria Math"/>
              </w:rPr>
            </m:ctrlPr>
          </m:sup>
        </m:sSubSup>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TRP2</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1</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TRP1</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2</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TRP2</m:t>
                </m:r>
                <m:ctrlPr>
                  <w:rPr>
                    <w:rFonts w:ascii="Cambria Math" w:hAnsi="Cambria Math"/>
                    <w:i/>
                  </w:rPr>
                </m:ctrlPr>
              </m:sub>
            </m:sSub>
            <m:ctrlPr>
              <w:rPr>
                <w:rFonts w:ascii="Cambria Math" w:hAnsi="Cambria Math"/>
                <w:i/>
              </w:rPr>
            </m:ctrlPr>
          </m:e>
        </m:d>
      </m:oMath>
      <w:r>
        <w:t xml:space="preserve">. If the PRU and the UE are collocated well enough, and the measurements are taken very close in time, the PRU-estimate of the differential phase error between TRPs corresponds to the TRP phase error experienced by the UE. for this reason, release 18 specified a measurement time window for RSCP/RSCPD measurements. Hence, if the Rel-18 measurement is used for measurement input, PRUs need to assist the measuring UE during inference, since the phase errors from TRPs are time-dependent. </w:t>
      </w:r>
    </w:p>
    <w:p w14:paraId="5A47D51B">
      <w:pPr>
        <w:pStyle w:val="97"/>
      </w:pPr>
      <w:bookmarkStart w:id="1488" w:name="_Toc189845070"/>
      <w:r>
        <w:t>For the RSCPD measurement PRU assisted phase error compensation requires PRUs to be used during training and inference, further increasing the deployment cost and signaling overhead.</w:t>
      </w:r>
      <w:bookmarkEnd w:id="1488"/>
      <w:r>
        <w:t xml:space="preserve"> </w:t>
      </w:r>
    </w:p>
    <w:p w14:paraId="10C750EA"/>
    <w:p w14:paraId="4977EE42">
      <w:r>
        <w:t xml:space="preserve">During RAN1#116, it was also discussed to use inter-path phase information to resolve the issue of random phase at transmitter and receiver, see also analysis in section </w:t>
      </w:r>
      <w:r>
        <w:fldChar w:fldCharType="begin"/>
      </w:r>
      <w:r>
        <w:instrText xml:space="preserve"> REF _Ref163131777 \r </w:instrText>
      </w:r>
      <w:r>
        <w:fldChar w:fldCharType="separate"/>
      </w:r>
      <w:r>
        <w:t>3.2.2</w:t>
      </w:r>
      <w:r>
        <w:fldChar w:fldCharType="end"/>
      </w:r>
      <w:r>
        <w:t xml:space="preserve">. Inter-path phase information will indeed remove the random phase error caused by the transmitter and receiver oscillators. What remains is the inter-path phase difference caused by the TRP’s and the UEs antenna patterns.  Phase errors due to the TRP antenna will be the same during training and inference and thus can be resolved, but the UE antenna pattern will be difficult to keep consistent between inference and training, since the UE’s antenna pattern as well as its relative orientation toward the TRP may be different between training and inference. One other alternative would be to </w:t>
      </w:r>
      <w:r>
        <w:rPr>
          <w:i/>
        </w:rPr>
        <w:t>remove the phase difference between path caused by the antenna</w:t>
      </w:r>
      <w:r>
        <w:t xml:space="preserve">, which means the UE phase error caused by the Rx (Tx) antenna must be known to the model, for each direction of arrival (departure). </w:t>
      </w:r>
    </w:p>
    <w:p w14:paraId="18FC3E3C">
      <w:pPr>
        <w:pStyle w:val="97"/>
      </w:pPr>
      <w:bookmarkStart w:id="1489" w:name="_Toc189845071"/>
      <w:r>
        <w:t>For inter-path phase measurements, the model input at training and inference must know the UE TX or RX antenna phase contribution, either by reporting the antenna phase contribution to the model, removing it, or assuming the same antenna pattern is used during inference and training.</w:t>
      </w:r>
      <w:bookmarkEnd w:id="1489"/>
      <w:r>
        <w:t xml:space="preserve"> </w:t>
      </w:r>
    </w:p>
    <w:p w14:paraId="444507C6">
      <w:pPr>
        <w:pStyle w:val="97"/>
      </w:pPr>
      <w:bookmarkStart w:id="1490" w:name="_Toc189845072"/>
      <w:r>
        <w:t>It is unclear how a mobile UE would know the direction of departure / arrival and associated phase offset for each path toward a given TRP.</w:t>
      </w:r>
      <w:bookmarkEnd w:id="1490"/>
    </w:p>
    <w:p w14:paraId="4F8C5174">
      <w:pPr>
        <w:pStyle w:val="4"/>
        <w:rPr>
          <w:lang w:val="en-US"/>
        </w:rPr>
      </w:pPr>
      <w:bookmarkStart w:id="1491" w:name="_Toc189845019"/>
      <w:bookmarkStart w:id="1492" w:name="_Toc165990990"/>
      <w:r>
        <w:rPr>
          <w:lang w:val="en-US"/>
        </w:rPr>
        <w:t>Signaling size vs positioning accuracy tradeoff analysis</w:t>
      </w:r>
      <w:bookmarkEnd w:id="1491"/>
      <w:bookmarkEnd w:id="1492"/>
    </w:p>
    <w:p w14:paraId="551DBF62">
      <w:r>
        <w:t>The complex-valued multi-port CIR samples have been found in the Rel-18 SI to achieve high positioning accuracy. However, these CIR samples require significantly larger signaling sizes than the total-power PDP. To reduce signaling sizes, many different down-sampling techniques such as truncation and sub-sampling have been investigated during the SI phase. It is therefore necessary to investigate the trade-off between signaling size requirements and achievable positioning accuracy of various combinations of sample lengths, sub-sample sizes and with CIR or PDP.</w:t>
      </w:r>
    </w:p>
    <w:p w14:paraId="7143F02F"/>
    <w:p w14:paraId="56623641">
      <w:r>
        <w:t>In the following, we present two signaling size vs positioning accuracy trade-off comparison.</w:t>
      </w:r>
    </w:p>
    <w:p w14:paraId="10C84D22">
      <w:pPr>
        <w:pStyle w:val="133"/>
        <w:numPr>
          <w:ilvl w:val="0"/>
          <w:numId w:val="31"/>
        </w:numPr>
      </w:pPr>
      <w:r>
        <w:t xml:space="preserve">In Section </w:t>
      </w:r>
      <w:r>
        <w:fldChar w:fldCharType="begin"/>
      </w:r>
      <w:r>
        <w:instrText xml:space="preserve"> REF _Ref163133118 \r </w:instrText>
      </w:r>
      <w:r>
        <w:fldChar w:fldCharType="separate"/>
      </w:r>
      <w:r>
        <w:t>3.2.4.1</w:t>
      </w:r>
      <w:r>
        <w:fldChar w:fldCharType="end"/>
      </w:r>
      <w:r>
        <w:t>, we use the number of real numbers to be signaled as a proxy of the signaling size.</w:t>
      </w:r>
    </w:p>
    <w:p w14:paraId="6F43CBF1">
      <w:pPr>
        <w:pStyle w:val="133"/>
        <w:numPr>
          <w:ilvl w:val="0"/>
          <w:numId w:val="31"/>
        </w:numPr>
      </w:pPr>
      <w:r>
        <w:t xml:space="preserve">In Section </w:t>
      </w:r>
      <w:r>
        <w:fldChar w:fldCharType="begin"/>
      </w:r>
      <w:r>
        <w:instrText xml:space="preserve"> REF _Ref163048709 \r </w:instrText>
      </w:r>
      <w:r>
        <w:fldChar w:fldCharType="separate"/>
      </w:r>
      <w:r>
        <w:t>3.2.4.2</w:t>
      </w:r>
      <w:r>
        <w:fldChar w:fldCharType="end"/>
      </w:r>
      <w:r>
        <w:t>, we construct a more detailed signaling size estimation based on specific feedback formats.</w:t>
      </w:r>
    </w:p>
    <w:p w14:paraId="16F3DE68">
      <w:r>
        <w:t>From both signaling sizes vs positioning accuracy trade-off analysis exercises, we arrive at the following observation.</w:t>
      </w:r>
    </w:p>
    <w:p w14:paraId="24A7E704"/>
    <w:p w14:paraId="585656E0">
      <w:pPr>
        <w:pStyle w:val="97"/>
      </w:pPr>
      <w:bookmarkStart w:id="1493" w:name="_Toc189845073"/>
      <w:r>
        <w:t>For small or moderate signaling sizes, PDP and DP samples can achieve better positioning accuracy than CIR samples at the same or smaller signaling size. Multi-port CIR samples can achieve higher positioning accuracy only with very large signaling requirements.</w:t>
      </w:r>
      <w:bookmarkEnd w:id="1493"/>
    </w:p>
    <w:p w14:paraId="034FA1BA">
      <w:pPr>
        <w:pStyle w:val="97"/>
      </w:pPr>
      <w:bookmarkStart w:id="1494" w:name="_Toc189845074"/>
      <w:r>
        <w:t>For small or moderate signaling sizes, PDP and DP samples can achieve better positioning accuracy than CIR samples at the same or smaller signaling size as well as with substantially lower AI/ML model complexity.</w:t>
      </w:r>
      <w:bookmarkEnd w:id="1494"/>
    </w:p>
    <w:p w14:paraId="20FC0196">
      <w:pPr>
        <w:pStyle w:val="97"/>
      </w:pPr>
      <w:bookmarkStart w:id="1495" w:name="_Toc189845075"/>
      <w:r>
        <w:t>For most given 90%tile 2D UE positioning error requirements, the DP samples requires the smallest signaling sizes.</w:t>
      </w:r>
      <w:bookmarkEnd w:id="1495"/>
    </w:p>
    <w:p w14:paraId="7ED5A6FD"/>
    <w:p w14:paraId="65744466">
      <w:r>
        <w:t>Furthermore, the assumption of two receive antenna ports for the UE was a simplifying assumption made for Rel-17 Positioning WI. For the Rel-19 AI for PHY, it may be necessary to consider four receive antenna ports for the typical NR UEs. This would double the required numbers of real values to represent the multi-port CIR again for Case 2b (2nd priority).</w:t>
      </w:r>
    </w:p>
    <w:p w14:paraId="3870ED13">
      <w:r>
        <w:t>For Case 3b (1st priority), a typical gNB/TRP may be equipped with dozens of receive antenna ports. Forwarding such large multi-port CIR samples to LMF will have significantly negative impact on radio and core networks.</w:t>
      </w:r>
    </w:p>
    <w:p w14:paraId="5F43BA95"/>
    <w:p w14:paraId="4459C750">
      <w:pPr>
        <w:pStyle w:val="97"/>
      </w:pPr>
      <w:bookmarkStart w:id="1496" w:name="_Toc189845076"/>
      <w:r>
        <w:t>Multi-port complex-valued CIR samples for both Case 3b (1st priority) and Case 2b (2nd priority) require very large signaling sizes, which can cause significantly negative impacts on the radio and core networks.</w:t>
      </w:r>
      <w:bookmarkEnd w:id="1496"/>
      <w:r>
        <w:t xml:space="preserve"> </w:t>
      </w:r>
    </w:p>
    <w:p w14:paraId="66866F50">
      <w:r>
        <w:t>Based on the extensive evaluation and analysis presented in this section, we propose</w:t>
      </w:r>
    </w:p>
    <w:p w14:paraId="37226A6E">
      <w:pPr>
        <w:pStyle w:val="73"/>
      </w:pPr>
      <w:bookmarkStart w:id="1497" w:name="_Toc189845116"/>
      <w:r>
        <w:t>RAN1 to down-prioritize the signaling approach(es) and/or measurement definitions to support CIR model input types for Case 3b (1</w:t>
      </w:r>
      <w:r>
        <w:rPr>
          <w:vertAlign w:val="superscript"/>
        </w:rPr>
        <w:t>st</w:t>
      </w:r>
      <w:r>
        <w:t xml:space="preserve"> priority) and Case 2b (2</w:t>
      </w:r>
      <w:r>
        <w:rPr>
          <w:vertAlign w:val="superscript"/>
        </w:rPr>
        <w:t>nd</w:t>
      </w:r>
      <w:r>
        <w:t xml:space="preserve"> priority).</w:t>
      </w:r>
      <w:bookmarkEnd w:id="1497"/>
    </w:p>
    <w:p w14:paraId="3E59D69A">
      <w:pPr>
        <w:pStyle w:val="5"/>
        <w:rPr>
          <w:lang w:val="en-US"/>
        </w:rPr>
      </w:pPr>
      <w:bookmarkStart w:id="1498" w:name="_Ref163133118"/>
      <w:bookmarkStart w:id="1499" w:name="_Toc165990991"/>
      <w:bookmarkStart w:id="1500" w:name="_Toc189845020"/>
      <w:r>
        <w:rPr>
          <w:lang w:val="en-US"/>
        </w:rPr>
        <w:t>Simple signaling size comparison based on the number of real numbers to signal</w:t>
      </w:r>
      <w:bookmarkEnd w:id="1498"/>
      <w:bookmarkEnd w:id="1499"/>
      <w:bookmarkEnd w:id="1500"/>
    </w:p>
    <w:p w14:paraId="178AA737">
      <w:r>
        <w:t>In this section, we make a first quick comparison of feedback sizes and achievable positioning accuracy based on the number of real numbers needed in the signaling. An NR radio node is normally equipped with multiple RX antenna ports. AI/ML models with multi-port CIR inputs have been evaluated by several companies during the SI phase. As shown below, multi-port CIR can enable AI/ML models to achieve high positioning accuracy but will also require large signaling overhead. In the following, we investigate whether this accuracy vs overhead tradeoff can be improved by reducing the dimensions of the multi-port CIR inputs.</w:t>
      </w:r>
    </w:p>
    <w:p w14:paraId="3D3DB795">
      <w:r>
        <w:t>We consider two dimension-reduction approaches to reduce multi-port CIR inputs to a single vector:</w:t>
      </w:r>
    </w:p>
    <w:p w14:paraId="03B8975D">
      <w:pPr>
        <w:pStyle w:val="133"/>
        <w:numPr>
          <w:ilvl w:val="0"/>
          <w:numId w:val="32"/>
        </w:numPr>
      </w:pPr>
      <w:r>
        <w:t>Strongest port CIR</w:t>
      </w:r>
    </w:p>
    <w:p w14:paraId="5B938228">
      <w:pPr>
        <w:ind w:left="720"/>
      </w:pPr>
      <w:r>
        <w:t>The measuring radio node computes the RSRP of each RX antenna ports and signals CIR samples only for the port with the strongest received power.</w:t>
      </w:r>
    </w:p>
    <w:p w14:paraId="44F51B49">
      <w:pPr>
        <w:pStyle w:val="133"/>
        <w:numPr>
          <w:ilvl w:val="0"/>
          <w:numId w:val="32"/>
        </w:numPr>
      </w:pPr>
      <w:r>
        <w:t>First principal component (1</w:t>
      </w:r>
      <w:r>
        <w:rPr>
          <w:vertAlign w:val="superscript"/>
        </w:rPr>
        <w:t>st</w:t>
      </w:r>
      <w:r>
        <w:t xml:space="preserve"> PC) CIR</w:t>
      </w:r>
    </w:p>
    <w:p w14:paraId="0A24A8CC">
      <w:pPr>
        <w:ind w:left="720"/>
      </w:pPr>
      <w:r>
        <w:t xml:space="preserve">Let the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×A</m:t>
        </m:r>
      </m:oMath>
      <w:r>
        <w:t xml:space="preserve"> matrix </w:t>
      </w:r>
      <m:oMath>
        <m:r>
          <m:rPr>
            <m:sty m:val="b"/>
          </m:rPr>
          <w:rPr>
            <w:rFonts w:ascii="Cambria Math" w:hAnsi="Cambria Math"/>
          </w:rPr>
          <m:t>H</m:t>
        </m:r>
      </m:oMath>
      <w:r>
        <w:t xml:space="preserve"> collects the TD CIR samples from all antenna ports. The first principal component is given by </w:t>
      </w:r>
      <m:oMath>
        <m:r>
          <m:rPr>
            <m:sty m:val="b"/>
          </m:rPr>
          <w:rPr>
            <w:rFonts w:ascii="Cambria Math" w:hAnsi="Cambria Math"/>
          </w:rPr>
          <m:t>Hv</m:t>
        </m:r>
      </m:oMath>
      <w:r>
        <w:t>, where the length-</w:t>
      </w:r>
      <m:oMath>
        <m:r>
          <m:rPr/>
          <w:rPr>
            <w:rFonts w:ascii="Cambria Math" w:hAnsi="Cambria Math"/>
          </w:rPr>
          <m:t>A</m:t>
        </m:r>
      </m:oMath>
      <w:r>
        <w:t xml:space="preserve"> vector </w:t>
      </w:r>
      <m:oMath>
        <m:r>
          <m:rPr>
            <m:sty m:val="b"/>
          </m:rPr>
          <w:rPr>
            <w:rFonts w:ascii="Cambria Math" w:hAnsi="Cambria Math"/>
          </w:rPr>
          <m:t>v</m:t>
        </m:r>
      </m:oMath>
      <w:r>
        <w:t xml:space="preserve"> is the eigenvector corresponding to the largest eigenvalue of </w:t>
      </w:r>
      <m:oMath>
        <m:sSup>
          <m:sSupPr>
            <m:ctrlPr>
              <w:rPr>
                <w:rFonts w:ascii="Cambria Math" w:hAnsi="Cambria Math"/>
                <w:i/>
              </w:rPr>
            </m:ctrlPr>
          </m:sSupPr>
          <m:e>
            <m:r>
              <m:rPr>
                <m:sty m:val="b"/>
              </m:rPr>
              <w:rPr>
                <w:rFonts w:ascii="Cambria Math" w:hAnsi="Cambria Math"/>
              </w:rPr>
              <m:t>H</m:t>
            </m:r>
            <m:ctrlPr>
              <w:rPr>
                <w:rFonts w:ascii="Cambria Math" w:hAnsi="Cambria Math"/>
                <w:i/>
              </w:rPr>
            </m:ctrlPr>
          </m:e>
          <m:sup>
            <m:r>
              <m:rPr/>
              <w:rPr>
                <w:rFonts w:ascii="Cambria Math" w:hAnsi="Cambria Math"/>
              </w:rPr>
              <m:t>H</m:t>
            </m:r>
            <m:ctrlPr>
              <w:rPr>
                <w:rFonts w:ascii="Cambria Math" w:hAnsi="Cambria Math"/>
                <w:i/>
              </w:rPr>
            </m:ctrlPr>
          </m:sup>
        </m:sSup>
        <m:r>
          <m:rPr>
            <m:sty m:val="b"/>
          </m:rPr>
          <w:rPr>
            <w:rFonts w:ascii="Cambria Math" w:hAnsi="Cambria Math"/>
          </w:rPr>
          <m:t>H</m:t>
        </m:r>
      </m:oMath>
      <w:r>
        <w:t xml:space="preserve">. </w:t>
      </w:r>
    </w:p>
    <w:p w14:paraId="3B6C5574">
      <w:r>
        <w:t>Our positioning accuracy evaluation results for 2-port CIR, strongest port CIR, 1</w:t>
      </w:r>
      <w:r>
        <w:rPr>
          <w:vertAlign w:val="superscript"/>
        </w:rPr>
        <w:t>st</w:t>
      </w:r>
      <w:r>
        <w:t xml:space="preserve"> PC CIR and PDP inputs are shown in </w:t>
      </w:r>
      <w:r>
        <w:fldChar w:fldCharType="begin"/>
      </w:r>
      <w:r>
        <w:instrText xml:space="preserve"> REF _Ref163133242 </w:instrText>
      </w:r>
      <w:r>
        <w:fldChar w:fldCharType="separate"/>
      </w:r>
      <w:r>
        <w:t>Table 4</w:t>
      </w:r>
      <w:r>
        <w:fldChar w:fldCharType="end"/>
      </w:r>
      <w:r>
        <w:t xml:space="preserve">. In this comparison, we classify different combinations of sample lengths, sub-sample sizes and with CIR or PDP based on the number of real numbers to represent the samples. Similarly, in </w:t>
      </w:r>
      <w:r>
        <w:fldChar w:fldCharType="begin"/>
      </w:r>
      <w:r>
        <w:instrText xml:space="preserve"> REF _Ref163133373 </w:instrText>
      </w:r>
      <w:r>
        <w:fldChar w:fldCharType="separate"/>
      </w:r>
      <w:r>
        <w:t>Table 5</w:t>
      </w:r>
      <w:r>
        <w:fldChar w:fldCharType="end"/>
      </w:r>
      <w:r>
        <w:t xml:space="preserve">, we compare the positioning accuracy vs signaling sizes with dynamic TRP selection for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trp</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oMath>
      <w:r>
        <w:t xml:space="preserve"> 18, 9, 6 or 3. The total number of real numbers to signal is given by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trp</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w:r>
        <w:t xml:space="preserve"> for PDP and </w:t>
      </w:r>
      <m:oMath>
        <m:r>
          <m:rPr/>
          <w:rPr>
            <w:rFonts w:ascii="Cambria Math" w:hAnsi="Cambria Math"/>
          </w:rPr>
          <m:t>4×</m:t>
        </m:r>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trp</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w:r>
        <w:t xml:space="preserve"> for 2-port CIR.</w:t>
      </w:r>
    </w:p>
    <w:p w14:paraId="46171796">
      <w:pPr>
        <w:pStyle w:val="133"/>
        <w:numPr>
          <w:ilvl w:val="0"/>
          <w:numId w:val="33"/>
        </w:numPr>
      </w:pPr>
      <w:r>
        <w:t xml:space="preserve">For instance, a length </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=128</m:t>
        </m:r>
      </m:oMath>
      <w:r>
        <w:t xml:space="preserve"> 2-port CIR with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=32</m:t>
        </m:r>
      </m:oMath>
      <w:r>
        <w:t xml:space="preserve"> sub-samples require 128 real numbers per reported TRP to represent the complex-valued CIR samples. </w:t>
      </w:r>
    </w:p>
    <w:p w14:paraId="7EF0A42A">
      <w:pPr>
        <w:pStyle w:val="133"/>
        <w:numPr>
          <w:ilvl w:val="0"/>
          <w:numId w:val="33"/>
        </w:numPr>
      </w:pPr>
      <w:r>
        <w:t>For the same number of real numbers in signaling, the strongest port CIR or the 1</w:t>
      </w:r>
      <w:r>
        <w:rPr>
          <w:vertAlign w:val="superscript"/>
        </w:rPr>
        <w:t>st</w:t>
      </w:r>
      <w:r>
        <w:t xml:space="preserve"> PC CIR samples can be of length </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=256</m:t>
        </m:r>
      </m:oMath>
      <w:r>
        <w:t xml:space="preserve"> with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=64</m:t>
        </m:r>
      </m:oMath>
      <w:r>
        <w:t xml:space="preserve"> sub-samples per reported TRP.</w:t>
      </w:r>
    </w:p>
    <w:p w14:paraId="70D6D4D1">
      <w:pPr>
        <w:pStyle w:val="133"/>
        <w:numPr>
          <w:ilvl w:val="0"/>
          <w:numId w:val="33"/>
        </w:numPr>
      </w:pPr>
      <w:r>
        <w:t xml:space="preserve">For the same number of real numbers in signaling, the PDP samples can be of length </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=256</m:t>
        </m:r>
      </m:oMath>
      <w:r>
        <w:t xml:space="preserve"> with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=128</m:t>
        </m:r>
      </m:oMath>
      <w:r>
        <w:t xml:space="preserve"> sub-samples per reported TRP. </w:t>
      </w:r>
    </w:p>
    <w:p w14:paraId="7CAF55FA">
      <w:r>
        <w:t>It is then a fair comparison to check which approach achieves better performance when they require the same number of real values to represent the samples. From the table, we make the following observations:</w:t>
      </w:r>
    </w:p>
    <w:p w14:paraId="6D8241FE">
      <w:pPr>
        <w:pStyle w:val="133"/>
        <w:numPr>
          <w:ilvl w:val="0"/>
          <w:numId w:val="34"/>
        </w:numPr>
      </w:pPr>
      <w:r>
        <w:t>For small or moderate signaling sizes, PDP samples can achieve better positioning accuracy than 2-port CIR samples at the same or smaller signaling sizes. Using PDP samples, a 90%tile 2D positioning error of 0.52 m can be achieved.</w:t>
      </w:r>
    </w:p>
    <w:p w14:paraId="392A95F3">
      <w:pPr>
        <w:pStyle w:val="133"/>
        <w:numPr>
          <w:ilvl w:val="0"/>
          <w:numId w:val="34"/>
        </w:numPr>
      </w:pPr>
      <w:r>
        <w:t>The higher positioning accuracy achieved by 2-port CIR is only possible with very large signaling sizes.</w:t>
      </w:r>
    </w:p>
    <w:p w14:paraId="31C75BAD">
      <w:pPr>
        <w:pStyle w:val="133"/>
        <w:numPr>
          <w:ilvl w:val="0"/>
          <w:numId w:val="34"/>
        </w:numPr>
      </w:pPr>
      <w:r>
        <w:t xml:space="preserve">While dimension reduction techniques reduce the signal sizes of CIR samples when compared to using the multi-port CIR directly, the achievable positioning accuracy is also compromised. Overall, applying dimension reduction to reduce the signaling sizes of the multi-port CIR samples does not appear to improve its accuracy vs overhead tradeoff. </w:t>
      </w:r>
    </w:p>
    <w:p w14:paraId="4814D1DD">
      <w:pPr>
        <w:pStyle w:val="133"/>
        <w:numPr>
          <w:ilvl w:val="1"/>
          <w:numId w:val="34"/>
        </w:numPr>
      </w:pPr>
      <w:r>
        <w:t>The first principal component approach enables marginally better AI/ML model positioning accuracy than the strongest port selection approach.</w:t>
      </w:r>
    </w:p>
    <w:p w14:paraId="61C3F934">
      <w:r>
        <w:t>From a model input design point of view, one can conclude from these evaluation results that</w:t>
      </w:r>
    </w:p>
    <w:p w14:paraId="363C2BA3">
      <w:pPr>
        <w:pStyle w:val="133"/>
        <w:numPr>
          <w:ilvl w:val="0"/>
          <w:numId w:val="35"/>
        </w:numPr>
      </w:pPr>
      <w:r>
        <w:t>With small to moderate number of samples available to an ML model, the total-power PDP input type is a very helpful induction bias to impose on the ML model based on human domain knowledge that the sample powers contain more important information about the UE positions.</w:t>
      </w:r>
    </w:p>
    <w:p w14:paraId="3D62EDB2">
      <w:pPr>
        <w:pStyle w:val="133"/>
        <w:numPr>
          <w:ilvl w:val="1"/>
          <w:numId w:val="35"/>
        </w:numPr>
      </w:pPr>
      <w:r>
        <w:t xml:space="preserve">Using the real-valued PDP inputs also reduces the AI/ML model complexity substantially as shown in </w:t>
      </w:r>
      <w:r>
        <w:fldChar w:fldCharType="begin"/>
      </w:r>
      <w:r>
        <w:instrText xml:space="preserve"> REF _Ref163134465 </w:instrText>
      </w:r>
      <w:r>
        <w:fldChar w:fldCharType="separate"/>
      </w:r>
      <w:r>
        <w:t>Table 6</w:t>
      </w:r>
      <w:r>
        <w:fldChar w:fldCharType="end"/>
      </w:r>
      <w:r>
        <w:t>.</w:t>
      </w:r>
    </w:p>
    <w:p w14:paraId="1745AB92">
      <w:pPr>
        <w:pStyle w:val="133"/>
        <w:numPr>
          <w:ilvl w:val="0"/>
          <w:numId w:val="35"/>
        </w:numPr>
      </w:pPr>
      <w:r>
        <w:t>Only with very large number of samples available to the ML model, the model can start to tease out how to use the additional information in the sample phases on its own.</w:t>
      </w:r>
    </w:p>
    <w:p w14:paraId="66D3B4B6"/>
    <w:p w14:paraId="62C89E8E">
      <w:pPr>
        <w:pStyle w:val="97"/>
      </w:pPr>
      <w:bookmarkStart w:id="1501" w:name="_Toc189845077"/>
      <w:r>
        <w:t>With small to moderate number of samples available to an ML model, the total-power PDP input type is a very helpful induction bias to impose on the ML model based on human domain knowledge that the sample powers contain more important information about the UE positions. It’s only with very large number of samples that the model can start to tease out how to use the additional information in the sample phases on its own.</w:t>
      </w:r>
      <w:bookmarkEnd w:id="1501"/>
    </w:p>
    <w:p w14:paraId="457791C4">
      <w:pPr>
        <w:pStyle w:val="97"/>
      </w:pPr>
      <w:bookmarkStart w:id="1502" w:name="_Toc189845078"/>
      <w:r>
        <w:t>Dimension reduction techniques can be used to reduce the signal sizes of multi-port CIR samples. But the achievable positioning accuracy is also compromised. The overall accuracy vs overhead tradeoff situation of CIR samples is not improved by the two considered dimension reduction techniques.</w:t>
      </w:r>
      <w:bookmarkEnd w:id="1502"/>
    </w:p>
    <w:p w14:paraId="171FE06D"/>
    <w:p w14:paraId="3CF16F5E">
      <w:pPr>
        <w:pStyle w:val="29"/>
      </w:pPr>
      <w:bookmarkStart w:id="1503" w:name="_Ref163133242"/>
      <w:r>
        <w:t xml:space="preserve">Table </w:t>
      </w:r>
      <w:r>
        <w:fldChar w:fldCharType="begin"/>
      </w:r>
      <w:r>
        <w:instrText xml:space="preserve"> SEQ Table \* ARABIC </w:instrText>
      </w:r>
      <w:r>
        <w:fldChar w:fldCharType="separate"/>
      </w:r>
      <w:r>
        <w:t>4</w:t>
      </w:r>
      <w:r>
        <w:fldChar w:fldCharType="end"/>
      </w:r>
      <w:bookmarkEnd w:id="1503"/>
      <w:r>
        <w:t xml:space="preserve"> Comparison of 90%tile 2D UE positioning errors </w:t>
      </w:r>
      <m:oMath>
        <m:sSub>
          <m:sSubPr>
            <m:ctrlPr>
              <w:rPr>
                <w:rFonts w:ascii="Cambria Math" w:hAnsi="Cambria Math" w:eastAsia="Calibri"/>
                <w:i/>
              </w:rPr>
            </m:ctrlPr>
          </m:sSubPr>
          <m:e>
            <m:r>
              <m:rPr>
                <m:sty m:val="b"/>
              </m:rPr>
              <w:rPr>
                <w:rFonts w:ascii="Cambria Math" w:hAnsi="Cambria Math"/>
              </w:rPr>
              <m:t>Δ</m:t>
            </m:r>
            <m:ctrlPr>
              <w:rPr>
                <w:rFonts w:ascii="Cambria Math" w:hAnsi="Cambria Math"/>
              </w:rPr>
            </m:ctrlPr>
          </m:e>
          <m:sub>
            <m:r>
              <m:rPr>
                <m:sty m:val="bi"/>
              </m:rPr>
              <w:rPr>
                <w:rFonts w:ascii="Cambria Math" w:hAnsi="Cambria Math"/>
              </w:rPr>
              <m:t>90%</m:t>
            </m:r>
            <m:ctrlPr>
              <w:rPr>
                <w:rFonts w:ascii="Cambria Math" w:hAnsi="Cambria Math" w:eastAsia="Calibri"/>
                <w:i/>
              </w:rPr>
            </m:ctrlPr>
          </m:sub>
        </m:sSub>
      </m:oMath>
      <w:r>
        <w:t xml:space="preserve"> (in meters) for 2-port CIR, 1-port CIR and PDP using different combination of sample lengths and sub-sampling sizes in the </w:t>
      </w:r>
      <w:r>
        <w:rPr>
          <w:lang w:eastAsia="ja-JP"/>
        </w:rPr>
        <w:t>{60%, 6m, 2m} InF-DH scenario</w:t>
      </w:r>
      <w:r>
        <w:t xml:space="preserve">. The positioning accuracy is for the “small model” for centralized direct positioning trained with 40,000 samples </w:t>
      </w:r>
      <w:r>
        <w:fldChar w:fldCharType="begin"/>
      </w:r>
      <w:r>
        <w:instrText xml:space="preserve"> REF _Ref158730650 \r \h </w:instrText>
      </w:r>
      <w:r>
        <w:fldChar w:fldCharType="separate"/>
      </w:r>
      <w:r>
        <w:t>[6]</w:t>
      </w:r>
      <w:r>
        <w:fldChar w:fldCharType="end"/>
      </w:r>
      <w:r>
        <w:t xml:space="preserve"> and </w:t>
      </w:r>
      <m:oMath>
        <m:sSubSup>
          <m:sSubSupPr>
            <m:ctrlPr>
              <w:rPr>
                <w:rFonts w:ascii="Cambria Math" w:hAnsi="Cambria Math"/>
                <w:i/>
              </w:rPr>
            </m:ctrlPr>
          </m:sSubSupPr>
          <m:e>
            <m:r>
              <m:rPr>
                <m:sty m:val="bi"/>
              </m:rPr>
              <w:rPr>
                <w:rFonts w:ascii="Cambria Math" w:hAnsi="Cambria Math"/>
              </w:rPr>
              <m:t>N</m:t>
            </m:r>
            <m:ctrlPr>
              <w:rPr>
                <w:rFonts w:ascii="Cambria Math" w:hAnsi="Cambria Math"/>
                <w:i/>
              </w:rPr>
            </m:ctrlPr>
          </m:e>
          <m:sub>
            <m:r>
              <m:rPr>
                <m:sty m:val="bi"/>
              </m:rPr>
              <w:rPr>
                <w:rFonts w:ascii="Cambria Math" w:hAnsi="Cambria Math"/>
              </w:rPr>
              <m:t>trp</m:t>
            </m:r>
            <m:ctrlPr>
              <w:rPr>
                <w:rFonts w:ascii="Cambria Math" w:hAnsi="Cambria Math"/>
                <w:i/>
              </w:rPr>
            </m:ctrlPr>
          </m:sub>
          <m:sup>
            <m:r>
              <m:rPr>
                <m:sty m:val="bi"/>
              </m:rPr>
              <w:rPr>
                <w:rFonts w:ascii="Cambria Math" w:hAnsi="Cambria Math"/>
              </w:rPr>
              <m:t>'</m:t>
            </m:r>
            <m:ctrlPr>
              <w:rPr>
                <w:rFonts w:ascii="Cambria Math" w:hAnsi="Cambria Math"/>
                <w:i/>
              </w:rPr>
            </m:ctrlPr>
          </m:sup>
        </m:sSubSup>
        <m:r>
          <m:rPr>
            <m:sty m:val="bi"/>
          </m:rPr>
          <w:rPr>
            <w:rFonts w:ascii="Cambria Math" w:hAnsi="Cambria Math"/>
          </w:rPr>
          <m:t>=</m:t>
        </m:r>
        <m:sSub>
          <m:sSubPr>
            <m:ctrlPr>
              <w:rPr>
                <w:rFonts w:ascii="Cambria Math" w:hAnsi="Cambria Math"/>
                <w:i/>
              </w:rPr>
            </m:ctrlPr>
          </m:sSubPr>
          <m:e>
            <m:r>
              <m:rPr>
                <m:sty m:val="bi"/>
              </m:rPr>
              <w:rPr>
                <w:rFonts w:ascii="Cambria Math" w:hAnsi="Cambria Math"/>
              </w:rPr>
              <m:t>N</m:t>
            </m:r>
            <m:ctrlPr>
              <w:rPr>
                <w:rFonts w:ascii="Cambria Math" w:hAnsi="Cambria Math"/>
                <w:i/>
              </w:rPr>
            </m:ctrlPr>
          </m:e>
          <m:sub>
            <m:r>
              <m:rPr>
                <m:sty m:val="bi"/>
              </m:rPr>
              <w:rPr>
                <w:rFonts w:ascii="Cambria Math" w:hAnsi="Cambria Math"/>
              </w:rPr>
              <m:t>trp</m:t>
            </m:r>
            <m:ctrlPr>
              <w:rPr>
                <w:rFonts w:ascii="Cambria Math" w:hAnsi="Cambria Math"/>
                <w:i/>
              </w:rPr>
            </m:ctrlPr>
          </m:sub>
        </m:sSub>
        <m:r>
          <m:rPr>
            <m:sty m:val="bi"/>
          </m:rPr>
          <w:rPr>
            <w:rFonts w:ascii="Cambria Math" w:hAnsi="Cambria Math"/>
          </w:rPr>
          <m:t>=</m:t>
        </m:r>
      </m:oMath>
      <w:r>
        <w:t xml:space="preserve"> 18.</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
        <w:gridCol w:w="751"/>
        <w:gridCol w:w="752"/>
        <w:gridCol w:w="753"/>
        <w:gridCol w:w="753"/>
        <w:gridCol w:w="753"/>
        <w:gridCol w:w="753"/>
        <w:gridCol w:w="752"/>
        <w:gridCol w:w="753"/>
        <w:gridCol w:w="754"/>
        <w:gridCol w:w="753"/>
        <w:gridCol w:w="753"/>
        <w:gridCol w:w="754"/>
      </w:tblGrid>
      <w:tr w14:paraId="118BA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restart"/>
            <w:tcBorders>
              <w:right w:val="double" w:color="auto" w:sz="4" w:space="0"/>
            </w:tcBorders>
            <w:vAlign w:val="center"/>
          </w:tcPr>
          <w:p w14:paraId="154A44B7">
            <w:pPr>
              <w:spacing w:before="40" w:after="40"/>
              <w:jc w:val="center"/>
              <w:rPr>
                <w:sz w:val="20"/>
                <w:szCs w:val="20"/>
              </w:rPr>
            </w:pPr>
            <w:r>
              <w:rPr>
                <w:sz w:val="20"/>
                <w:szCs w:val="20"/>
              </w:rPr>
              <w:t xml:space="preserve">Number of real values </w:t>
            </w:r>
          </w:p>
        </w:tc>
        <w:tc>
          <w:tcPr>
            <w:tcW w:w="2256" w:type="dxa"/>
            <w:gridSpan w:val="3"/>
            <w:tcBorders>
              <w:left w:val="double" w:color="auto" w:sz="4" w:space="0"/>
              <w:right w:val="double" w:color="auto" w:sz="4" w:space="0"/>
            </w:tcBorders>
            <w:vAlign w:val="center"/>
          </w:tcPr>
          <w:p w14:paraId="5D3AD29B">
            <w:pPr>
              <w:spacing w:before="40" w:after="40"/>
              <w:jc w:val="center"/>
              <w:rPr>
                <w:sz w:val="20"/>
                <w:szCs w:val="20"/>
              </w:rPr>
            </w:pPr>
            <w:r>
              <w:rPr>
                <w:sz w:val="20"/>
                <w:szCs w:val="20"/>
              </w:rPr>
              <w:t>2-port CIR</w:t>
            </w:r>
          </w:p>
        </w:tc>
        <w:tc>
          <w:tcPr>
            <w:tcW w:w="2259" w:type="dxa"/>
            <w:gridSpan w:val="3"/>
            <w:tcBorders>
              <w:left w:val="double" w:color="auto" w:sz="4" w:space="0"/>
              <w:right w:val="double" w:color="auto" w:sz="4" w:space="0"/>
            </w:tcBorders>
            <w:vAlign w:val="center"/>
          </w:tcPr>
          <w:p w14:paraId="34AE7201">
            <w:pPr>
              <w:spacing w:before="40" w:after="40"/>
              <w:jc w:val="center"/>
              <w:rPr>
                <w:sz w:val="20"/>
                <w:szCs w:val="20"/>
              </w:rPr>
            </w:pPr>
            <w:r>
              <w:rPr>
                <w:sz w:val="20"/>
                <w:szCs w:val="20"/>
              </w:rPr>
              <w:t>1</w:t>
            </w:r>
            <w:r>
              <w:rPr>
                <w:sz w:val="20"/>
                <w:szCs w:val="20"/>
                <w:vertAlign w:val="superscript"/>
              </w:rPr>
              <w:t>st</w:t>
            </w:r>
            <w:r>
              <w:rPr>
                <w:sz w:val="20"/>
                <w:szCs w:val="20"/>
              </w:rPr>
              <w:t xml:space="preserve"> PC CIR</w:t>
            </w:r>
          </w:p>
        </w:tc>
        <w:tc>
          <w:tcPr>
            <w:tcW w:w="2259" w:type="dxa"/>
            <w:gridSpan w:val="3"/>
            <w:tcBorders>
              <w:left w:val="double" w:color="auto" w:sz="4" w:space="0"/>
              <w:right w:val="double" w:color="auto" w:sz="4" w:space="0"/>
            </w:tcBorders>
          </w:tcPr>
          <w:p w14:paraId="23586735">
            <w:pPr>
              <w:spacing w:before="40" w:after="40"/>
              <w:jc w:val="center"/>
              <w:rPr>
                <w:sz w:val="20"/>
                <w:szCs w:val="20"/>
              </w:rPr>
            </w:pPr>
            <w:r>
              <w:rPr>
                <w:sz w:val="20"/>
                <w:szCs w:val="20"/>
              </w:rPr>
              <w:t>Strongest port CIR</w:t>
            </w:r>
          </w:p>
        </w:tc>
        <w:tc>
          <w:tcPr>
            <w:tcW w:w="2260" w:type="dxa"/>
            <w:gridSpan w:val="3"/>
            <w:tcBorders>
              <w:left w:val="double" w:color="auto" w:sz="4" w:space="0"/>
            </w:tcBorders>
            <w:vAlign w:val="center"/>
          </w:tcPr>
          <w:p w14:paraId="117C23BD">
            <w:pPr>
              <w:spacing w:before="40" w:after="40"/>
              <w:jc w:val="center"/>
              <w:rPr>
                <w:sz w:val="20"/>
                <w:szCs w:val="20"/>
              </w:rPr>
            </w:pPr>
            <w:r>
              <w:rPr>
                <w:sz w:val="20"/>
                <w:szCs w:val="20"/>
              </w:rPr>
              <w:t>PDP</w:t>
            </w:r>
          </w:p>
        </w:tc>
      </w:tr>
      <w:tr w14:paraId="53FB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bottom w:val="double" w:color="auto" w:sz="4" w:space="0"/>
              <w:right w:val="double" w:color="auto" w:sz="4" w:space="0"/>
            </w:tcBorders>
            <w:vAlign w:val="center"/>
          </w:tcPr>
          <w:p w14:paraId="0ECF6682">
            <w:pPr>
              <w:spacing w:before="40" w:after="40"/>
              <w:jc w:val="center"/>
              <w:rPr>
                <w:sz w:val="20"/>
                <w:szCs w:val="20"/>
              </w:rPr>
            </w:pPr>
          </w:p>
        </w:tc>
        <w:tc>
          <w:tcPr>
            <w:tcW w:w="751" w:type="dxa"/>
            <w:tcBorders>
              <w:left w:val="double" w:color="auto" w:sz="4" w:space="0"/>
              <w:bottom w:val="double" w:color="auto" w:sz="4" w:space="0"/>
            </w:tcBorders>
            <w:vAlign w:val="center"/>
          </w:tcPr>
          <w:p w14:paraId="459C4864">
            <w:pPr>
              <w:spacing w:before="40" w:after="40"/>
              <w:jc w:val="center"/>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oMath>
            </m:oMathPara>
          </w:p>
        </w:tc>
        <w:tc>
          <w:tcPr>
            <w:tcW w:w="752" w:type="dxa"/>
            <w:tcBorders>
              <w:bottom w:val="double" w:color="auto" w:sz="4" w:space="0"/>
            </w:tcBorders>
            <w:vAlign w:val="center"/>
          </w:tcPr>
          <w:p w14:paraId="179202E4">
            <w:pPr>
              <w:spacing w:before="40" w:after="40"/>
              <w:jc w:val="center"/>
            </w:pPr>
            <m:oMathPara>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m:oMathPara>
          </w:p>
        </w:tc>
        <w:tc>
          <w:tcPr>
            <w:tcW w:w="753" w:type="dxa"/>
            <w:tcBorders>
              <w:bottom w:val="double" w:color="auto" w:sz="4" w:space="0"/>
              <w:right w:val="double" w:color="auto" w:sz="4" w:space="0"/>
            </w:tcBorders>
            <w:vAlign w:val="center"/>
          </w:tcPr>
          <w:p w14:paraId="5785A125">
            <w:pPr>
              <w:spacing w:before="40" w:after="40"/>
              <w:jc w:val="cente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90%</m:t>
                    </m:r>
                    <m:ctrlPr>
                      <w:rPr>
                        <w:rFonts w:ascii="Cambria Math" w:hAnsi="Cambria Math"/>
                        <w:i/>
                      </w:rPr>
                    </m:ctrlPr>
                  </m:sub>
                </m:sSub>
              </m:oMath>
            </m:oMathPara>
          </w:p>
        </w:tc>
        <w:tc>
          <w:tcPr>
            <w:tcW w:w="753" w:type="dxa"/>
            <w:tcBorders>
              <w:left w:val="double" w:color="auto" w:sz="4" w:space="0"/>
              <w:bottom w:val="double" w:color="auto" w:sz="4" w:space="0"/>
            </w:tcBorders>
            <w:vAlign w:val="center"/>
          </w:tcPr>
          <w:p w14:paraId="3C83EABF">
            <w:pPr>
              <w:spacing w:before="40" w:after="40"/>
              <w:jc w:val="center"/>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oMath>
            </m:oMathPara>
          </w:p>
        </w:tc>
        <w:tc>
          <w:tcPr>
            <w:tcW w:w="753" w:type="dxa"/>
            <w:tcBorders>
              <w:bottom w:val="double" w:color="auto" w:sz="4" w:space="0"/>
            </w:tcBorders>
            <w:vAlign w:val="center"/>
          </w:tcPr>
          <w:p w14:paraId="2BD18737">
            <w:pPr>
              <w:spacing w:before="40" w:after="40"/>
              <w:jc w:val="center"/>
            </w:pPr>
            <m:oMathPara>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m:oMathPara>
          </w:p>
        </w:tc>
        <w:tc>
          <w:tcPr>
            <w:tcW w:w="753" w:type="dxa"/>
            <w:tcBorders>
              <w:bottom w:val="double" w:color="auto" w:sz="4" w:space="0"/>
              <w:right w:val="double" w:color="auto" w:sz="4" w:space="0"/>
            </w:tcBorders>
            <w:vAlign w:val="center"/>
          </w:tcPr>
          <w:p w14:paraId="203D1D0D">
            <w:pPr>
              <w:spacing w:before="40" w:after="40"/>
              <w:jc w:val="cente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90%</m:t>
                    </m:r>
                    <m:ctrlPr>
                      <w:rPr>
                        <w:rFonts w:ascii="Cambria Math" w:hAnsi="Cambria Math"/>
                        <w:i/>
                      </w:rPr>
                    </m:ctrlPr>
                  </m:sub>
                </m:sSub>
              </m:oMath>
            </m:oMathPara>
          </w:p>
        </w:tc>
        <w:tc>
          <w:tcPr>
            <w:tcW w:w="752" w:type="dxa"/>
            <w:tcBorders>
              <w:bottom w:val="double" w:color="auto" w:sz="4" w:space="0"/>
              <w:right w:val="single" w:color="auto" w:sz="4" w:space="0"/>
            </w:tcBorders>
            <w:vAlign w:val="center"/>
          </w:tcPr>
          <w:p w14:paraId="63904DEB">
            <w:pPr>
              <w:spacing w:before="40" w:after="40"/>
              <w:jc w:val="center"/>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oMath>
            </m:oMathPara>
          </w:p>
        </w:tc>
        <w:tc>
          <w:tcPr>
            <w:tcW w:w="753" w:type="dxa"/>
            <w:tcBorders>
              <w:left w:val="single" w:color="auto" w:sz="4" w:space="0"/>
              <w:bottom w:val="double" w:color="auto" w:sz="4" w:space="0"/>
              <w:right w:val="single" w:color="auto" w:sz="4" w:space="0"/>
            </w:tcBorders>
            <w:vAlign w:val="center"/>
          </w:tcPr>
          <w:p w14:paraId="320A142D">
            <w:pPr>
              <w:spacing w:before="40" w:after="40"/>
              <w:jc w:val="center"/>
            </w:pPr>
            <m:oMathPara>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m:oMathPara>
          </w:p>
        </w:tc>
        <w:tc>
          <w:tcPr>
            <w:tcW w:w="754" w:type="dxa"/>
            <w:tcBorders>
              <w:left w:val="single" w:color="auto" w:sz="4" w:space="0"/>
              <w:bottom w:val="double" w:color="auto" w:sz="4" w:space="0"/>
              <w:right w:val="double" w:color="auto" w:sz="4" w:space="0"/>
            </w:tcBorders>
            <w:vAlign w:val="center"/>
          </w:tcPr>
          <w:p w14:paraId="47B4DA17">
            <w:pPr>
              <w:spacing w:before="40" w:after="40"/>
              <w:jc w:val="cente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90%</m:t>
                    </m:r>
                    <m:ctrlPr>
                      <w:rPr>
                        <w:rFonts w:ascii="Cambria Math" w:hAnsi="Cambria Math"/>
                        <w:i/>
                      </w:rPr>
                    </m:ctrlPr>
                  </m:sub>
                </m:sSub>
              </m:oMath>
            </m:oMathPara>
          </w:p>
        </w:tc>
        <w:tc>
          <w:tcPr>
            <w:tcW w:w="753" w:type="dxa"/>
            <w:tcBorders>
              <w:left w:val="double" w:color="auto" w:sz="4" w:space="0"/>
              <w:bottom w:val="double" w:color="auto" w:sz="4" w:space="0"/>
            </w:tcBorders>
            <w:vAlign w:val="center"/>
          </w:tcPr>
          <w:p w14:paraId="001F72BC">
            <w:pPr>
              <w:spacing w:before="40" w:after="40"/>
              <w:jc w:val="center"/>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oMath>
            </m:oMathPara>
          </w:p>
        </w:tc>
        <w:tc>
          <w:tcPr>
            <w:tcW w:w="753" w:type="dxa"/>
            <w:tcBorders>
              <w:bottom w:val="double" w:color="auto" w:sz="4" w:space="0"/>
            </w:tcBorders>
            <w:vAlign w:val="center"/>
          </w:tcPr>
          <w:p w14:paraId="5181499F">
            <w:pPr>
              <w:spacing w:before="40" w:after="40"/>
              <w:jc w:val="center"/>
            </w:pPr>
            <m:oMathPara>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m:oMathPara>
          </w:p>
        </w:tc>
        <w:tc>
          <w:tcPr>
            <w:tcW w:w="754" w:type="dxa"/>
            <w:tcBorders>
              <w:bottom w:val="double" w:color="auto" w:sz="4" w:space="0"/>
            </w:tcBorders>
            <w:vAlign w:val="center"/>
          </w:tcPr>
          <w:p w14:paraId="67F242DC">
            <w:pPr>
              <w:spacing w:before="40" w:after="40"/>
              <w:jc w:val="cente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90%</m:t>
                    </m:r>
                    <m:ctrlPr>
                      <w:rPr>
                        <w:rFonts w:ascii="Cambria Math" w:hAnsi="Cambria Math"/>
                        <w:i/>
                      </w:rPr>
                    </m:ctrlPr>
                  </m:sub>
                </m:sSub>
              </m:oMath>
            </m:oMathPara>
          </w:p>
        </w:tc>
      </w:tr>
      <w:tr w14:paraId="28AC6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Borders>
              <w:top w:val="double" w:color="auto" w:sz="4" w:space="0"/>
              <w:bottom w:val="double" w:color="auto" w:sz="4" w:space="0"/>
              <w:right w:val="double" w:color="auto" w:sz="4" w:space="0"/>
            </w:tcBorders>
            <w:vAlign w:val="center"/>
          </w:tcPr>
          <w:p w14:paraId="0117A33C">
            <w:pPr>
              <w:spacing w:before="40" w:after="40"/>
              <w:jc w:val="center"/>
              <w:rPr>
                <w:sz w:val="20"/>
                <w:szCs w:val="20"/>
              </w:rPr>
            </w:pPr>
            <w:r>
              <w:rPr>
                <w:sz w:val="20"/>
                <w:szCs w:val="20"/>
              </w:rPr>
              <w:t>1024</w:t>
            </w:r>
            <w:r>
              <w:rPr>
                <w:rFonts w:cs="Arial"/>
                <w:sz w:val="20"/>
                <w:szCs w:val="20"/>
              </w:rPr>
              <w:t>×</w:t>
            </w:r>
            <w:r>
              <w:rPr>
                <w:sz w:val="20"/>
                <w:szCs w:val="20"/>
              </w:rPr>
              <w:t>18</w:t>
            </w:r>
          </w:p>
        </w:tc>
        <w:tc>
          <w:tcPr>
            <w:tcW w:w="751" w:type="dxa"/>
            <w:tcBorders>
              <w:top w:val="double" w:color="auto" w:sz="4" w:space="0"/>
              <w:left w:val="double" w:color="auto" w:sz="4" w:space="0"/>
              <w:bottom w:val="double" w:color="auto" w:sz="4" w:space="0"/>
            </w:tcBorders>
            <w:vAlign w:val="center"/>
          </w:tcPr>
          <w:p w14:paraId="02DDEF9F">
            <w:pPr>
              <w:spacing w:before="40" w:after="40"/>
              <w:jc w:val="center"/>
              <w:rPr>
                <w:sz w:val="20"/>
                <w:szCs w:val="20"/>
              </w:rPr>
            </w:pPr>
            <w:r>
              <w:rPr>
                <w:rFonts w:cs="Arial"/>
                <w:sz w:val="20"/>
                <w:szCs w:val="20"/>
              </w:rPr>
              <w:t>256</w:t>
            </w:r>
          </w:p>
        </w:tc>
        <w:tc>
          <w:tcPr>
            <w:tcW w:w="752" w:type="dxa"/>
            <w:tcBorders>
              <w:top w:val="double" w:color="auto" w:sz="4" w:space="0"/>
              <w:bottom w:val="double" w:color="auto" w:sz="4" w:space="0"/>
            </w:tcBorders>
            <w:vAlign w:val="center"/>
          </w:tcPr>
          <w:p w14:paraId="173E4A6E">
            <w:pPr>
              <w:spacing w:before="40" w:after="40"/>
              <w:jc w:val="center"/>
              <w:rPr>
                <w:sz w:val="20"/>
                <w:szCs w:val="20"/>
              </w:rPr>
            </w:pPr>
            <w:r>
              <w:rPr>
                <w:rFonts w:cs="Arial"/>
                <w:sz w:val="20"/>
                <w:szCs w:val="20"/>
              </w:rPr>
              <w:t>256</w:t>
            </w:r>
          </w:p>
        </w:tc>
        <w:tc>
          <w:tcPr>
            <w:tcW w:w="753" w:type="dxa"/>
            <w:tcBorders>
              <w:top w:val="double" w:color="auto" w:sz="4" w:space="0"/>
              <w:bottom w:val="double" w:color="auto" w:sz="4" w:space="0"/>
              <w:right w:val="double" w:color="auto" w:sz="4" w:space="0"/>
            </w:tcBorders>
            <w:vAlign w:val="center"/>
          </w:tcPr>
          <w:p w14:paraId="4BBA2E9E">
            <w:pPr>
              <w:spacing w:before="40" w:after="40"/>
              <w:jc w:val="center"/>
              <w:rPr>
                <w:sz w:val="20"/>
                <w:szCs w:val="20"/>
              </w:rPr>
            </w:pPr>
            <w:r>
              <w:rPr>
                <w:rFonts w:cs="Arial"/>
                <w:sz w:val="20"/>
                <w:szCs w:val="20"/>
              </w:rPr>
              <w:t>0.37</w:t>
            </w:r>
          </w:p>
        </w:tc>
        <w:tc>
          <w:tcPr>
            <w:tcW w:w="753" w:type="dxa"/>
            <w:tcBorders>
              <w:top w:val="double" w:color="auto" w:sz="4" w:space="0"/>
              <w:left w:val="double" w:color="auto" w:sz="4" w:space="0"/>
              <w:bottom w:val="double" w:color="auto" w:sz="4" w:space="0"/>
            </w:tcBorders>
            <w:vAlign w:val="center"/>
          </w:tcPr>
          <w:p w14:paraId="409B4DFC">
            <w:pPr>
              <w:spacing w:before="40" w:after="40"/>
              <w:jc w:val="center"/>
              <w:rPr>
                <w:sz w:val="20"/>
                <w:szCs w:val="20"/>
              </w:rPr>
            </w:pPr>
          </w:p>
        </w:tc>
        <w:tc>
          <w:tcPr>
            <w:tcW w:w="753" w:type="dxa"/>
            <w:tcBorders>
              <w:top w:val="double" w:color="auto" w:sz="4" w:space="0"/>
              <w:bottom w:val="double" w:color="auto" w:sz="4" w:space="0"/>
            </w:tcBorders>
            <w:vAlign w:val="center"/>
          </w:tcPr>
          <w:p w14:paraId="210B91F8">
            <w:pPr>
              <w:spacing w:before="40" w:after="40"/>
              <w:jc w:val="center"/>
              <w:rPr>
                <w:sz w:val="20"/>
                <w:szCs w:val="20"/>
              </w:rPr>
            </w:pPr>
          </w:p>
        </w:tc>
        <w:tc>
          <w:tcPr>
            <w:tcW w:w="753" w:type="dxa"/>
            <w:tcBorders>
              <w:top w:val="double" w:color="auto" w:sz="4" w:space="0"/>
              <w:bottom w:val="double" w:color="auto" w:sz="4" w:space="0"/>
              <w:right w:val="double" w:color="auto" w:sz="4" w:space="0"/>
            </w:tcBorders>
            <w:vAlign w:val="center"/>
          </w:tcPr>
          <w:p w14:paraId="53EB8D44">
            <w:pPr>
              <w:spacing w:before="40" w:after="40"/>
              <w:jc w:val="center"/>
              <w:rPr>
                <w:sz w:val="20"/>
                <w:szCs w:val="20"/>
              </w:rPr>
            </w:pPr>
          </w:p>
        </w:tc>
        <w:tc>
          <w:tcPr>
            <w:tcW w:w="752" w:type="dxa"/>
            <w:tcBorders>
              <w:top w:val="double" w:color="auto" w:sz="4" w:space="0"/>
              <w:bottom w:val="double" w:color="auto" w:sz="4" w:space="0"/>
              <w:right w:val="single" w:color="auto" w:sz="4" w:space="0"/>
            </w:tcBorders>
          </w:tcPr>
          <w:p w14:paraId="0E97500F">
            <w:pPr>
              <w:spacing w:before="40" w:after="40"/>
              <w:jc w:val="center"/>
              <w:rPr>
                <w:sz w:val="20"/>
                <w:szCs w:val="20"/>
              </w:rPr>
            </w:pPr>
          </w:p>
        </w:tc>
        <w:tc>
          <w:tcPr>
            <w:tcW w:w="753" w:type="dxa"/>
            <w:tcBorders>
              <w:top w:val="double" w:color="auto" w:sz="4" w:space="0"/>
              <w:left w:val="single" w:color="auto" w:sz="4" w:space="0"/>
              <w:bottom w:val="double" w:color="auto" w:sz="4" w:space="0"/>
              <w:right w:val="single" w:color="auto" w:sz="4" w:space="0"/>
            </w:tcBorders>
          </w:tcPr>
          <w:p w14:paraId="5DE70792">
            <w:pPr>
              <w:spacing w:before="40" w:after="40"/>
              <w:jc w:val="center"/>
              <w:rPr>
                <w:sz w:val="20"/>
                <w:szCs w:val="20"/>
              </w:rPr>
            </w:pPr>
          </w:p>
        </w:tc>
        <w:tc>
          <w:tcPr>
            <w:tcW w:w="754" w:type="dxa"/>
            <w:tcBorders>
              <w:top w:val="double" w:color="auto" w:sz="4" w:space="0"/>
              <w:left w:val="single" w:color="auto" w:sz="4" w:space="0"/>
              <w:bottom w:val="double" w:color="auto" w:sz="4" w:space="0"/>
              <w:right w:val="double" w:color="auto" w:sz="4" w:space="0"/>
            </w:tcBorders>
          </w:tcPr>
          <w:p w14:paraId="031A47C1">
            <w:pPr>
              <w:spacing w:before="40" w:after="40"/>
              <w:jc w:val="center"/>
              <w:rPr>
                <w:sz w:val="20"/>
                <w:szCs w:val="20"/>
              </w:rPr>
            </w:pPr>
          </w:p>
        </w:tc>
        <w:tc>
          <w:tcPr>
            <w:tcW w:w="753" w:type="dxa"/>
            <w:tcBorders>
              <w:top w:val="double" w:color="auto" w:sz="4" w:space="0"/>
              <w:left w:val="double" w:color="auto" w:sz="4" w:space="0"/>
              <w:bottom w:val="double" w:color="auto" w:sz="4" w:space="0"/>
            </w:tcBorders>
            <w:vAlign w:val="center"/>
          </w:tcPr>
          <w:p w14:paraId="223F772E">
            <w:pPr>
              <w:spacing w:before="40" w:after="40"/>
              <w:jc w:val="center"/>
              <w:rPr>
                <w:sz w:val="20"/>
                <w:szCs w:val="20"/>
              </w:rPr>
            </w:pPr>
          </w:p>
        </w:tc>
        <w:tc>
          <w:tcPr>
            <w:tcW w:w="753" w:type="dxa"/>
            <w:tcBorders>
              <w:top w:val="double" w:color="auto" w:sz="4" w:space="0"/>
              <w:bottom w:val="double" w:color="auto" w:sz="4" w:space="0"/>
            </w:tcBorders>
            <w:vAlign w:val="center"/>
          </w:tcPr>
          <w:p w14:paraId="77CBDECD">
            <w:pPr>
              <w:spacing w:before="40" w:after="40"/>
              <w:jc w:val="center"/>
              <w:rPr>
                <w:sz w:val="20"/>
                <w:szCs w:val="20"/>
              </w:rPr>
            </w:pPr>
          </w:p>
        </w:tc>
        <w:tc>
          <w:tcPr>
            <w:tcW w:w="754" w:type="dxa"/>
            <w:tcBorders>
              <w:top w:val="double" w:color="auto" w:sz="4" w:space="0"/>
              <w:bottom w:val="double" w:color="auto" w:sz="4" w:space="0"/>
            </w:tcBorders>
            <w:vAlign w:val="center"/>
          </w:tcPr>
          <w:p w14:paraId="632F4D11">
            <w:pPr>
              <w:spacing w:before="40" w:after="40"/>
              <w:jc w:val="center"/>
              <w:rPr>
                <w:sz w:val="20"/>
                <w:szCs w:val="20"/>
              </w:rPr>
            </w:pPr>
          </w:p>
        </w:tc>
      </w:tr>
      <w:tr w14:paraId="1616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restart"/>
            <w:tcBorders>
              <w:top w:val="double" w:color="auto" w:sz="4" w:space="0"/>
              <w:right w:val="double" w:color="auto" w:sz="4" w:space="0"/>
            </w:tcBorders>
            <w:vAlign w:val="center"/>
          </w:tcPr>
          <w:p w14:paraId="785B6766">
            <w:pPr>
              <w:spacing w:before="40" w:after="40"/>
              <w:jc w:val="center"/>
              <w:rPr>
                <w:sz w:val="20"/>
                <w:szCs w:val="20"/>
              </w:rPr>
            </w:pPr>
            <w:r>
              <w:rPr>
                <w:sz w:val="20"/>
                <w:szCs w:val="20"/>
              </w:rPr>
              <w:t>512</w:t>
            </w:r>
            <w:r>
              <w:rPr>
                <w:rFonts w:cs="Arial"/>
                <w:sz w:val="20"/>
                <w:szCs w:val="20"/>
              </w:rPr>
              <w:t>×</w:t>
            </w:r>
            <w:r>
              <w:rPr>
                <w:sz w:val="20"/>
                <w:szCs w:val="20"/>
              </w:rPr>
              <w:t>18</w:t>
            </w:r>
          </w:p>
        </w:tc>
        <w:tc>
          <w:tcPr>
            <w:tcW w:w="751" w:type="dxa"/>
            <w:tcBorders>
              <w:top w:val="double" w:color="auto" w:sz="4" w:space="0"/>
              <w:left w:val="double" w:color="auto" w:sz="4" w:space="0"/>
            </w:tcBorders>
            <w:vAlign w:val="center"/>
          </w:tcPr>
          <w:p w14:paraId="659A9D54">
            <w:pPr>
              <w:spacing w:before="40" w:after="40"/>
              <w:jc w:val="center"/>
              <w:rPr>
                <w:sz w:val="20"/>
                <w:szCs w:val="20"/>
              </w:rPr>
            </w:pPr>
            <w:r>
              <w:rPr>
                <w:rFonts w:cs="Arial"/>
                <w:sz w:val="20"/>
                <w:szCs w:val="20"/>
              </w:rPr>
              <w:t>256</w:t>
            </w:r>
          </w:p>
        </w:tc>
        <w:tc>
          <w:tcPr>
            <w:tcW w:w="752" w:type="dxa"/>
            <w:tcBorders>
              <w:top w:val="double" w:color="auto" w:sz="4" w:space="0"/>
            </w:tcBorders>
            <w:vAlign w:val="center"/>
          </w:tcPr>
          <w:p w14:paraId="7792814B">
            <w:pPr>
              <w:spacing w:before="40" w:after="40"/>
              <w:jc w:val="center"/>
              <w:rPr>
                <w:sz w:val="20"/>
                <w:szCs w:val="20"/>
              </w:rPr>
            </w:pPr>
            <w:r>
              <w:rPr>
                <w:rFonts w:cs="Arial"/>
                <w:sz w:val="20"/>
                <w:szCs w:val="20"/>
              </w:rPr>
              <w:t>128</w:t>
            </w:r>
          </w:p>
        </w:tc>
        <w:tc>
          <w:tcPr>
            <w:tcW w:w="753" w:type="dxa"/>
            <w:tcBorders>
              <w:top w:val="double" w:color="auto" w:sz="4" w:space="0"/>
              <w:right w:val="double" w:color="auto" w:sz="4" w:space="0"/>
            </w:tcBorders>
            <w:vAlign w:val="center"/>
          </w:tcPr>
          <w:p w14:paraId="4A771C06">
            <w:pPr>
              <w:spacing w:before="40" w:after="40"/>
              <w:jc w:val="center"/>
              <w:rPr>
                <w:sz w:val="20"/>
                <w:szCs w:val="20"/>
              </w:rPr>
            </w:pPr>
            <w:r>
              <w:rPr>
                <w:rFonts w:cs="Arial"/>
                <w:sz w:val="20"/>
                <w:szCs w:val="20"/>
              </w:rPr>
              <w:t>0.38</w:t>
            </w:r>
          </w:p>
        </w:tc>
        <w:tc>
          <w:tcPr>
            <w:tcW w:w="753" w:type="dxa"/>
            <w:tcBorders>
              <w:top w:val="double" w:color="auto" w:sz="4" w:space="0"/>
              <w:left w:val="double" w:color="auto" w:sz="4" w:space="0"/>
            </w:tcBorders>
            <w:vAlign w:val="center"/>
          </w:tcPr>
          <w:p w14:paraId="567ADCBB">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4272E7DF">
            <w:pPr>
              <w:spacing w:before="40" w:after="40"/>
              <w:jc w:val="center"/>
              <w:rPr>
                <w:sz w:val="20"/>
                <w:szCs w:val="20"/>
              </w:rPr>
            </w:pPr>
            <w:r>
              <w:rPr>
                <w:rFonts w:cs="Arial"/>
                <w:sz w:val="20"/>
                <w:szCs w:val="20"/>
              </w:rPr>
              <w:t>256</w:t>
            </w:r>
          </w:p>
        </w:tc>
        <w:tc>
          <w:tcPr>
            <w:tcW w:w="753" w:type="dxa"/>
            <w:tcBorders>
              <w:top w:val="double" w:color="auto" w:sz="4" w:space="0"/>
              <w:right w:val="double" w:color="auto" w:sz="4" w:space="0"/>
            </w:tcBorders>
            <w:vAlign w:val="center"/>
          </w:tcPr>
          <w:p w14:paraId="4D362C1B">
            <w:pPr>
              <w:spacing w:before="40" w:after="40"/>
              <w:jc w:val="center"/>
              <w:rPr>
                <w:sz w:val="20"/>
                <w:szCs w:val="20"/>
              </w:rPr>
            </w:pPr>
            <w:r>
              <w:rPr>
                <w:rFonts w:cs="Arial"/>
                <w:sz w:val="20"/>
                <w:szCs w:val="20"/>
              </w:rPr>
              <w:t>0.49</w:t>
            </w:r>
          </w:p>
        </w:tc>
        <w:tc>
          <w:tcPr>
            <w:tcW w:w="752" w:type="dxa"/>
            <w:tcBorders>
              <w:top w:val="double" w:color="auto" w:sz="4" w:space="0"/>
              <w:right w:val="single" w:color="auto" w:sz="4" w:space="0"/>
            </w:tcBorders>
            <w:vAlign w:val="center"/>
          </w:tcPr>
          <w:p w14:paraId="3246D656">
            <w:pPr>
              <w:spacing w:before="40" w:after="40"/>
              <w:jc w:val="center"/>
              <w:rPr>
                <w:sz w:val="20"/>
                <w:szCs w:val="20"/>
              </w:rPr>
            </w:pPr>
            <w:r>
              <w:rPr>
                <w:rFonts w:cs="Arial"/>
                <w:sz w:val="20"/>
                <w:szCs w:val="20"/>
              </w:rPr>
              <w:t>256</w:t>
            </w:r>
          </w:p>
        </w:tc>
        <w:tc>
          <w:tcPr>
            <w:tcW w:w="753" w:type="dxa"/>
            <w:tcBorders>
              <w:top w:val="double" w:color="auto" w:sz="4" w:space="0"/>
              <w:left w:val="single" w:color="auto" w:sz="4" w:space="0"/>
              <w:right w:val="single" w:color="auto" w:sz="4" w:space="0"/>
            </w:tcBorders>
            <w:vAlign w:val="center"/>
          </w:tcPr>
          <w:p w14:paraId="62996281">
            <w:pPr>
              <w:spacing w:before="40" w:after="40"/>
              <w:jc w:val="center"/>
              <w:rPr>
                <w:sz w:val="20"/>
                <w:szCs w:val="20"/>
              </w:rPr>
            </w:pPr>
            <w:r>
              <w:rPr>
                <w:rFonts w:cs="Arial"/>
                <w:sz w:val="20"/>
                <w:szCs w:val="20"/>
              </w:rPr>
              <w:t>256</w:t>
            </w:r>
          </w:p>
        </w:tc>
        <w:tc>
          <w:tcPr>
            <w:tcW w:w="754" w:type="dxa"/>
            <w:tcBorders>
              <w:top w:val="double" w:color="auto" w:sz="4" w:space="0"/>
              <w:left w:val="single" w:color="auto" w:sz="4" w:space="0"/>
              <w:right w:val="double" w:color="auto" w:sz="4" w:space="0"/>
            </w:tcBorders>
            <w:vAlign w:val="center"/>
          </w:tcPr>
          <w:p w14:paraId="3164D0B9">
            <w:pPr>
              <w:spacing w:before="40" w:after="40"/>
              <w:jc w:val="center"/>
              <w:rPr>
                <w:sz w:val="20"/>
                <w:szCs w:val="20"/>
              </w:rPr>
            </w:pPr>
            <w:r>
              <w:rPr>
                <w:sz w:val="20"/>
                <w:szCs w:val="20"/>
              </w:rPr>
              <w:t>0.48</w:t>
            </w:r>
          </w:p>
        </w:tc>
        <w:tc>
          <w:tcPr>
            <w:tcW w:w="753" w:type="dxa"/>
            <w:tcBorders>
              <w:top w:val="double" w:color="auto" w:sz="4" w:space="0"/>
              <w:left w:val="double" w:color="auto" w:sz="4" w:space="0"/>
            </w:tcBorders>
            <w:vAlign w:val="center"/>
          </w:tcPr>
          <w:p w14:paraId="03A8053B">
            <w:pPr>
              <w:spacing w:before="40" w:after="40"/>
              <w:jc w:val="center"/>
              <w:rPr>
                <w:sz w:val="20"/>
                <w:szCs w:val="20"/>
              </w:rPr>
            </w:pPr>
          </w:p>
        </w:tc>
        <w:tc>
          <w:tcPr>
            <w:tcW w:w="753" w:type="dxa"/>
            <w:tcBorders>
              <w:top w:val="double" w:color="auto" w:sz="4" w:space="0"/>
            </w:tcBorders>
            <w:vAlign w:val="center"/>
          </w:tcPr>
          <w:p w14:paraId="5FDD4880">
            <w:pPr>
              <w:spacing w:before="40" w:after="40"/>
              <w:jc w:val="center"/>
              <w:rPr>
                <w:sz w:val="20"/>
                <w:szCs w:val="20"/>
              </w:rPr>
            </w:pPr>
          </w:p>
        </w:tc>
        <w:tc>
          <w:tcPr>
            <w:tcW w:w="754" w:type="dxa"/>
            <w:tcBorders>
              <w:top w:val="double" w:color="auto" w:sz="4" w:space="0"/>
            </w:tcBorders>
            <w:vAlign w:val="center"/>
          </w:tcPr>
          <w:p w14:paraId="47334CD0">
            <w:pPr>
              <w:spacing w:before="40" w:after="40"/>
              <w:jc w:val="center"/>
              <w:rPr>
                <w:sz w:val="20"/>
                <w:szCs w:val="20"/>
              </w:rPr>
            </w:pPr>
          </w:p>
        </w:tc>
      </w:tr>
      <w:tr w14:paraId="0CBF9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bottom w:val="double" w:color="auto" w:sz="4" w:space="0"/>
              <w:right w:val="double" w:color="auto" w:sz="4" w:space="0"/>
            </w:tcBorders>
            <w:vAlign w:val="center"/>
          </w:tcPr>
          <w:p w14:paraId="7C23EAA2">
            <w:pPr>
              <w:spacing w:before="40" w:after="40"/>
              <w:jc w:val="center"/>
              <w:rPr>
                <w:sz w:val="20"/>
                <w:szCs w:val="20"/>
              </w:rPr>
            </w:pPr>
          </w:p>
        </w:tc>
        <w:tc>
          <w:tcPr>
            <w:tcW w:w="751" w:type="dxa"/>
            <w:tcBorders>
              <w:left w:val="double" w:color="auto" w:sz="4" w:space="0"/>
              <w:bottom w:val="double" w:color="auto" w:sz="4" w:space="0"/>
            </w:tcBorders>
            <w:vAlign w:val="center"/>
          </w:tcPr>
          <w:p w14:paraId="08ED325B">
            <w:pPr>
              <w:spacing w:before="40" w:after="40"/>
              <w:jc w:val="center"/>
              <w:rPr>
                <w:sz w:val="20"/>
                <w:szCs w:val="20"/>
              </w:rPr>
            </w:pPr>
            <w:r>
              <w:rPr>
                <w:rFonts w:cs="Arial"/>
                <w:sz w:val="20"/>
                <w:szCs w:val="20"/>
              </w:rPr>
              <w:t>128</w:t>
            </w:r>
          </w:p>
        </w:tc>
        <w:tc>
          <w:tcPr>
            <w:tcW w:w="752" w:type="dxa"/>
            <w:tcBorders>
              <w:bottom w:val="double" w:color="auto" w:sz="4" w:space="0"/>
            </w:tcBorders>
            <w:vAlign w:val="center"/>
          </w:tcPr>
          <w:p w14:paraId="0EB176F2">
            <w:pPr>
              <w:spacing w:before="40" w:after="40"/>
              <w:jc w:val="center"/>
              <w:rPr>
                <w:sz w:val="20"/>
                <w:szCs w:val="20"/>
              </w:rPr>
            </w:pPr>
            <w:r>
              <w:rPr>
                <w:rFonts w:cs="Arial"/>
                <w:sz w:val="20"/>
                <w:szCs w:val="20"/>
              </w:rPr>
              <w:t>128</w:t>
            </w:r>
          </w:p>
        </w:tc>
        <w:tc>
          <w:tcPr>
            <w:tcW w:w="753" w:type="dxa"/>
            <w:tcBorders>
              <w:bottom w:val="double" w:color="auto" w:sz="4" w:space="0"/>
              <w:right w:val="double" w:color="auto" w:sz="4" w:space="0"/>
            </w:tcBorders>
            <w:vAlign w:val="center"/>
          </w:tcPr>
          <w:p w14:paraId="492CE9FF">
            <w:pPr>
              <w:spacing w:before="40" w:after="40"/>
              <w:jc w:val="center"/>
              <w:rPr>
                <w:sz w:val="20"/>
                <w:szCs w:val="20"/>
              </w:rPr>
            </w:pPr>
            <w:r>
              <w:rPr>
                <w:rFonts w:cs="Arial"/>
                <w:sz w:val="20"/>
                <w:szCs w:val="20"/>
              </w:rPr>
              <w:t>0.44</w:t>
            </w:r>
          </w:p>
        </w:tc>
        <w:tc>
          <w:tcPr>
            <w:tcW w:w="753" w:type="dxa"/>
            <w:tcBorders>
              <w:left w:val="double" w:color="auto" w:sz="4" w:space="0"/>
              <w:bottom w:val="double" w:color="auto" w:sz="4" w:space="0"/>
            </w:tcBorders>
            <w:vAlign w:val="center"/>
          </w:tcPr>
          <w:p w14:paraId="5B19AB6F">
            <w:pPr>
              <w:spacing w:before="40" w:after="40"/>
              <w:jc w:val="center"/>
              <w:rPr>
                <w:sz w:val="20"/>
                <w:szCs w:val="20"/>
              </w:rPr>
            </w:pPr>
          </w:p>
        </w:tc>
        <w:tc>
          <w:tcPr>
            <w:tcW w:w="753" w:type="dxa"/>
            <w:tcBorders>
              <w:bottom w:val="double" w:color="auto" w:sz="4" w:space="0"/>
            </w:tcBorders>
            <w:vAlign w:val="center"/>
          </w:tcPr>
          <w:p w14:paraId="02D2AC53">
            <w:pPr>
              <w:spacing w:before="40" w:after="40"/>
              <w:jc w:val="center"/>
              <w:rPr>
                <w:sz w:val="20"/>
                <w:szCs w:val="20"/>
              </w:rPr>
            </w:pPr>
          </w:p>
        </w:tc>
        <w:tc>
          <w:tcPr>
            <w:tcW w:w="753" w:type="dxa"/>
            <w:tcBorders>
              <w:bottom w:val="double" w:color="auto" w:sz="4" w:space="0"/>
              <w:right w:val="double" w:color="auto" w:sz="4" w:space="0"/>
            </w:tcBorders>
            <w:vAlign w:val="center"/>
          </w:tcPr>
          <w:p w14:paraId="6729AE50">
            <w:pPr>
              <w:spacing w:before="40" w:after="40"/>
              <w:jc w:val="center"/>
              <w:rPr>
                <w:sz w:val="20"/>
                <w:szCs w:val="20"/>
              </w:rPr>
            </w:pPr>
            <w:r>
              <w:rPr>
                <w:rFonts w:cs="Arial"/>
                <w:sz w:val="20"/>
                <w:szCs w:val="20"/>
              </w:rPr>
              <w:t> </w:t>
            </w:r>
          </w:p>
        </w:tc>
        <w:tc>
          <w:tcPr>
            <w:tcW w:w="752" w:type="dxa"/>
            <w:tcBorders>
              <w:bottom w:val="double" w:color="auto" w:sz="4" w:space="0"/>
              <w:right w:val="single" w:color="auto" w:sz="4" w:space="0"/>
            </w:tcBorders>
            <w:vAlign w:val="center"/>
          </w:tcPr>
          <w:p w14:paraId="45111BD1">
            <w:pPr>
              <w:spacing w:before="40" w:after="40"/>
              <w:jc w:val="center"/>
              <w:rPr>
                <w:sz w:val="20"/>
                <w:szCs w:val="20"/>
              </w:rPr>
            </w:pPr>
          </w:p>
        </w:tc>
        <w:tc>
          <w:tcPr>
            <w:tcW w:w="753" w:type="dxa"/>
            <w:tcBorders>
              <w:left w:val="single" w:color="auto" w:sz="4" w:space="0"/>
              <w:bottom w:val="double" w:color="auto" w:sz="4" w:space="0"/>
              <w:right w:val="single" w:color="auto" w:sz="4" w:space="0"/>
            </w:tcBorders>
            <w:vAlign w:val="center"/>
          </w:tcPr>
          <w:p w14:paraId="3C64E8DC">
            <w:pPr>
              <w:spacing w:before="40" w:after="40"/>
              <w:jc w:val="center"/>
              <w:rPr>
                <w:sz w:val="20"/>
                <w:szCs w:val="20"/>
              </w:rPr>
            </w:pPr>
          </w:p>
        </w:tc>
        <w:tc>
          <w:tcPr>
            <w:tcW w:w="754" w:type="dxa"/>
            <w:tcBorders>
              <w:left w:val="single" w:color="auto" w:sz="4" w:space="0"/>
              <w:bottom w:val="double" w:color="auto" w:sz="4" w:space="0"/>
              <w:right w:val="double" w:color="auto" w:sz="4" w:space="0"/>
            </w:tcBorders>
            <w:vAlign w:val="center"/>
          </w:tcPr>
          <w:p w14:paraId="064601CA">
            <w:pPr>
              <w:spacing w:before="40" w:after="40"/>
              <w:jc w:val="center"/>
              <w:rPr>
                <w:sz w:val="20"/>
                <w:szCs w:val="20"/>
              </w:rPr>
            </w:pPr>
            <w:r>
              <w:rPr>
                <w:rFonts w:cs="Arial"/>
                <w:sz w:val="20"/>
                <w:szCs w:val="20"/>
              </w:rPr>
              <w:t> </w:t>
            </w:r>
          </w:p>
        </w:tc>
        <w:tc>
          <w:tcPr>
            <w:tcW w:w="753" w:type="dxa"/>
            <w:tcBorders>
              <w:left w:val="double" w:color="auto" w:sz="4" w:space="0"/>
              <w:bottom w:val="double" w:color="auto" w:sz="4" w:space="0"/>
            </w:tcBorders>
            <w:vAlign w:val="center"/>
          </w:tcPr>
          <w:p w14:paraId="46BF48E5">
            <w:pPr>
              <w:spacing w:before="40" w:after="40"/>
              <w:jc w:val="center"/>
              <w:rPr>
                <w:sz w:val="20"/>
                <w:szCs w:val="20"/>
              </w:rPr>
            </w:pPr>
          </w:p>
        </w:tc>
        <w:tc>
          <w:tcPr>
            <w:tcW w:w="753" w:type="dxa"/>
            <w:tcBorders>
              <w:bottom w:val="double" w:color="auto" w:sz="4" w:space="0"/>
            </w:tcBorders>
            <w:vAlign w:val="center"/>
          </w:tcPr>
          <w:p w14:paraId="335C60F8">
            <w:pPr>
              <w:spacing w:before="40" w:after="40"/>
              <w:jc w:val="center"/>
              <w:rPr>
                <w:sz w:val="20"/>
                <w:szCs w:val="20"/>
              </w:rPr>
            </w:pPr>
          </w:p>
        </w:tc>
        <w:tc>
          <w:tcPr>
            <w:tcW w:w="754" w:type="dxa"/>
            <w:tcBorders>
              <w:bottom w:val="double" w:color="auto" w:sz="4" w:space="0"/>
            </w:tcBorders>
            <w:vAlign w:val="center"/>
          </w:tcPr>
          <w:p w14:paraId="7A00D385">
            <w:pPr>
              <w:spacing w:before="40" w:after="40"/>
              <w:jc w:val="center"/>
              <w:rPr>
                <w:sz w:val="20"/>
                <w:szCs w:val="20"/>
              </w:rPr>
            </w:pPr>
          </w:p>
        </w:tc>
      </w:tr>
      <w:tr w14:paraId="7BB0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restart"/>
            <w:tcBorders>
              <w:top w:val="double" w:color="auto" w:sz="4" w:space="0"/>
              <w:right w:val="double" w:color="auto" w:sz="4" w:space="0"/>
            </w:tcBorders>
            <w:vAlign w:val="center"/>
          </w:tcPr>
          <w:p w14:paraId="2CE3608C">
            <w:pPr>
              <w:spacing w:before="40" w:after="40"/>
              <w:jc w:val="center"/>
              <w:rPr>
                <w:sz w:val="20"/>
                <w:szCs w:val="20"/>
              </w:rPr>
            </w:pPr>
            <w:r>
              <w:rPr>
                <w:sz w:val="20"/>
                <w:szCs w:val="20"/>
              </w:rPr>
              <w:t>256</w:t>
            </w:r>
            <w:r>
              <w:rPr>
                <w:rFonts w:cs="Arial"/>
                <w:sz w:val="20"/>
                <w:szCs w:val="20"/>
              </w:rPr>
              <w:t>×</w:t>
            </w:r>
            <w:r>
              <w:rPr>
                <w:sz w:val="20"/>
                <w:szCs w:val="20"/>
              </w:rPr>
              <w:t>18</w:t>
            </w:r>
          </w:p>
        </w:tc>
        <w:tc>
          <w:tcPr>
            <w:tcW w:w="751" w:type="dxa"/>
            <w:tcBorders>
              <w:top w:val="double" w:color="auto" w:sz="4" w:space="0"/>
              <w:left w:val="double" w:color="auto" w:sz="4" w:space="0"/>
            </w:tcBorders>
            <w:vAlign w:val="center"/>
          </w:tcPr>
          <w:p w14:paraId="29FBAABC">
            <w:pPr>
              <w:spacing w:before="40" w:after="40"/>
              <w:jc w:val="center"/>
              <w:rPr>
                <w:sz w:val="20"/>
                <w:szCs w:val="20"/>
              </w:rPr>
            </w:pPr>
            <w:r>
              <w:rPr>
                <w:rFonts w:cs="Arial"/>
                <w:sz w:val="20"/>
                <w:szCs w:val="20"/>
              </w:rPr>
              <w:t>256</w:t>
            </w:r>
          </w:p>
        </w:tc>
        <w:tc>
          <w:tcPr>
            <w:tcW w:w="752" w:type="dxa"/>
            <w:tcBorders>
              <w:top w:val="double" w:color="auto" w:sz="4" w:space="0"/>
            </w:tcBorders>
            <w:vAlign w:val="center"/>
          </w:tcPr>
          <w:p w14:paraId="36D1B9E7">
            <w:pPr>
              <w:spacing w:before="40" w:after="40"/>
              <w:jc w:val="center"/>
              <w:rPr>
                <w:sz w:val="20"/>
                <w:szCs w:val="20"/>
              </w:rPr>
            </w:pPr>
            <w:r>
              <w:rPr>
                <w:rFonts w:cs="Arial"/>
                <w:sz w:val="20"/>
                <w:szCs w:val="20"/>
              </w:rPr>
              <w:t>64</w:t>
            </w:r>
          </w:p>
        </w:tc>
        <w:tc>
          <w:tcPr>
            <w:tcW w:w="753" w:type="dxa"/>
            <w:tcBorders>
              <w:top w:val="double" w:color="auto" w:sz="4" w:space="0"/>
              <w:right w:val="double" w:color="auto" w:sz="4" w:space="0"/>
            </w:tcBorders>
            <w:vAlign w:val="center"/>
          </w:tcPr>
          <w:p w14:paraId="26D590F6">
            <w:pPr>
              <w:spacing w:before="40" w:after="40"/>
              <w:jc w:val="center"/>
              <w:rPr>
                <w:sz w:val="20"/>
                <w:szCs w:val="20"/>
              </w:rPr>
            </w:pPr>
            <w:r>
              <w:rPr>
                <w:rFonts w:cs="Arial"/>
                <w:sz w:val="20"/>
                <w:szCs w:val="20"/>
              </w:rPr>
              <w:t>0.43</w:t>
            </w:r>
          </w:p>
        </w:tc>
        <w:tc>
          <w:tcPr>
            <w:tcW w:w="753" w:type="dxa"/>
            <w:tcBorders>
              <w:top w:val="double" w:color="auto" w:sz="4" w:space="0"/>
              <w:left w:val="double" w:color="auto" w:sz="4" w:space="0"/>
            </w:tcBorders>
            <w:vAlign w:val="center"/>
          </w:tcPr>
          <w:p w14:paraId="6A26F020">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72D6F5C1">
            <w:pPr>
              <w:spacing w:before="40" w:after="40"/>
              <w:jc w:val="center"/>
              <w:rPr>
                <w:sz w:val="20"/>
                <w:szCs w:val="20"/>
              </w:rPr>
            </w:pPr>
            <w:r>
              <w:rPr>
                <w:rFonts w:cs="Arial"/>
                <w:sz w:val="20"/>
                <w:szCs w:val="20"/>
              </w:rPr>
              <w:t>128</w:t>
            </w:r>
          </w:p>
        </w:tc>
        <w:tc>
          <w:tcPr>
            <w:tcW w:w="753" w:type="dxa"/>
            <w:tcBorders>
              <w:top w:val="double" w:color="auto" w:sz="4" w:space="0"/>
              <w:right w:val="double" w:color="auto" w:sz="4" w:space="0"/>
            </w:tcBorders>
            <w:vAlign w:val="center"/>
          </w:tcPr>
          <w:p w14:paraId="3B9EF02A">
            <w:pPr>
              <w:spacing w:before="40" w:after="40"/>
              <w:jc w:val="center"/>
              <w:rPr>
                <w:sz w:val="20"/>
                <w:szCs w:val="20"/>
              </w:rPr>
            </w:pPr>
            <w:r>
              <w:rPr>
                <w:rFonts w:cs="Arial"/>
                <w:sz w:val="20"/>
                <w:szCs w:val="20"/>
              </w:rPr>
              <w:t>0.50</w:t>
            </w:r>
          </w:p>
        </w:tc>
        <w:tc>
          <w:tcPr>
            <w:tcW w:w="752" w:type="dxa"/>
            <w:tcBorders>
              <w:top w:val="double" w:color="auto" w:sz="4" w:space="0"/>
              <w:right w:val="single" w:color="auto" w:sz="4" w:space="0"/>
            </w:tcBorders>
            <w:vAlign w:val="center"/>
          </w:tcPr>
          <w:p w14:paraId="5B704942">
            <w:pPr>
              <w:spacing w:before="40" w:after="40"/>
              <w:jc w:val="center"/>
              <w:rPr>
                <w:rFonts w:cs="Arial"/>
                <w:sz w:val="20"/>
                <w:szCs w:val="20"/>
              </w:rPr>
            </w:pPr>
            <w:r>
              <w:rPr>
                <w:rFonts w:cs="Arial"/>
                <w:sz w:val="20"/>
                <w:szCs w:val="20"/>
              </w:rPr>
              <w:t>256</w:t>
            </w:r>
          </w:p>
        </w:tc>
        <w:tc>
          <w:tcPr>
            <w:tcW w:w="753" w:type="dxa"/>
            <w:tcBorders>
              <w:top w:val="double" w:color="auto" w:sz="4" w:space="0"/>
              <w:left w:val="single" w:color="auto" w:sz="4" w:space="0"/>
              <w:right w:val="single" w:color="auto" w:sz="4" w:space="0"/>
            </w:tcBorders>
            <w:vAlign w:val="center"/>
          </w:tcPr>
          <w:p w14:paraId="7DB7462F">
            <w:pPr>
              <w:spacing w:before="40" w:after="40"/>
              <w:jc w:val="center"/>
              <w:rPr>
                <w:rFonts w:cs="Arial"/>
                <w:sz w:val="20"/>
                <w:szCs w:val="20"/>
              </w:rPr>
            </w:pPr>
            <w:r>
              <w:rPr>
                <w:rFonts w:cs="Arial"/>
                <w:sz w:val="20"/>
                <w:szCs w:val="20"/>
              </w:rPr>
              <w:t>128</w:t>
            </w:r>
          </w:p>
        </w:tc>
        <w:tc>
          <w:tcPr>
            <w:tcW w:w="754" w:type="dxa"/>
            <w:tcBorders>
              <w:top w:val="double" w:color="auto" w:sz="4" w:space="0"/>
              <w:left w:val="single" w:color="auto" w:sz="4" w:space="0"/>
              <w:right w:val="double" w:color="auto" w:sz="4" w:space="0"/>
            </w:tcBorders>
            <w:vAlign w:val="center"/>
          </w:tcPr>
          <w:p w14:paraId="7B0C77C6">
            <w:pPr>
              <w:spacing w:before="40" w:after="40"/>
              <w:jc w:val="center"/>
              <w:rPr>
                <w:rFonts w:cs="Arial"/>
                <w:sz w:val="20"/>
                <w:szCs w:val="20"/>
              </w:rPr>
            </w:pPr>
            <w:r>
              <w:rPr>
                <w:sz w:val="20"/>
                <w:szCs w:val="20"/>
              </w:rPr>
              <w:t>0.50</w:t>
            </w:r>
          </w:p>
        </w:tc>
        <w:tc>
          <w:tcPr>
            <w:tcW w:w="753" w:type="dxa"/>
            <w:tcBorders>
              <w:top w:val="double" w:color="auto" w:sz="4" w:space="0"/>
              <w:left w:val="double" w:color="auto" w:sz="4" w:space="0"/>
            </w:tcBorders>
            <w:vAlign w:val="center"/>
          </w:tcPr>
          <w:p w14:paraId="285BED21">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69A4CAC0">
            <w:pPr>
              <w:spacing w:before="40" w:after="40"/>
              <w:jc w:val="center"/>
              <w:rPr>
                <w:sz w:val="20"/>
                <w:szCs w:val="20"/>
              </w:rPr>
            </w:pPr>
            <w:r>
              <w:rPr>
                <w:rFonts w:cs="Arial"/>
                <w:sz w:val="20"/>
                <w:szCs w:val="20"/>
              </w:rPr>
              <w:t>256</w:t>
            </w:r>
          </w:p>
        </w:tc>
        <w:tc>
          <w:tcPr>
            <w:tcW w:w="754" w:type="dxa"/>
            <w:tcBorders>
              <w:top w:val="double" w:color="auto" w:sz="4" w:space="0"/>
            </w:tcBorders>
            <w:vAlign w:val="center"/>
          </w:tcPr>
          <w:p w14:paraId="720317B1">
            <w:pPr>
              <w:spacing w:before="40" w:after="40"/>
              <w:jc w:val="center"/>
              <w:rPr>
                <w:sz w:val="20"/>
                <w:szCs w:val="20"/>
              </w:rPr>
            </w:pPr>
            <w:r>
              <w:rPr>
                <w:rFonts w:cs="Arial"/>
                <w:sz w:val="20"/>
                <w:szCs w:val="20"/>
              </w:rPr>
              <w:t>0.51</w:t>
            </w:r>
          </w:p>
        </w:tc>
      </w:tr>
      <w:tr w14:paraId="199D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right w:val="double" w:color="auto" w:sz="4" w:space="0"/>
            </w:tcBorders>
            <w:vAlign w:val="center"/>
          </w:tcPr>
          <w:p w14:paraId="482A4D41">
            <w:pPr>
              <w:spacing w:before="40" w:after="40"/>
              <w:jc w:val="center"/>
              <w:rPr>
                <w:sz w:val="20"/>
                <w:szCs w:val="20"/>
              </w:rPr>
            </w:pPr>
          </w:p>
        </w:tc>
        <w:tc>
          <w:tcPr>
            <w:tcW w:w="751" w:type="dxa"/>
            <w:tcBorders>
              <w:left w:val="double" w:color="auto" w:sz="4" w:space="0"/>
            </w:tcBorders>
            <w:vAlign w:val="center"/>
          </w:tcPr>
          <w:p w14:paraId="19E28750">
            <w:pPr>
              <w:spacing w:before="40" w:after="40"/>
              <w:jc w:val="center"/>
              <w:rPr>
                <w:sz w:val="20"/>
                <w:szCs w:val="20"/>
              </w:rPr>
            </w:pPr>
            <w:r>
              <w:rPr>
                <w:rFonts w:cs="Arial"/>
                <w:sz w:val="20"/>
                <w:szCs w:val="20"/>
              </w:rPr>
              <w:t>128</w:t>
            </w:r>
          </w:p>
        </w:tc>
        <w:tc>
          <w:tcPr>
            <w:tcW w:w="752" w:type="dxa"/>
            <w:vAlign w:val="center"/>
          </w:tcPr>
          <w:p w14:paraId="226DD398">
            <w:pPr>
              <w:spacing w:before="40" w:after="40"/>
              <w:jc w:val="center"/>
              <w:rPr>
                <w:sz w:val="20"/>
                <w:szCs w:val="20"/>
              </w:rPr>
            </w:pPr>
            <w:r>
              <w:rPr>
                <w:rFonts w:cs="Arial"/>
                <w:sz w:val="20"/>
                <w:szCs w:val="20"/>
              </w:rPr>
              <w:t>64</w:t>
            </w:r>
          </w:p>
        </w:tc>
        <w:tc>
          <w:tcPr>
            <w:tcW w:w="753" w:type="dxa"/>
            <w:tcBorders>
              <w:right w:val="double" w:color="auto" w:sz="4" w:space="0"/>
            </w:tcBorders>
            <w:vAlign w:val="center"/>
          </w:tcPr>
          <w:p w14:paraId="6A5B254A">
            <w:pPr>
              <w:spacing w:before="40" w:after="40"/>
              <w:jc w:val="center"/>
              <w:rPr>
                <w:sz w:val="20"/>
                <w:szCs w:val="20"/>
              </w:rPr>
            </w:pPr>
            <w:r>
              <w:rPr>
                <w:rFonts w:cs="Arial"/>
                <w:sz w:val="20"/>
                <w:szCs w:val="20"/>
              </w:rPr>
              <w:t>0.48</w:t>
            </w:r>
          </w:p>
        </w:tc>
        <w:tc>
          <w:tcPr>
            <w:tcW w:w="753" w:type="dxa"/>
            <w:tcBorders>
              <w:left w:val="double" w:color="auto" w:sz="4" w:space="0"/>
            </w:tcBorders>
            <w:vAlign w:val="center"/>
          </w:tcPr>
          <w:p w14:paraId="45B27521">
            <w:pPr>
              <w:spacing w:before="40" w:after="40"/>
              <w:jc w:val="center"/>
              <w:rPr>
                <w:sz w:val="20"/>
                <w:szCs w:val="20"/>
              </w:rPr>
            </w:pPr>
            <w:r>
              <w:rPr>
                <w:rFonts w:cs="Arial"/>
                <w:sz w:val="20"/>
                <w:szCs w:val="20"/>
              </w:rPr>
              <w:t>128</w:t>
            </w:r>
          </w:p>
        </w:tc>
        <w:tc>
          <w:tcPr>
            <w:tcW w:w="753" w:type="dxa"/>
            <w:vAlign w:val="center"/>
          </w:tcPr>
          <w:p w14:paraId="6A444662">
            <w:pPr>
              <w:spacing w:before="40" w:after="40"/>
              <w:jc w:val="center"/>
              <w:rPr>
                <w:sz w:val="20"/>
                <w:szCs w:val="20"/>
              </w:rPr>
            </w:pPr>
            <w:r>
              <w:rPr>
                <w:rFonts w:cs="Arial"/>
                <w:sz w:val="20"/>
                <w:szCs w:val="20"/>
              </w:rPr>
              <w:t>128</w:t>
            </w:r>
          </w:p>
        </w:tc>
        <w:tc>
          <w:tcPr>
            <w:tcW w:w="753" w:type="dxa"/>
            <w:tcBorders>
              <w:right w:val="double" w:color="auto" w:sz="4" w:space="0"/>
            </w:tcBorders>
            <w:vAlign w:val="center"/>
          </w:tcPr>
          <w:p w14:paraId="584CFDCF">
            <w:pPr>
              <w:spacing w:before="40" w:after="40"/>
              <w:jc w:val="center"/>
              <w:rPr>
                <w:sz w:val="20"/>
                <w:szCs w:val="20"/>
              </w:rPr>
            </w:pPr>
            <w:r>
              <w:rPr>
                <w:rFonts w:cs="Arial"/>
                <w:sz w:val="20"/>
                <w:szCs w:val="20"/>
              </w:rPr>
              <w:t>0.62</w:t>
            </w:r>
          </w:p>
        </w:tc>
        <w:tc>
          <w:tcPr>
            <w:tcW w:w="752" w:type="dxa"/>
            <w:tcBorders>
              <w:right w:val="single" w:color="auto" w:sz="4" w:space="0"/>
            </w:tcBorders>
            <w:vAlign w:val="center"/>
          </w:tcPr>
          <w:p w14:paraId="1CB1D0BB">
            <w:pPr>
              <w:spacing w:before="40" w:after="40"/>
              <w:jc w:val="center"/>
              <w:rPr>
                <w:sz w:val="20"/>
                <w:szCs w:val="20"/>
              </w:rPr>
            </w:pPr>
            <w:r>
              <w:rPr>
                <w:rFonts w:cs="Arial"/>
                <w:sz w:val="20"/>
                <w:szCs w:val="20"/>
              </w:rPr>
              <w:t>128</w:t>
            </w:r>
          </w:p>
        </w:tc>
        <w:tc>
          <w:tcPr>
            <w:tcW w:w="753" w:type="dxa"/>
            <w:tcBorders>
              <w:left w:val="single" w:color="auto" w:sz="4" w:space="0"/>
              <w:right w:val="single" w:color="auto" w:sz="4" w:space="0"/>
            </w:tcBorders>
            <w:vAlign w:val="center"/>
          </w:tcPr>
          <w:p w14:paraId="6CA16A4D">
            <w:pPr>
              <w:spacing w:before="40" w:after="40"/>
              <w:jc w:val="center"/>
              <w:rPr>
                <w:sz w:val="20"/>
                <w:szCs w:val="20"/>
              </w:rPr>
            </w:pPr>
            <w:r>
              <w:rPr>
                <w:rFonts w:cs="Arial"/>
                <w:sz w:val="20"/>
                <w:szCs w:val="20"/>
              </w:rPr>
              <w:t>128</w:t>
            </w:r>
          </w:p>
        </w:tc>
        <w:tc>
          <w:tcPr>
            <w:tcW w:w="754" w:type="dxa"/>
            <w:tcBorders>
              <w:left w:val="single" w:color="auto" w:sz="4" w:space="0"/>
              <w:right w:val="double" w:color="auto" w:sz="4" w:space="0"/>
            </w:tcBorders>
            <w:vAlign w:val="center"/>
          </w:tcPr>
          <w:p w14:paraId="0777FA0C">
            <w:pPr>
              <w:spacing w:before="40" w:after="40"/>
              <w:jc w:val="center"/>
              <w:rPr>
                <w:sz w:val="20"/>
                <w:szCs w:val="20"/>
              </w:rPr>
            </w:pPr>
            <w:r>
              <w:rPr>
                <w:sz w:val="20"/>
                <w:szCs w:val="20"/>
              </w:rPr>
              <w:t>0.60</w:t>
            </w:r>
          </w:p>
        </w:tc>
        <w:tc>
          <w:tcPr>
            <w:tcW w:w="753" w:type="dxa"/>
            <w:tcBorders>
              <w:left w:val="double" w:color="auto" w:sz="4" w:space="0"/>
            </w:tcBorders>
          </w:tcPr>
          <w:p w14:paraId="20C04B65">
            <w:pPr>
              <w:spacing w:before="40" w:after="40"/>
              <w:jc w:val="center"/>
              <w:rPr>
                <w:sz w:val="20"/>
                <w:szCs w:val="20"/>
              </w:rPr>
            </w:pPr>
          </w:p>
        </w:tc>
        <w:tc>
          <w:tcPr>
            <w:tcW w:w="753" w:type="dxa"/>
            <w:vAlign w:val="center"/>
          </w:tcPr>
          <w:p w14:paraId="0C191B8A">
            <w:pPr>
              <w:spacing w:before="40" w:after="40"/>
              <w:jc w:val="center"/>
              <w:rPr>
                <w:sz w:val="20"/>
                <w:szCs w:val="20"/>
              </w:rPr>
            </w:pPr>
          </w:p>
        </w:tc>
        <w:tc>
          <w:tcPr>
            <w:tcW w:w="754" w:type="dxa"/>
            <w:vAlign w:val="center"/>
          </w:tcPr>
          <w:p w14:paraId="3A42394D">
            <w:pPr>
              <w:spacing w:before="40" w:after="40"/>
              <w:jc w:val="center"/>
              <w:rPr>
                <w:sz w:val="20"/>
                <w:szCs w:val="20"/>
              </w:rPr>
            </w:pPr>
            <w:r>
              <w:rPr>
                <w:rFonts w:cs="Arial"/>
                <w:sz w:val="20"/>
                <w:szCs w:val="20"/>
              </w:rPr>
              <w:t> </w:t>
            </w:r>
          </w:p>
        </w:tc>
      </w:tr>
      <w:tr w14:paraId="719A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bottom w:val="double" w:color="auto" w:sz="4" w:space="0"/>
              <w:right w:val="double" w:color="auto" w:sz="4" w:space="0"/>
            </w:tcBorders>
            <w:vAlign w:val="center"/>
          </w:tcPr>
          <w:p w14:paraId="39FBDEAD">
            <w:pPr>
              <w:spacing w:before="40" w:after="40"/>
              <w:jc w:val="center"/>
              <w:rPr>
                <w:sz w:val="20"/>
                <w:szCs w:val="20"/>
              </w:rPr>
            </w:pPr>
          </w:p>
        </w:tc>
        <w:tc>
          <w:tcPr>
            <w:tcW w:w="751" w:type="dxa"/>
            <w:tcBorders>
              <w:left w:val="double" w:color="auto" w:sz="4" w:space="0"/>
              <w:bottom w:val="double" w:color="auto" w:sz="4" w:space="0"/>
            </w:tcBorders>
            <w:vAlign w:val="center"/>
          </w:tcPr>
          <w:p w14:paraId="0E9A662C">
            <w:pPr>
              <w:spacing w:before="40" w:after="40"/>
              <w:jc w:val="center"/>
              <w:rPr>
                <w:sz w:val="20"/>
                <w:szCs w:val="20"/>
              </w:rPr>
            </w:pPr>
            <w:r>
              <w:rPr>
                <w:rFonts w:cs="Arial"/>
                <w:sz w:val="20"/>
                <w:szCs w:val="20"/>
              </w:rPr>
              <w:t>64</w:t>
            </w:r>
          </w:p>
        </w:tc>
        <w:tc>
          <w:tcPr>
            <w:tcW w:w="752" w:type="dxa"/>
            <w:tcBorders>
              <w:bottom w:val="double" w:color="auto" w:sz="4" w:space="0"/>
            </w:tcBorders>
            <w:vAlign w:val="center"/>
          </w:tcPr>
          <w:p w14:paraId="544E58DC">
            <w:pPr>
              <w:spacing w:before="40" w:after="40"/>
              <w:jc w:val="center"/>
              <w:rPr>
                <w:sz w:val="20"/>
                <w:szCs w:val="20"/>
              </w:rPr>
            </w:pPr>
            <w:r>
              <w:rPr>
                <w:rFonts w:cs="Arial"/>
                <w:sz w:val="20"/>
                <w:szCs w:val="20"/>
              </w:rPr>
              <w:t>64</w:t>
            </w:r>
          </w:p>
        </w:tc>
        <w:tc>
          <w:tcPr>
            <w:tcW w:w="753" w:type="dxa"/>
            <w:tcBorders>
              <w:bottom w:val="double" w:color="auto" w:sz="4" w:space="0"/>
              <w:right w:val="double" w:color="auto" w:sz="4" w:space="0"/>
            </w:tcBorders>
            <w:vAlign w:val="center"/>
          </w:tcPr>
          <w:p w14:paraId="5CB3D692">
            <w:pPr>
              <w:spacing w:before="40" w:after="40"/>
              <w:jc w:val="center"/>
              <w:rPr>
                <w:sz w:val="20"/>
                <w:szCs w:val="20"/>
              </w:rPr>
            </w:pPr>
            <w:r>
              <w:rPr>
                <w:rFonts w:cs="Arial"/>
                <w:sz w:val="20"/>
                <w:szCs w:val="20"/>
              </w:rPr>
              <w:t>0.67</w:t>
            </w:r>
          </w:p>
        </w:tc>
        <w:tc>
          <w:tcPr>
            <w:tcW w:w="753" w:type="dxa"/>
            <w:tcBorders>
              <w:left w:val="double" w:color="auto" w:sz="4" w:space="0"/>
              <w:bottom w:val="double" w:color="auto" w:sz="4" w:space="0"/>
            </w:tcBorders>
            <w:vAlign w:val="center"/>
          </w:tcPr>
          <w:p w14:paraId="7A3B9965">
            <w:pPr>
              <w:spacing w:before="40" w:after="40"/>
              <w:jc w:val="center"/>
              <w:rPr>
                <w:sz w:val="20"/>
                <w:szCs w:val="20"/>
              </w:rPr>
            </w:pPr>
          </w:p>
        </w:tc>
        <w:tc>
          <w:tcPr>
            <w:tcW w:w="753" w:type="dxa"/>
            <w:tcBorders>
              <w:bottom w:val="double" w:color="auto" w:sz="4" w:space="0"/>
            </w:tcBorders>
            <w:vAlign w:val="center"/>
          </w:tcPr>
          <w:p w14:paraId="5B78A948">
            <w:pPr>
              <w:spacing w:before="40" w:after="40"/>
              <w:jc w:val="center"/>
              <w:rPr>
                <w:sz w:val="20"/>
                <w:szCs w:val="20"/>
              </w:rPr>
            </w:pPr>
          </w:p>
        </w:tc>
        <w:tc>
          <w:tcPr>
            <w:tcW w:w="753" w:type="dxa"/>
            <w:tcBorders>
              <w:bottom w:val="double" w:color="auto" w:sz="4" w:space="0"/>
              <w:right w:val="double" w:color="auto" w:sz="4" w:space="0"/>
            </w:tcBorders>
            <w:vAlign w:val="center"/>
          </w:tcPr>
          <w:p w14:paraId="3F031715">
            <w:pPr>
              <w:spacing w:before="40" w:after="40"/>
              <w:jc w:val="center"/>
              <w:rPr>
                <w:sz w:val="20"/>
                <w:szCs w:val="20"/>
              </w:rPr>
            </w:pPr>
            <w:r>
              <w:rPr>
                <w:rFonts w:cs="Arial"/>
                <w:sz w:val="20"/>
                <w:szCs w:val="20"/>
              </w:rPr>
              <w:t> </w:t>
            </w:r>
          </w:p>
        </w:tc>
        <w:tc>
          <w:tcPr>
            <w:tcW w:w="752" w:type="dxa"/>
            <w:tcBorders>
              <w:bottom w:val="double" w:color="auto" w:sz="4" w:space="0"/>
              <w:right w:val="single" w:color="auto" w:sz="4" w:space="0"/>
            </w:tcBorders>
            <w:vAlign w:val="center"/>
          </w:tcPr>
          <w:p w14:paraId="749957FE">
            <w:pPr>
              <w:spacing w:before="40" w:after="40"/>
              <w:jc w:val="center"/>
              <w:rPr>
                <w:sz w:val="20"/>
                <w:szCs w:val="20"/>
              </w:rPr>
            </w:pPr>
          </w:p>
        </w:tc>
        <w:tc>
          <w:tcPr>
            <w:tcW w:w="753" w:type="dxa"/>
            <w:tcBorders>
              <w:left w:val="single" w:color="auto" w:sz="4" w:space="0"/>
              <w:bottom w:val="double" w:color="auto" w:sz="4" w:space="0"/>
              <w:right w:val="single" w:color="auto" w:sz="4" w:space="0"/>
            </w:tcBorders>
            <w:vAlign w:val="center"/>
          </w:tcPr>
          <w:p w14:paraId="39D1A389">
            <w:pPr>
              <w:spacing w:before="40" w:after="40"/>
              <w:jc w:val="center"/>
              <w:rPr>
                <w:sz w:val="20"/>
                <w:szCs w:val="20"/>
              </w:rPr>
            </w:pPr>
          </w:p>
        </w:tc>
        <w:tc>
          <w:tcPr>
            <w:tcW w:w="754" w:type="dxa"/>
            <w:tcBorders>
              <w:left w:val="single" w:color="auto" w:sz="4" w:space="0"/>
              <w:bottom w:val="double" w:color="auto" w:sz="4" w:space="0"/>
              <w:right w:val="double" w:color="auto" w:sz="4" w:space="0"/>
            </w:tcBorders>
            <w:vAlign w:val="center"/>
          </w:tcPr>
          <w:p w14:paraId="3A7B86C7">
            <w:pPr>
              <w:spacing w:before="40" w:after="40"/>
              <w:jc w:val="center"/>
              <w:rPr>
                <w:sz w:val="20"/>
                <w:szCs w:val="20"/>
              </w:rPr>
            </w:pPr>
            <w:r>
              <w:rPr>
                <w:rFonts w:cs="Arial"/>
                <w:sz w:val="20"/>
                <w:szCs w:val="20"/>
              </w:rPr>
              <w:t> </w:t>
            </w:r>
          </w:p>
        </w:tc>
        <w:tc>
          <w:tcPr>
            <w:tcW w:w="753" w:type="dxa"/>
            <w:tcBorders>
              <w:left w:val="double" w:color="auto" w:sz="4" w:space="0"/>
              <w:bottom w:val="double" w:color="auto" w:sz="4" w:space="0"/>
            </w:tcBorders>
            <w:vAlign w:val="center"/>
          </w:tcPr>
          <w:p w14:paraId="2FEE4920">
            <w:pPr>
              <w:spacing w:before="40" w:after="40"/>
              <w:jc w:val="center"/>
              <w:rPr>
                <w:sz w:val="20"/>
                <w:szCs w:val="20"/>
              </w:rPr>
            </w:pPr>
          </w:p>
        </w:tc>
        <w:tc>
          <w:tcPr>
            <w:tcW w:w="753" w:type="dxa"/>
            <w:tcBorders>
              <w:bottom w:val="double" w:color="auto" w:sz="4" w:space="0"/>
            </w:tcBorders>
            <w:vAlign w:val="center"/>
          </w:tcPr>
          <w:p w14:paraId="63781961">
            <w:pPr>
              <w:spacing w:before="40" w:after="40"/>
              <w:jc w:val="center"/>
              <w:rPr>
                <w:sz w:val="20"/>
                <w:szCs w:val="20"/>
              </w:rPr>
            </w:pPr>
          </w:p>
        </w:tc>
        <w:tc>
          <w:tcPr>
            <w:tcW w:w="754" w:type="dxa"/>
            <w:tcBorders>
              <w:bottom w:val="double" w:color="auto" w:sz="4" w:space="0"/>
            </w:tcBorders>
            <w:vAlign w:val="center"/>
          </w:tcPr>
          <w:p w14:paraId="11728664">
            <w:pPr>
              <w:spacing w:before="40" w:after="40"/>
              <w:jc w:val="center"/>
              <w:rPr>
                <w:sz w:val="20"/>
                <w:szCs w:val="20"/>
              </w:rPr>
            </w:pPr>
            <w:r>
              <w:rPr>
                <w:rFonts w:cs="Arial"/>
                <w:sz w:val="20"/>
                <w:szCs w:val="20"/>
              </w:rPr>
              <w:t> </w:t>
            </w:r>
          </w:p>
        </w:tc>
      </w:tr>
      <w:tr w14:paraId="75FE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restart"/>
            <w:tcBorders>
              <w:top w:val="double" w:color="auto" w:sz="4" w:space="0"/>
              <w:right w:val="double" w:color="auto" w:sz="4" w:space="0"/>
            </w:tcBorders>
            <w:vAlign w:val="center"/>
          </w:tcPr>
          <w:p w14:paraId="4CD099B1">
            <w:pPr>
              <w:spacing w:before="40" w:after="40"/>
              <w:jc w:val="center"/>
              <w:rPr>
                <w:sz w:val="20"/>
                <w:szCs w:val="20"/>
              </w:rPr>
            </w:pPr>
            <w:r>
              <w:rPr>
                <w:sz w:val="20"/>
                <w:szCs w:val="20"/>
              </w:rPr>
              <w:t>128</w:t>
            </w:r>
            <w:r>
              <w:rPr>
                <w:rFonts w:cs="Arial"/>
                <w:sz w:val="20"/>
                <w:szCs w:val="20"/>
              </w:rPr>
              <w:t>×</w:t>
            </w:r>
            <w:r>
              <w:rPr>
                <w:sz w:val="20"/>
                <w:szCs w:val="20"/>
              </w:rPr>
              <w:t>18</w:t>
            </w:r>
          </w:p>
        </w:tc>
        <w:tc>
          <w:tcPr>
            <w:tcW w:w="751" w:type="dxa"/>
            <w:tcBorders>
              <w:top w:val="double" w:color="auto" w:sz="4" w:space="0"/>
              <w:left w:val="double" w:color="auto" w:sz="4" w:space="0"/>
            </w:tcBorders>
            <w:vAlign w:val="center"/>
          </w:tcPr>
          <w:p w14:paraId="79A50AB7">
            <w:pPr>
              <w:spacing w:before="40" w:after="40"/>
              <w:jc w:val="center"/>
              <w:rPr>
                <w:sz w:val="20"/>
                <w:szCs w:val="20"/>
              </w:rPr>
            </w:pPr>
            <w:r>
              <w:rPr>
                <w:rFonts w:cs="Arial"/>
                <w:sz w:val="20"/>
                <w:szCs w:val="20"/>
              </w:rPr>
              <w:t>256</w:t>
            </w:r>
          </w:p>
        </w:tc>
        <w:tc>
          <w:tcPr>
            <w:tcW w:w="752" w:type="dxa"/>
            <w:tcBorders>
              <w:top w:val="double" w:color="auto" w:sz="4" w:space="0"/>
            </w:tcBorders>
            <w:vAlign w:val="center"/>
          </w:tcPr>
          <w:p w14:paraId="4B991281">
            <w:pPr>
              <w:spacing w:before="40" w:after="40"/>
              <w:jc w:val="center"/>
              <w:rPr>
                <w:sz w:val="20"/>
                <w:szCs w:val="20"/>
              </w:rPr>
            </w:pPr>
            <w:r>
              <w:rPr>
                <w:rFonts w:cs="Arial"/>
                <w:sz w:val="20"/>
                <w:szCs w:val="20"/>
              </w:rPr>
              <w:t>32</w:t>
            </w:r>
          </w:p>
        </w:tc>
        <w:tc>
          <w:tcPr>
            <w:tcW w:w="753" w:type="dxa"/>
            <w:tcBorders>
              <w:top w:val="double" w:color="auto" w:sz="4" w:space="0"/>
              <w:right w:val="double" w:color="auto" w:sz="4" w:space="0"/>
            </w:tcBorders>
            <w:vAlign w:val="center"/>
          </w:tcPr>
          <w:p w14:paraId="4A67BACD">
            <w:pPr>
              <w:spacing w:before="40" w:after="40"/>
              <w:jc w:val="center"/>
              <w:rPr>
                <w:sz w:val="20"/>
                <w:szCs w:val="20"/>
              </w:rPr>
            </w:pPr>
            <w:r>
              <w:rPr>
                <w:rFonts w:cs="Arial"/>
                <w:sz w:val="20"/>
                <w:szCs w:val="20"/>
              </w:rPr>
              <w:t>0.54</w:t>
            </w:r>
          </w:p>
        </w:tc>
        <w:tc>
          <w:tcPr>
            <w:tcW w:w="753" w:type="dxa"/>
            <w:tcBorders>
              <w:top w:val="double" w:color="auto" w:sz="4" w:space="0"/>
              <w:left w:val="double" w:color="auto" w:sz="4" w:space="0"/>
            </w:tcBorders>
            <w:vAlign w:val="center"/>
          </w:tcPr>
          <w:p w14:paraId="08761F72">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36A10B24">
            <w:pPr>
              <w:spacing w:before="40" w:after="40"/>
              <w:jc w:val="center"/>
              <w:rPr>
                <w:sz w:val="20"/>
                <w:szCs w:val="20"/>
              </w:rPr>
            </w:pPr>
            <w:r>
              <w:rPr>
                <w:rFonts w:cs="Arial"/>
                <w:sz w:val="20"/>
                <w:szCs w:val="20"/>
              </w:rPr>
              <w:t>64</w:t>
            </w:r>
          </w:p>
        </w:tc>
        <w:tc>
          <w:tcPr>
            <w:tcW w:w="753" w:type="dxa"/>
            <w:tcBorders>
              <w:top w:val="double" w:color="auto" w:sz="4" w:space="0"/>
              <w:right w:val="double" w:color="auto" w:sz="4" w:space="0"/>
            </w:tcBorders>
            <w:vAlign w:val="center"/>
          </w:tcPr>
          <w:p w14:paraId="5B353CCB">
            <w:pPr>
              <w:spacing w:before="40" w:after="40"/>
              <w:jc w:val="center"/>
              <w:rPr>
                <w:sz w:val="20"/>
                <w:szCs w:val="20"/>
              </w:rPr>
            </w:pPr>
            <w:r>
              <w:rPr>
                <w:rFonts w:cs="Arial"/>
                <w:sz w:val="20"/>
                <w:szCs w:val="20"/>
              </w:rPr>
              <w:t>0.54</w:t>
            </w:r>
          </w:p>
        </w:tc>
        <w:tc>
          <w:tcPr>
            <w:tcW w:w="752" w:type="dxa"/>
            <w:tcBorders>
              <w:top w:val="double" w:color="auto" w:sz="4" w:space="0"/>
              <w:right w:val="single" w:color="auto" w:sz="4" w:space="0"/>
            </w:tcBorders>
            <w:vAlign w:val="center"/>
          </w:tcPr>
          <w:p w14:paraId="246A13FC">
            <w:pPr>
              <w:spacing w:before="40" w:after="40"/>
              <w:jc w:val="center"/>
              <w:rPr>
                <w:rFonts w:cs="Arial"/>
                <w:sz w:val="20"/>
                <w:szCs w:val="20"/>
              </w:rPr>
            </w:pPr>
            <w:r>
              <w:rPr>
                <w:rFonts w:cs="Arial"/>
                <w:sz w:val="20"/>
                <w:szCs w:val="20"/>
              </w:rPr>
              <w:t>256</w:t>
            </w:r>
          </w:p>
        </w:tc>
        <w:tc>
          <w:tcPr>
            <w:tcW w:w="753" w:type="dxa"/>
            <w:tcBorders>
              <w:top w:val="double" w:color="auto" w:sz="4" w:space="0"/>
              <w:left w:val="single" w:color="auto" w:sz="4" w:space="0"/>
              <w:right w:val="single" w:color="auto" w:sz="4" w:space="0"/>
            </w:tcBorders>
            <w:vAlign w:val="center"/>
          </w:tcPr>
          <w:p w14:paraId="148D7507">
            <w:pPr>
              <w:spacing w:before="40" w:after="40"/>
              <w:jc w:val="center"/>
              <w:rPr>
                <w:rFonts w:cs="Arial"/>
                <w:sz w:val="20"/>
                <w:szCs w:val="20"/>
              </w:rPr>
            </w:pPr>
            <w:r>
              <w:rPr>
                <w:rFonts w:cs="Arial"/>
                <w:sz w:val="20"/>
                <w:szCs w:val="20"/>
              </w:rPr>
              <w:t>64</w:t>
            </w:r>
          </w:p>
        </w:tc>
        <w:tc>
          <w:tcPr>
            <w:tcW w:w="754" w:type="dxa"/>
            <w:tcBorders>
              <w:top w:val="double" w:color="auto" w:sz="4" w:space="0"/>
              <w:left w:val="single" w:color="auto" w:sz="4" w:space="0"/>
              <w:right w:val="double" w:color="auto" w:sz="4" w:space="0"/>
            </w:tcBorders>
            <w:vAlign w:val="center"/>
          </w:tcPr>
          <w:p w14:paraId="11CF5627">
            <w:pPr>
              <w:spacing w:before="40" w:after="40"/>
              <w:jc w:val="center"/>
              <w:rPr>
                <w:rFonts w:cs="Arial"/>
                <w:sz w:val="20"/>
                <w:szCs w:val="20"/>
              </w:rPr>
            </w:pPr>
            <w:r>
              <w:rPr>
                <w:sz w:val="20"/>
                <w:szCs w:val="20"/>
              </w:rPr>
              <w:t>0.57</w:t>
            </w:r>
          </w:p>
        </w:tc>
        <w:tc>
          <w:tcPr>
            <w:tcW w:w="753" w:type="dxa"/>
            <w:tcBorders>
              <w:top w:val="double" w:color="auto" w:sz="4" w:space="0"/>
              <w:left w:val="double" w:color="auto" w:sz="4" w:space="0"/>
            </w:tcBorders>
            <w:vAlign w:val="center"/>
          </w:tcPr>
          <w:p w14:paraId="5A28CA04">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69DAEFF7">
            <w:pPr>
              <w:spacing w:before="40" w:after="40"/>
              <w:jc w:val="center"/>
              <w:rPr>
                <w:sz w:val="20"/>
                <w:szCs w:val="20"/>
              </w:rPr>
            </w:pPr>
            <w:r>
              <w:rPr>
                <w:rFonts w:cs="Arial"/>
                <w:sz w:val="20"/>
                <w:szCs w:val="20"/>
              </w:rPr>
              <w:t>128</w:t>
            </w:r>
          </w:p>
        </w:tc>
        <w:tc>
          <w:tcPr>
            <w:tcW w:w="754" w:type="dxa"/>
            <w:tcBorders>
              <w:top w:val="double" w:color="auto" w:sz="4" w:space="0"/>
            </w:tcBorders>
            <w:vAlign w:val="center"/>
          </w:tcPr>
          <w:p w14:paraId="0F34C1E2">
            <w:pPr>
              <w:spacing w:before="40" w:after="40"/>
              <w:jc w:val="center"/>
              <w:rPr>
                <w:sz w:val="20"/>
                <w:szCs w:val="20"/>
              </w:rPr>
            </w:pPr>
            <w:r>
              <w:rPr>
                <w:rFonts w:cs="Arial"/>
                <w:sz w:val="20"/>
                <w:szCs w:val="20"/>
              </w:rPr>
              <w:t>0.52</w:t>
            </w:r>
          </w:p>
        </w:tc>
      </w:tr>
      <w:tr w14:paraId="2E06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right w:val="double" w:color="auto" w:sz="4" w:space="0"/>
            </w:tcBorders>
            <w:vAlign w:val="center"/>
          </w:tcPr>
          <w:p w14:paraId="45068640">
            <w:pPr>
              <w:spacing w:before="40" w:after="40"/>
              <w:jc w:val="center"/>
              <w:rPr>
                <w:sz w:val="20"/>
                <w:szCs w:val="20"/>
              </w:rPr>
            </w:pPr>
          </w:p>
        </w:tc>
        <w:tc>
          <w:tcPr>
            <w:tcW w:w="751" w:type="dxa"/>
            <w:tcBorders>
              <w:left w:val="double" w:color="auto" w:sz="4" w:space="0"/>
            </w:tcBorders>
            <w:vAlign w:val="center"/>
          </w:tcPr>
          <w:p w14:paraId="26591D4B">
            <w:pPr>
              <w:spacing w:before="40" w:after="40"/>
              <w:jc w:val="center"/>
              <w:rPr>
                <w:sz w:val="20"/>
                <w:szCs w:val="20"/>
              </w:rPr>
            </w:pPr>
            <w:r>
              <w:rPr>
                <w:rFonts w:cs="Arial"/>
                <w:sz w:val="20"/>
                <w:szCs w:val="20"/>
              </w:rPr>
              <w:t>128</w:t>
            </w:r>
          </w:p>
        </w:tc>
        <w:tc>
          <w:tcPr>
            <w:tcW w:w="752" w:type="dxa"/>
            <w:vAlign w:val="center"/>
          </w:tcPr>
          <w:p w14:paraId="43C58A22">
            <w:pPr>
              <w:spacing w:before="40" w:after="40"/>
              <w:jc w:val="center"/>
              <w:rPr>
                <w:sz w:val="20"/>
                <w:szCs w:val="20"/>
              </w:rPr>
            </w:pPr>
            <w:r>
              <w:rPr>
                <w:rFonts w:cs="Arial"/>
                <w:sz w:val="20"/>
                <w:szCs w:val="20"/>
              </w:rPr>
              <w:t>32</w:t>
            </w:r>
          </w:p>
        </w:tc>
        <w:tc>
          <w:tcPr>
            <w:tcW w:w="753" w:type="dxa"/>
            <w:tcBorders>
              <w:right w:val="double" w:color="auto" w:sz="4" w:space="0"/>
            </w:tcBorders>
            <w:vAlign w:val="center"/>
          </w:tcPr>
          <w:p w14:paraId="0C51038F">
            <w:pPr>
              <w:spacing w:before="40" w:after="40"/>
              <w:jc w:val="center"/>
              <w:rPr>
                <w:sz w:val="20"/>
                <w:szCs w:val="20"/>
              </w:rPr>
            </w:pPr>
            <w:r>
              <w:rPr>
                <w:rFonts w:cs="Arial"/>
                <w:sz w:val="20"/>
                <w:szCs w:val="20"/>
              </w:rPr>
              <w:t>0.53</w:t>
            </w:r>
          </w:p>
        </w:tc>
        <w:tc>
          <w:tcPr>
            <w:tcW w:w="753" w:type="dxa"/>
            <w:tcBorders>
              <w:left w:val="double" w:color="auto" w:sz="4" w:space="0"/>
            </w:tcBorders>
            <w:vAlign w:val="center"/>
          </w:tcPr>
          <w:p w14:paraId="1B024A2F">
            <w:pPr>
              <w:spacing w:before="40" w:after="40"/>
              <w:jc w:val="center"/>
              <w:rPr>
                <w:sz w:val="20"/>
                <w:szCs w:val="20"/>
              </w:rPr>
            </w:pPr>
            <w:r>
              <w:rPr>
                <w:rFonts w:cs="Arial"/>
                <w:sz w:val="20"/>
                <w:szCs w:val="20"/>
              </w:rPr>
              <w:t>128</w:t>
            </w:r>
          </w:p>
        </w:tc>
        <w:tc>
          <w:tcPr>
            <w:tcW w:w="753" w:type="dxa"/>
            <w:vAlign w:val="center"/>
          </w:tcPr>
          <w:p w14:paraId="41E4C09F">
            <w:pPr>
              <w:spacing w:before="40" w:after="40"/>
              <w:jc w:val="center"/>
              <w:rPr>
                <w:sz w:val="20"/>
                <w:szCs w:val="20"/>
              </w:rPr>
            </w:pPr>
            <w:r>
              <w:rPr>
                <w:rFonts w:cs="Arial"/>
                <w:sz w:val="20"/>
                <w:szCs w:val="20"/>
              </w:rPr>
              <w:t>64</w:t>
            </w:r>
          </w:p>
        </w:tc>
        <w:tc>
          <w:tcPr>
            <w:tcW w:w="753" w:type="dxa"/>
            <w:tcBorders>
              <w:right w:val="double" w:color="auto" w:sz="4" w:space="0"/>
            </w:tcBorders>
            <w:vAlign w:val="center"/>
          </w:tcPr>
          <w:p w14:paraId="7FBE5B8A">
            <w:pPr>
              <w:spacing w:before="40" w:after="40"/>
              <w:jc w:val="center"/>
              <w:rPr>
                <w:sz w:val="20"/>
                <w:szCs w:val="20"/>
              </w:rPr>
            </w:pPr>
            <w:r>
              <w:rPr>
                <w:rFonts w:cs="Arial"/>
                <w:sz w:val="20"/>
                <w:szCs w:val="20"/>
              </w:rPr>
              <w:t>0.62</w:t>
            </w:r>
          </w:p>
        </w:tc>
        <w:tc>
          <w:tcPr>
            <w:tcW w:w="752" w:type="dxa"/>
            <w:tcBorders>
              <w:right w:val="single" w:color="auto" w:sz="4" w:space="0"/>
            </w:tcBorders>
            <w:vAlign w:val="center"/>
          </w:tcPr>
          <w:p w14:paraId="44CABDC9">
            <w:pPr>
              <w:spacing w:before="40" w:after="40"/>
              <w:jc w:val="center"/>
              <w:rPr>
                <w:rFonts w:cs="Arial"/>
                <w:sz w:val="20"/>
                <w:szCs w:val="20"/>
              </w:rPr>
            </w:pPr>
            <w:r>
              <w:rPr>
                <w:rFonts w:cs="Arial"/>
                <w:sz w:val="20"/>
                <w:szCs w:val="20"/>
              </w:rPr>
              <w:t>128</w:t>
            </w:r>
          </w:p>
        </w:tc>
        <w:tc>
          <w:tcPr>
            <w:tcW w:w="753" w:type="dxa"/>
            <w:tcBorders>
              <w:left w:val="single" w:color="auto" w:sz="4" w:space="0"/>
              <w:right w:val="single" w:color="auto" w:sz="4" w:space="0"/>
            </w:tcBorders>
            <w:vAlign w:val="center"/>
          </w:tcPr>
          <w:p w14:paraId="30DF9D37">
            <w:pPr>
              <w:spacing w:before="40" w:after="40"/>
              <w:jc w:val="center"/>
              <w:rPr>
                <w:rFonts w:cs="Arial"/>
                <w:sz w:val="20"/>
                <w:szCs w:val="20"/>
              </w:rPr>
            </w:pPr>
            <w:r>
              <w:rPr>
                <w:rFonts w:cs="Arial"/>
                <w:sz w:val="20"/>
                <w:szCs w:val="20"/>
              </w:rPr>
              <w:t>64</w:t>
            </w:r>
          </w:p>
        </w:tc>
        <w:tc>
          <w:tcPr>
            <w:tcW w:w="754" w:type="dxa"/>
            <w:tcBorders>
              <w:left w:val="single" w:color="auto" w:sz="4" w:space="0"/>
              <w:right w:val="double" w:color="auto" w:sz="4" w:space="0"/>
            </w:tcBorders>
            <w:vAlign w:val="center"/>
          </w:tcPr>
          <w:p w14:paraId="0D9F0E9E">
            <w:pPr>
              <w:spacing w:before="40" w:after="40"/>
              <w:jc w:val="center"/>
              <w:rPr>
                <w:rFonts w:cs="Arial"/>
                <w:sz w:val="20"/>
                <w:szCs w:val="20"/>
              </w:rPr>
            </w:pPr>
            <w:r>
              <w:rPr>
                <w:sz w:val="20"/>
                <w:szCs w:val="20"/>
              </w:rPr>
              <w:t>0.63</w:t>
            </w:r>
          </w:p>
        </w:tc>
        <w:tc>
          <w:tcPr>
            <w:tcW w:w="753" w:type="dxa"/>
            <w:tcBorders>
              <w:left w:val="double" w:color="auto" w:sz="4" w:space="0"/>
            </w:tcBorders>
            <w:vAlign w:val="center"/>
          </w:tcPr>
          <w:p w14:paraId="2A006964">
            <w:pPr>
              <w:spacing w:before="40" w:after="40"/>
              <w:jc w:val="center"/>
              <w:rPr>
                <w:sz w:val="20"/>
                <w:szCs w:val="20"/>
              </w:rPr>
            </w:pPr>
            <w:r>
              <w:rPr>
                <w:rFonts w:cs="Arial"/>
                <w:sz w:val="20"/>
                <w:szCs w:val="20"/>
              </w:rPr>
              <w:t>128</w:t>
            </w:r>
          </w:p>
        </w:tc>
        <w:tc>
          <w:tcPr>
            <w:tcW w:w="753" w:type="dxa"/>
            <w:vAlign w:val="center"/>
          </w:tcPr>
          <w:p w14:paraId="6CD7D853">
            <w:pPr>
              <w:spacing w:before="40" w:after="40"/>
              <w:jc w:val="center"/>
              <w:rPr>
                <w:sz w:val="20"/>
                <w:szCs w:val="20"/>
              </w:rPr>
            </w:pPr>
            <w:r>
              <w:rPr>
                <w:rFonts w:cs="Arial"/>
                <w:sz w:val="20"/>
                <w:szCs w:val="20"/>
              </w:rPr>
              <w:t>128</w:t>
            </w:r>
          </w:p>
        </w:tc>
        <w:tc>
          <w:tcPr>
            <w:tcW w:w="754" w:type="dxa"/>
            <w:vAlign w:val="center"/>
          </w:tcPr>
          <w:p w14:paraId="2F92CE6E">
            <w:pPr>
              <w:spacing w:before="40" w:after="40"/>
              <w:jc w:val="center"/>
              <w:rPr>
                <w:sz w:val="20"/>
                <w:szCs w:val="20"/>
              </w:rPr>
            </w:pPr>
            <w:r>
              <w:rPr>
                <w:rFonts w:cs="Arial"/>
                <w:sz w:val="20"/>
                <w:szCs w:val="20"/>
              </w:rPr>
              <w:t>0.56</w:t>
            </w:r>
          </w:p>
        </w:tc>
      </w:tr>
      <w:tr w14:paraId="57265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right w:val="double" w:color="auto" w:sz="4" w:space="0"/>
            </w:tcBorders>
            <w:vAlign w:val="center"/>
          </w:tcPr>
          <w:p w14:paraId="3D74ED06">
            <w:pPr>
              <w:spacing w:before="40" w:after="40"/>
              <w:jc w:val="center"/>
              <w:rPr>
                <w:sz w:val="20"/>
                <w:szCs w:val="20"/>
              </w:rPr>
            </w:pPr>
          </w:p>
        </w:tc>
        <w:tc>
          <w:tcPr>
            <w:tcW w:w="751" w:type="dxa"/>
            <w:tcBorders>
              <w:left w:val="double" w:color="auto" w:sz="4" w:space="0"/>
            </w:tcBorders>
            <w:vAlign w:val="center"/>
          </w:tcPr>
          <w:p w14:paraId="49B5E11C">
            <w:pPr>
              <w:spacing w:before="40" w:after="40"/>
              <w:jc w:val="center"/>
              <w:rPr>
                <w:sz w:val="20"/>
                <w:szCs w:val="20"/>
              </w:rPr>
            </w:pPr>
            <w:r>
              <w:rPr>
                <w:rFonts w:cs="Arial"/>
                <w:sz w:val="20"/>
                <w:szCs w:val="20"/>
              </w:rPr>
              <w:t>64</w:t>
            </w:r>
          </w:p>
        </w:tc>
        <w:tc>
          <w:tcPr>
            <w:tcW w:w="752" w:type="dxa"/>
            <w:vAlign w:val="center"/>
          </w:tcPr>
          <w:p w14:paraId="6189D885">
            <w:pPr>
              <w:spacing w:before="40" w:after="40"/>
              <w:jc w:val="center"/>
              <w:rPr>
                <w:sz w:val="20"/>
                <w:szCs w:val="20"/>
              </w:rPr>
            </w:pPr>
            <w:r>
              <w:rPr>
                <w:rFonts w:cs="Arial"/>
                <w:sz w:val="20"/>
                <w:szCs w:val="20"/>
              </w:rPr>
              <w:t>32</w:t>
            </w:r>
          </w:p>
        </w:tc>
        <w:tc>
          <w:tcPr>
            <w:tcW w:w="753" w:type="dxa"/>
            <w:tcBorders>
              <w:right w:val="double" w:color="auto" w:sz="4" w:space="0"/>
            </w:tcBorders>
            <w:vAlign w:val="center"/>
          </w:tcPr>
          <w:p w14:paraId="00444EFF">
            <w:pPr>
              <w:spacing w:before="40" w:after="40"/>
              <w:jc w:val="center"/>
              <w:rPr>
                <w:sz w:val="20"/>
                <w:szCs w:val="20"/>
              </w:rPr>
            </w:pPr>
            <w:r>
              <w:rPr>
                <w:rFonts w:cs="Arial"/>
                <w:sz w:val="20"/>
                <w:szCs w:val="20"/>
              </w:rPr>
              <w:t>0.67</w:t>
            </w:r>
          </w:p>
        </w:tc>
        <w:tc>
          <w:tcPr>
            <w:tcW w:w="753" w:type="dxa"/>
            <w:tcBorders>
              <w:left w:val="double" w:color="auto" w:sz="4" w:space="0"/>
            </w:tcBorders>
            <w:vAlign w:val="center"/>
          </w:tcPr>
          <w:p w14:paraId="57973698">
            <w:pPr>
              <w:spacing w:before="40" w:after="40"/>
              <w:jc w:val="center"/>
              <w:rPr>
                <w:sz w:val="20"/>
                <w:szCs w:val="20"/>
              </w:rPr>
            </w:pPr>
            <w:r>
              <w:rPr>
                <w:rFonts w:cs="Arial"/>
                <w:sz w:val="20"/>
                <w:szCs w:val="20"/>
              </w:rPr>
              <w:t>64</w:t>
            </w:r>
          </w:p>
        </w:tc>
        <w:tc>
          <w:tcPr>
            <w:tcW w:w="753" w:type="dxa"/>
            <w:vAlign w:val="center"/>
          </w:tcPr>
          <w:p w14:paraId="5F165AA2">
            <w:pPr>
              <w:spacing w:before="40" w:after="40"/>
              <w:jc w:val="center"/>
              <w:rPr>
                <w:sz w:val="20"/>
                <w:szCs w:val="20"/>
              </w:rPr>
            </w:pPr>
            <w:r>
              <w:rPr>
                <w:rFonts w:cs="Arial"/>
                <w:sz w:val="20"/>
                <w:szCs w:val="20"/>
              </w:rPr>
              <w:t>64</w:t>
            </w:r>
          </w:p>
        </w:tc>
        <w:tc>
          <w:tcPr>
            <w:tcW w:w="753" w:type="dxa"/>
            <w:tcBorders>
              <w:right w:val="double" w:color="auto" w:sz="4" w:space="0"/>
            </w:tcBorders>
            <w:vAlign w:val="center"/>
          </w:tcPr>
          <w:p w14:paraId="779FD2EA">
            <w:pPr>
              <w:spacing w:before="40" w:after="40"/>
              <w:jc w:val="center"/>
              <w:rPr>
                <w:sz w:val="20"/>
                <w:szCs w:val="20"/>
              </w:rPr>
            </w:pPr>
            <w:r>
              <w:rPr>
                <w:rFonts w:cs="Arial"/>
                <w:sz w:val="20"/>
                <w:szCs w:val="20"/>
              </w:rPr>
              <w:t>0.83</w:t>
            </w:r>
          </w:p>
        </w:tc>
        <w:tc>
          <w:tcPr>
            <w:tcW w:w="752" w:type="dxa"/>
            <w:tcBorders>
              <w:right w:val="single" w:color="auto" w:sz="4" w:space="0"/>
            </w:tcBorders>
            <w:vAlign w:val="center"/>
          </w:tcPr>
          <w:p w14:paraId="496B4196">
            <w:pPr>
              <w:spacing w:before="40" w:after="40"/>
              <w:jc w:val="center"/>
              <w:rPr>
                <w:sz w:val="20"/>
                <w:szCs w:val="20"/>
              </w:rPr>
            </w:pPr>
            <w:r>
              <w:rPr>
                <w:rFonts w:cs="Arial"/>
                <w:sz w:val="20"/>
                <w:szCs w:val="20"/>
              </w:rPr>
              <w:t>64</w:t>
            </w:r>
          </w:p>
        </w:tc>
        <w:tc>
          <w:tcPr>
            <w:tcW w:w="753" w:type="dxa"/>
            <w:tcBorders>
              <w:left w:val="single" w:color="auto" w:sz="4" w:space="0"/>
              <w:right w:val="single" w:color="auto" w:sz="4" w:space="0"/>
            </w:tcBorders>
            <w:vAlign w:val="center"/>
          </w:tcPr>
          <w:p w14:paraId="32BFE498">
            <w:pPr>
              <w:spacing w:before="40" w:after="40"/>
              <w:jc w:val="center"/>
              <w:rPr>
                <w:sz w:val="20"/>
                <w:szCs w:val="20"/>
              </w:rPr>
            </w:pPr>
            <w:r>
              <w:rPr>
                <w:rFonts w:cs="Arial"/>
                <w:sz w:val="20"/>
                <w:szCs w:val="20"/>
              </w:rPr>
              <w:t>64</w:t>
            </w:r>
          </w:p>
        </w:tc>
        <w:tc>
          <w:tcPr>
            <w:tcW w:w="754" w:type="dxa"/>
            <w:tcBorders>
              <w:left w:val="single" w:color="auto" w:sz="4" w:space="0"/>
              <w:right w:val="double" w:color="auto" w:sz="4" w:space="0"/>
            </w:tcBorders>
            <w:vAlign w:val="center"/>
          </w:tcPr>
          <w:p w14:paraId="06B1718A">
            <w:pPr>
              <w:spacing w:before="40" w:after="40"/>
              <w:jc w:val="center"/>
              <w:rPr>
                <w:sz w:val="20"/>
                <w:szCs w:val="20"/>
              </w:rPr>
            </w:pPr>
            <w:r>
              <w:rPr>
                <w:sz w:val="20"/>
                <w:szCs w:val="20"/>
              </w:rPr>
              <w:t>0.88</w:t>
            </w:r>
          </w:p>
        </w:tc>
        <w:tc>
          <w:tcPr>
            <w:tcW w:w="753" w:type="dxa"/>
            <w:tcBorders>
              <w:left w:val="double" w:color="auto" w:sz="4" w:space="0"/>
            </w:tcBorders>
            <w:vAlign w:val="center"/>
          </w:tcPr>
          <w:p w14:paraId="605D7833">
            <w:pPr>
              <w:spacing w:before="40" w:after="40"/>
              <w:jc w:val="center"/>
              <w:rPr>
                <w:sz w:val="20"/>
                <w:szCs w:val="20"/>
              </w:rPr>
            </w:pPr>
          </w:p>
        </w:tc>
        <w:tc>
          <w:tcPr>
            <w:tcW w:w="753" w:type="dxa"/>
            <w:vAlign w:val="center"/>
          </w:tcPr>
          <w:p w14:paraId="7CD917C9">
            <w:pPr>
              <w:spacing w:before="40" w:after="40"/>
              <w:jc w:val="center"/>
              <w:rPr>
                <w:sz w:val="20"/>
                <w:szCs w:val="20"/>
              </w:rPr>
            </w:pPr>
          </w:p>
        </w:tc>
        <w:tc>
          <w:tcPr>
            <w:tcW w:w="754" w:type="dxa"/>
            <w:vAlign w:val="center"/>
          </w:tcPr>
          <w:p w14:paraId="2F72835D">
            <w:pPr>
              <w:spacing w:before="40" w:after="40"/>
              <w:jc w:val="center"/>
              <w:rPr>
                <w:sz w:val="20"/>
                <w:szCs w:val="20"/>
              </w:rPr>
            </w:pPr>
            <w:r>
              <w:rPr>
                <w:rFonts w:cs="Arial"/>
                <w:sz w:val="20"/>
                <w:szCs w:val="20"/>
              </w:rPr>
              <w:t> </w:t>
            </w:r>
          </w:p>
        </w:tc>
      </w:tr>
      <w:tr w14:paraId="091B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bottom w:val="double" w:color="auto" w:sz="4" w:space="0"/>
              <w:right w:val="double" w:color="auto" w:sz="4" w:space="0"/>
            </w:tcBorders>
            <w:vAlign w:val="center"/>
          </w:tcPr>
          <w:p w14:paraId="760AEF28">
            <w:pPr>
              <w:spacing w:before="40" w:after="40"/>
              <w:jc w:val="center"/>
              <w:rPr>
                <w:sz w:val="20"/>
                <w:szCs w:val="20"/>
              </w:rPr>
            </w:pPr>
          </w:p>
        </w:tc>
        <w:tc>
          <w:tcPr>
            <w:tcW w:w="751" w:type="dxa"/>
            <w:tcBorders>
              <w:left w:val="double" w:color="auto" w:sz="4" w:space="0"/>
              <w:bottom w:val="double" w:color="auto" w:sz="4" w:space="0"/>
            </w:tcBorders>
          </w:tcPr>
          <w:p w14:paraId="1C85C958">
            <w:pPr>
              <w:spacing w:before="40" w:after="40"/>
              <w:jc w:val="center"/>
              <w:rPr>
                <w:sz w:val="20"/>
                <w:szCs w:val="20"/>
              </w:rPr>
            </w:pPr>
            <w:r>
              <w:rPr>
                <w:rFonts w:cs="Arial"/>
                <w:sz w:val="20"/>
                <w:szCs w:val="20"/>
              </w:rPr>
              <w:t>32</w:t>
            </w:r>
          </w:p>
        </w:tc>
        <w:tc>
          <w:tcPr>
            <w:tcW w:w="752" w:type="dxa"/>
            <w:tcBorders>
              <w:bottom w:val="double" w:color="auto" w:sz="4" w:space="0"/>
            </w:tcBorders>
          </w:tcPr>
          <w:p w14:paraId="5389F987">
            <w:pPr>
              <w:spacing w:before="40" w:after="40"/>
              <w:jc w:val="center"/>
              <w:rPr>
                <w:sz w:val="20"/>
                <w:szCs w:val="20"/>
              </w:rPr>
            </w:pPr>
            <w:r>
              <w:rPr>
                <w:rFonts w:cs="Arial"/>
                <w:sz w:val="20"/>
                <w:szCs w:val="20"/>
              </w:rPr>
              <w:t>32</w:t>
            </w:r>
          </w:p>
        </w:tc>
        <w:tc>
          <w:tcPr>
            <w:tcW w:w="753" w:type="dxa"/>
            <w:tcBorders>
              <w:bottom w:val="double" w:color="auto" w:sz="4" w:space="0"/>
              <w:right w:val="double" w:color="auto" w:sz="4" w:space="0"/>
            </w:tcBorders>
            <w:vAlign w:val="center"/>
          </w:tcPr>
          <w:p w14:paraId="6F369199">
            <w:pPr>
              <w:spacing w:before="40" w:after="40"/>
              <w:jc w:val="center"/>
              <w:rPr>
                <w:sz w:val="20"/>
                <w:szCs w:val="20"/>
              </w:rPr>
            </w:pPr>
            <w:r>
              <w:rPr>
                <w:rFonts w:cs="Arial"/>
                <w:sz w:val="20"/>
                <w:szCs w:val="20"/>
              </w:rPr>
              <w:t>1.60</w:t>
            </w:r>
          </w:p>
        </w:tc>
        <w:tc>
          <w:tcPr>
            <w:tcW w:w="753" w:type="dxa"/>
            <w:tcBorders>
              <w:left w:val="double" w:color="auto" w:sz="4" w:space="0"/>
              <w:bottom w:val="double" w:color="auto" w:sz="4" w:space="0"/>
            </w:tcBorders>
            <w:vAlign w:val="center"/>
          </w:tcPr>
          <w:p w14:paraId="1B7C8775">
            <w:pPr>
              <w:spacing w:before="40" w:after="40"/>
              <w:jc w:val="center"/>
              <w:rPr>
                <w:sz w:val="20"/>
                <w:szCs w:val="20"/>
              </w:rPr>
            </w:pPr>
          </w:p>
        </w:tc>
        <w:tc>
          <w:tcPr>
            <w:tcW w:w="753" w:type="dxa"/>
            <w:tcBorders>
              <w:bottom w:val="double" w:color="auto" w:sz="4" w:space="0"/>
            </w:tcBorders>
            <w:vAlign w:val="center"/>
          </w:tcPr>
          <w:p w14:paraId="13654423">
            <w:pPr>
              <w:spacing w:before="40" w:after="40"/>
              <w:jc w:val="center"/>
              <w:rPr>
                <w:sz w:val="20"/>
                <w:szCs w:val="20"/>
              </w:rPr>
            </w:pPr>
          </w:p>
        </w:tc>
        <w:tc>
          <w:tcPr>
            <w:tcW w:w="753" w:type="dxa"/>
            <w:tcBorders>
              <w:bottom w:val="double" w:color="auto" w:sz="4" w:space="0"/>
              <w:right w:val="double" w:color="auto" w:sz="4" w:space="0"/>
            </w:tcBorders>
            <w:vAlign w:val="center"/>
          </w:tcPr>
          <w:p w14:paraId="2EF3A1C5">
            <w:pPr>
              <w:spacing w:before="40" w:after="40"/>
              <w:jc w:val="center"/>
              <w:rPr>
                <w:sz w:val="20"/>
                <w:szCs w:val="20"/>
              </w:rPr>
            </w:pPr>
            <w:r>
              <w:rPr>
                <w:rFonts w:cs="Arial"/>
                <w:sz w:val="20"/>
                <w:szCs w:val="20"/>
              </w:rPr>
              <w:t> </w:t>
            </w:r>
          </w:p>
        </w:tc>
        <w:tc>
          <w:tcPr>
            <w:tcW w:w="752" w:type="dxa"/>
            <w:tcBorders>
              <w:bottom w:val="double" w:color="auto" w:sz="4" w:space="0"/>
              <w:right w:val="single" w:color="auto" w:sz="4" w:space="0"/>
            </w:tcBorders>
            <w:vAlign w:val="center"/>
          </w:tcPr>
          <w:p w14:paraId="5391DF1A">
            <w:pPr>
              <w:spacing w:before="40" w:after="40"/>
              <w:jc w:val="center"/>
              <w:rPr>
                <w:sz w:val="20"/>
                <w:szCs w:val="20"/>
              </w:rPr>
            </w:pPr>
          </w:p>
        </w:tc>
        <w:tc>
          <w:tcPr>
            <w:tcW w:w="753" w:type="dxa"/>
            <w:tcBorders>
              <w:left w:val="single" w:color="auto" w:sz="4" w:space="0"/>
              <w:bottom w:val="double" w:color="auto" w:sz="4" w:space="0"/>
              <w:right w:val="single" w:color="auto" w:sz="4" w:space="0"/>
            </w:tcBorders>
            <w:vAlign w:val="center"/>
          </w:tcPr>
          <w:p w14:paraId="1E28CECD">
            <w:pPr>
              <w:spacing w:before="40" w:after="40"/>
              <w:jc w:val="center"/>
              <w:rPr>
                <w:sz w:val="20"/>
                <w:szCs w:val="20"/>
              </w:rPr>
            </w:pPr>
          </w:p>
        </w:tc>
        <w:tc>
          <w:tcPr>
            <w:tcW w:w="754" w:type="dxa"/>
            <w:tcBorders>
              <w:left w:val="single" w:color="auto" w:sz="4" w:space="0"/>
              <w:bottom w:val="double" w:color="auto" w:sz="4" w:space="0"/>
              <w:right w:val="double" w:color="auto" w:sz="4" w:space="0"/>
            </w:tcBorders>
            <w:vAlign w:val="center"/>
          </w:tcPr>
          <w:p w14:paraId="1E924699">
            <w:pPr>
              <w:spacing w:before="40" w:after="40"/>
              <w:jc w:val="center"/>
              <w:rPr>
                <w:sz w:val="20"/>
                <w:szCs w:val="20"/>
              </w:rPr>
            </w:pPr>
            <w:r>
              <w:rPr>
                <w:rFonts w:cs="Arial"/>
                <w:sz w:val="20"/>
                <w:szCs w:val="20"/>
              </w:rPr>
              <w:t> </w:t>
            </w:r>
          </w:p>
        </w:tc>
        <w:tc>
          <w:tcPr>
            <w:tcW w:w="753" w:type="dxa"/>
            <w:tcBorders>
              <w:left w:val="double" w:color="auto" w:sz="4" w:space="0"/>
              <w:bottom w:val="double" w:color="auto" w:sz="4" w:space="0"/>
            </w:tcBorders>
            <w:vAlign w:val="center"/>
          </w:tcPr>
          <w:p w14:paraId="6CAB10EE">
            <w:pPr>
              <w:spacing w:before="40" w:after="40"/>
              <w:jc w:val="center"/>
              <w:rPr>
                <w:sz w:val="20"/>
                <w:szCs w:val="20"/>
              </w:rPr>
            </w:pPr>
          </w:p>
        </w:tc>
        <w:tc>
          <w:tcPr>
            <w:tcW w:w="753" w:type="dxa"/>
            <w:tcBorders>
              <w:bottom w:val="double" w:color="auto" w:sz="4" w:space="0"/>
            </w:tcBorders>
            <w:vAlign w:val="center"/>
          </w:tcPr>
          <w:p w14:paraId="79B560E2">
            <w:pPr>
              <w:spacing w:before="40" w:after="40"/>
              <w:jc w:val="center"/>
              <w:rPr>
                <w:sz w:val="20"/>
                <w:szCs w:val="20"/>
              </w:rPr>
            </w:pPr>
          </w:p>
        </w:tc>
        <w:tc>
          <w:tcPr>
            <w:tcW w:w="754" w:type="dxa"/>
            <w:tcBorders>
              <w:bottom w:val="double" w:color="auto" w:sz="4" w:space="0"/>
            </w:tcBorders>
            <w:vAlign w:val="center"/>
          </w:tcPr>
          <w:p w14:paraId="3E52C9FE">
            <w:pPr>
              <w:spacing w:before="40" w:after="40"/>
              <w:jc w:val="center"/>
              <w:rPr>
                <w:sz w:val="20"/>
                <w:szCs w:val="20"/>
              </w:rPr>
            </w:pPr>
            <w:r>
              <w:rPr>
                <w:rFonts w:cs="Arial"/>
                <w:sz w:val="20"/>
                <w:szCs w:val="20"/>
              </w:rPr>
              <w:t> </w:t>
            </w:r>
          </w:p>
        </w:tc>
      </w:tr>
      <w:tr w14:paraId="6D294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restart"/>
            <w:tcBorders>
              <w:top w:val="double" w:color="auto" w:sz="4" w:space="0"/>
              <w:right w:val="double" w:color="auto" w:sz="4" w:space="0"/>
            </w:tcBorders>
            <w:vAlign w:val="center"/>
          </w:tcPr>
          <w:p w14:paraId="1068F4EF">
            <w:pPr>
              <w:spacing w:before="40" w:after="40"/>
              <w:jc w:val="center"/>
              <w:rPr>
                <w:sz w:val="20"/>
                <w:szCs w:val="20"/>
              </w:rPr>
            </w:pPr>
            <w:r>
              <w:rPr>
                <w:sz w:val="20"/>
                <w:szCs w:val="20"/>
              </w:rPr>
              <w:t>64</w:t>
            </w:r>
            <w:r>
              <w:rPr>
                <w:rFonts w:cs="Arial"/>
                <w:sz w:val="20"/>
                <w:szCs w:val="20"/>
              </w:rPr>
              <w:t>×</w:t>
            </w:r>
            <w:r>
              <w:rPr>
                <w:sz w:val="20"/>
                <w:szCs w:val="20"/>
              </w:rPr>
              <w:t>18</w:t>
            </w:r>
          </w:p>
        </w:tc>
        <w:tc>
          <w:tcPr>
            <w:tcW w:w="751" w:type="dxa"/>
            <w:tcBorders>
              <w:top w:val="double" w:color="auto" w:sz="4" w:space="0"/>
              <w:left w:val="double" w:color="auto" w:sz="4" w:space="0"/>
            </w:tcBorders>
            <w:vAlign w:val="center"/>
          </w:tcPr>
          <w:p w14:paraId="25892CA6">
            <w:pPr>
              <w:spacing w:before="40" w:after="40"/>
              <w:jc w:val="center"/>
              <w:rPr>
                <w:sz w:val="20"/>
                <w:szCs w:val="20"/>
              </w:rPr>
            </w:pPr>
            <w:r>
              <w:rPr>
                <w:rFonts w:cs="Arial"/>
                <w:sz w:val="20"/>
                <w:szCs w:val="20"/>
              </w:rPr>
              <w:t>256</w:t>
            </w:r>
          </w:p>
        </w:tc>
        <w:tc>
          <w:tcPr>
            <w:tcW w:w="752" w:type="dxa"/>
            <w:tcBorders>
              <w:top w:val="double" w:color="auto" w:sz="4" w:space="0"/>
            </w:tcBorders>
            <w:vAlign w:val="center"/>
          </w:tcPr>
          <w:p w14:paraId="1A829C25">
            <w:pPr>
              <w:spacing w:before="40" w:after="40"/>
              <w:jc w:val="center"/>
              <w:rPr>
                <w:sz w:val="20"/>
                <w:szCs w:val="20"/>
              </w:rPr>
            </w:pPr>
            <w:r>
              <w:rPr>
                <w:rFonts w:cs="Arial"/>
                <w:sz w:val="20"/>
                <w:szCs w:val="20"/>
              </w:rPr>
              <w:t>16</w:t>
            </w:r>
          </w:p>
        </w:tc>
        <w:tc>
          <w:tcPr>
            <w:tcW w:w="753" w:type="dxa"/>
            <w:tcBorders>
              <w:top w:val="double" w:color="auto" w:sz="4" w:space="0"/>
              <w:right w:val="double" w:color="auto" w:sz="4" w:space="0"/>
            </w:tcBorders>
            <w:vAlign w:val="center"/>
          </w:tcPr>
          <w:p w14:paraId="1FAD07FE">
            <w:pPr>
              <w:spacing w:before="40" w:after="40"/>
              <w:jc w:val="center"/>
              <w:rPr>
                <w:sz w:val="20"/>
                <w:szCs w:val="20"/>
              </w:rPr>
            </w:pPr>
            <w:r>
              <w:rPr>
                <w:rFonts w:cs="Arial"/>
                <w:sz w:val="20"/>
                <w:szCs w:val="20"/>
              </w:rPr>
              <w:t>0.68</w:t>
            </w:r>
          </w:p>
        </w:tc>
        <w:tc>
          <w:tcPr>
            <w:tcW w:w="753" w:type="dxa"/>
            <w:tcBorders>
              <w:top w:val="double" w:color="auto" w:sz="4" w:space="0"/>
              <w:left w:val="double" w:color="auto" w:sz="4" w:space="0"/>
            </w:tcBorders>
            <w:vAlign w:val="center"/>
          </w:tcPr>
          <w:p w14:paraId="4C1858DD">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5D15FBF6">
            <w:pPr>
              <w:spacing w:before="40" w:after="40"/>
              <w:jc w:val="center"/>
              <w:rPr>
                <w:sz w:val="20"/>
                <w:szCs w:val="20"/>
              </w:rPr>
            </w:pPr>
            <w:r>
              <w:rPr>
                <w:rFonts w:cs="Arial"/>
                <w:sz w:val="20"/>
                <w:szCs w:val="20"/>
              </w:rPr>
              <w:t>32</w:t>
            </w:r>
          </w:p>
        </w:tc>
        <w:tc>
          <w:tcPr>
            <w:tcW w:w="753" w:type="dxa"/>
            <w:tcBorders>
              <w:top w:val="double" w:color="auto" w:sz="4" w:space="0"/>
              <w:right w:val="double" w:color="auto" w:sz="4" w:space="0"/>
            </w:tcBorders>
            <w:vAlign w:val="center"/>
          </w:tcPr>
          <w:p w14:paraId="2F6FF8DD">
            <w:pPr>
              <w:spacing w:before="40" w:after="40"/>
              <w:jc w:val="center"/>
              <w:rPr>
                <w:sz w:val="20"/>
                <w:szCs w:val="20"/>
              </w:rPr>
            </w:pPr>
            <w:r>
              <w:rPr>
                <w:rFonts w:cs="Arial"/>
                <w:sz w:val="20"/>
                <w:szCs w:val="20"/>
              </w:rPr>
              <w:t>0.66</w:t>
            </w:r>
          </w:p>
        </w:tc>
        <w:tc>
          <w:tcPr>
            <w:tcW w:w="752" w:type="dxa"/>
            <w:tcBorders>
              <w:top w:val="double" w:color="auto" w:sz="4" w:space="0"/>
              <w:right w:val="single" w:color="auto" w:sz="4" w:space="0"/>
            </w:tcBorders>
            <w:vAlign w:val="center"/>
          </w:tcPr>
          <w:p w14:paraId="75AB10B8">
            <w:pPr>
              <w:spacing w:before="40" w:after="40"/>
              <w:jc w:val="center"/>
              <w:rPr>
                <w:rFonts w:cs="Arial"/>
                <w:sz w:val="20"/>
                <w:szCs w:val="20"/>
              </w:rPr>
            </w:pPr>
            <w:r>
              <w:rPr>
                <w:rFonts w:cs="Arial"/>
                <w:sz w:val="20"/>
                <w:szCs w:val="20"/>
              </w:rPr>
              <w:t>256</w:t>
            </w:r>
          </w:p>
        </w:tc>
        <w:tc>
          <w:tcPr>
            <w:tcW w:w="753" w:type="dxa"/>
            <w:tcBorders>
              <w:top w:val="double" w:color="auto" w:sz="4" w:space="0"/>
              <w:left w:val="single" w:color="auto" w:sz="4" w:space="0"/>
              <w:right w:val="single" w:color="auto" w:sz="4" w:space="0"/>
            </w:tcBorders>
            <w:vAlign w:val="center"/>
          </w:tcPr>
          <w:p w14:paraId="3EAD6C43">
            <w:pPr>
              <w:spacing w:before="40" w:after="40"/>
              <w:jc w:val="center"/>
              <w:rPr>
                <w:rFonts w:cs="Arial"/>
                <w:sz w:val="20"/>
                <w:szCs w:val="20"/>
              </w:rPr>
            </w:pPr>
            <w:r>
              <w:rPr>
                <w:rFonts w:cs="Arial"/>
                <w:sz w:val="20"/>
                <w:szCs w:val="20"/>
              </w:rPr>
              <w:t>32</w:t>
            </w:r>
          </w:p>
        </w:tc>
        <w:tc>
          <w:tcPr>
            <w:tcW w:w="754" w:type="dxa"/>
            <w:tcBorders>
              <w:top w:val="double" w:color="auto" w:sz="4" w:space="0"/>
              <w:left w:val="single" w:color="auto" w:sz="4" w:space="0"/>
              <w:right w:val="double" w:color="auto" w:sz="4" w:space="0"/>
            </w:tcBorders>
            <w:vAlign w:val="center"/>
          </w:tcPr>
          <w:p w14:paraId="1E1F2547">
            <w:pPr>
              <w:spacing w:before="40" w:after="40"/>
              <w:jc w:val="center"/>
              <w:rPr>
                <w:rFonts w:cs="Arial"/>
                <w:sz w:val="20"/>
                <w:szCs w:val="20"/>
              </w:rPr>
            </w:pPr>
            <w:r>
              <w:rPr>
                <w:sz w:val="20"/>
                <w:szCs w:val="20"/>
              </w:rPr>
              <w:t>0.68</w:t>
            </w:r>
          </w:p>
        </w:tc>
        <w:tc>
          <w:tcPr>
            <w:tcW w:w="753" w:type="dxa"/>
            <w:tcBorders>
              <w:top w:val="double" w:color="auto" w:sz="4" w:space="0"/>
              <w:left w:val="double" w:color="auto" w:sz="4" w:space="0"/>
            </w:tcBorders>
            <w:vAlign w:val="center"/>
          </w:tcPr>
          <w:p w14:paraId="2BE5CD97">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2A0CE78F">
            <w:pPr>
              <w:spacing w:before="40" w:after="40"/>
              <w:jc w:val="center"/>
              <w:rPr>
                <w:sz w:val="20"/>
                <w:szCs w:val="20"/>
              </w:rPr>
            </w:pPr>
            <w:r>
              <w:rPr>
                <w:rFonts w:cs="Arial"/>
                <w:sz w:val="20"/>
                <w:szCs w:val="20"/>
              </w:rPr>
              <w:t>64</w:t>
            </w:r>
          </w:p>
        </w:tc>
        <w:tc>
          <w:tcPr>
            <w:tcW w:w="754" w:type="dxa"/>
            <w:tcBorders>
              <w:top w:val="double" w:color="auto" w:sz="4" w:space="0"/>
            </w:tcBorders>
            <w:vAlign w:val="center"/>
          </w:tcPr>
          <w:p w14:paraId="4C1C1A49">
            <w:pPr>
              <w:spacing w:before="40" w:after="40"/>
              <w:jc w:val="center"/>
              <w:rPr>
                <w:sz w:val="20"/>
                <w:szCs w:val="20"/>
              </w:rPr>
            </w:pPr>
            <w:r>
              <w:rPr>
                <w:rFonts w:cs="Arial"/>
                <w:sz w:val="20"/>
                <w:szCs w:val="20"/>
              </w:rPr>
              <w:t>0.52</w:t>
            </w:r>
          </w:p>
        </w:tc>
      </w:tr>
      <w:tr w14:paraId="70B6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right w:val="double" w:color="auto" w:sz="4" w:space="0"/>
            </w:tcBorders>
            <w:vAlign w:val="center"/>
          </w:tcPr>
          <w:p w14:paraId="643C4D3A">
            <w:pPr>
              <w:spacing w:before="40" w:after="40"/>
              <w:jc w:val="center"/>
              <w:rPr>
                <w:sz w:val="20"/>
                <w:szCs w:val="20"/>
              </w:rPr>
            </w:pPr>
          </w:p>
        </w:tc>
        <w:tc>
          <w:tcPr>
            <w:tcW w:w="751" w:type="dxa"/>
            <w:tcBorders>
              <w:left w:val="double" w:color="auto" w:sz="4" w:space="0"/>
            </w:tcBorders>
            <w:vAlign w:val="center"/>
          </w:tcPr>
          <w:p w14:paraId="786B9763">
            <w:pPr>
              <w:spacing w:before="40" w:after="40"/>
              <w:jc w:val="center"/>
              <w:rPr>
                <w:sz w:val="20"/>
                <w:szCs w:val="20"/>
              </w:rPr>
            </w:pPr>
            <w:r>
              <w:rPr>
                <w:rFonts w:cs="Arial"/>
                <w:sz w:val="20"/>
                <w:szCs w:val="20"/>
              </w:rPr>
              <w:t>128</w:t>
            </w:r>
          </w:p>
        </w:tc>
        <w:tc>
          <w:tcPr>
            <w:tcW w:w="752" w:type="dxa"/>
            <w:vAlign w:val="center"/>
          </w:tcPr>
          <w:p w14:paraId="529BB1B1">
            <w:pPr>
              <w:spacing w:before="40" w:after="40"/>
              <w:jc w:val="center"/>
              <w:rPr>
                <w:sz w:val="20"/>
                <w:szCs w:val="20"/>
              </w:rPr>
            </w:pPr>
            <w:r>
              <w:rPr>
                <w:rFonts w:cs="Arial"/>
                <w:sz w:val="20"/>
                <w:szCs w:val="20"/>
              </w:rPr>
              <w:t>16</w:t>
            </w:r>
          </w:p>
        </w:tc>
        <w:tc>
          <w:tcPr>
            <w:tcW w:w="753" w:type="dxa"/>
            <w:tcBorders>
              <w:right w:val="double" w:color="auto" w:sz="4" w:space="0"/>
            </w:tcBorders>
            <w:vAlign w:val="center"/>
          </w:tcPr>
          <w:p w14:paraId="39FCAF8A">
            <w:pPr>
              <w:spacing w:before="40" w:after="40"/>
              <w:jc w:val="center"/>
              <w:rPr>
                <w:sz w:val="20"/>
                <w:szCs w:val="20"/>
              </w:rPr>
            </w:pPr>
            <w:r>
              <w:rPr>
                <w:rFonts w:cs="Arial"/>
                <w:sz w:val="20"/>
                <w:szCs w:val="20"/>
              </w:rPr>
              <w:t>0.64</w:t>
            </w:r>
          </w:p>
        </w:tc>
        <w:tc>
          <w:tcPr>
            <w:tcW w:w="753" w:type="dxa"/>
            <w:tcBorders>
              <w:left w:val="double" w:color="auto" w:sz="4" w:space="0"/>
            </w:tcBorders>
            <w:vAlign w:val="center"/>
          </w:tcPr>
          <w:p w14:paraId="2DE70B9D">
            <w:pPr>
              <w:spacing w:before="40" w:after="40"/>
              <w:jc w:val="center"/>
              <w:rPr>
                <w:sz w:val="20"/>
                <w:szCs w:val="20"/>
              </w:rPr>
            </w:pPr>
            <w:r>
              <w:rPr>
                <w:rFonts w:cs="Arial"/>
                <w:sz w:val="20"/>
                <w:szCs w:val="20"/>
              </w:rPr>
              <w:t>128</w:t>
            </w:r>
          </w:p>
        </w:tc>
        <w:tc>
          <w:tcPr>
            <w:tcW w:w="753" w:type="dxa"/>
            <w:vAlign w:val="center"/>
          </w:tcPr>
          <w:p w14:paraId="13B54EA5">
            <w:pPr>
              <w:spacing w:before="40" w:after="40"/>
              <w:jc w:val="center"/>
              <w:rPr>
                <w:sz w:val="20"/>
                <w:szCs w:val="20"/>
              </w:rPr>
            </w:pPr>
            <w:r>
              <w:rPr>
                <w:rFonts w:cs="Arial"/>
                <w:sz w:val="20"/>
                <w:szCs w:val="20"/>
              </w:rPr>
              <w:t>32</w:t>
            </w:r>
          </w:p>
        </w:tc>
        <w:tc>
          <w:tcPr>
            <w:tcW w:w="753" w:type="dxa"/>
            <w:tcBorders>
              <w:right w:val="double" w:color="auto" w:sz="4" w:space="0"/>
            </w:tcBorders>
            <w:vAlign w:val="center"/>
          </w:tcPr>
          <w:p w14:paraId="2D96C3CB">
            <w:pPr>
              <w:spacing w:before="40" w:after="40"/>
              <w:jc w:val="center"/>
              <w:rPr>
                <w:sz w:val="20"/>
                <w:szCs w:val="20"/>
              </w:rPr>
            </w:pPr>
            <w:r>
              <w:rPr>
                <w:rFonts w:cs="Arial"/>
                <w:sz w:val="20"/>
                <w:szCs w:val="20"/>
              </w:rPr>
              <w:t>0.69</w:t>
            </w:r>
          </w:p>
        </w:tc>
        <w:tc>
          <w:tcPr>
            <w:tcW w:w="752" w:type="dxa"/>
            <w:tcBorders>
              <w:right w:val="single" w:color="auto" w:sz="4" w:space="0"/>
            </w:tcBorders>
            <w:vAlign w:val="center"/>
          </w:tcPr>
          <w:p w14:paraId="0BE210E6">
            <w:pPr>
              <w:spacing w:before="40" w:after="40"/>
              <w:jc w:val="center"/>
              <w:rPr>
                <w:rFonts w:cs="Arial"/>
                <w:sz w:val="20"/>
                <w:szCs w:val="20"/>
              </w:rPr>
            </w:pPr>
            <w:r>
              <w:rPr>
                <w:rFonts w:cs="Arial"/>
                <w:sz w:val="20"/>
                <w:szCs w:val="20"/>
              </w:rPr>
              <w:t>128</w:t>
            </w:r>
          </w:p>
        </w:tc>
        <w:tc>
          <w:tcPr>
            <w:tcW w:w="753" w:type="dxa"/>
            <w:tcBorders>
              <w:left w:val="single" w:color="auto" w:sz="4" w:space="0"/>
              <w:right w:val="single" w:color="auto" w:sz="4" w:space="0"/>
            </w:tcBorders>
            <w:vAlign w:val="center"/>
          </w:tcPr>
          <w:p w14:paraId="7AAF0C56">
            <w:pPr>
              <w:spacing w:before="40" w:after="40"/>
              <w:jc w:val="center"/>
              <w:rPr>
                <w:rFonts w:cs="Arial"/>
                <w:sz w:val="20"/>
                <w:szCs w:val="20"/>
              </w:rPr>
            </w:pPr>
            <w:r>
              <w:rPr>
                <w:rFonts w:cs="Arial"/>
                <w:sz w:val="20"/>
                <w:szCs w:val="20"/>
              </w:rPr>
              <w:t>32</w:t>
            </w:r>
          </w:p>
        </w:tc>
        <w:tc>
          <w:tcPr>
            <w:tcW w:w="754" w:type="dxa"/>
            <w:tcBorders>
              <w:left w:val="single" w:color="auto" w:sz="4" w:space="0"/>
              <w:right w:val="double" w:color="auto" w:sz="4" w:space="0"/>
            </w:tcBorders>
            <w:vAlign w:val="center"/>
          </w:tcPr>
          <w:p w14:paraId="287935B5">
            <w:pPr>
              <w:spacing w:before="40" w:after="40"/>
              <w:jc w:val="center"/>
              <w:rPr>
                <w:rFonts w:cs="Arial"/>
                <w:sz w:val="20"/>
                <w:szCs w:val="20"/>
              </w:rPr>
            </w:pPr>
            <w:r>
              <w:rPr>
                <w:sz w:val="20"/>
                <w:szCs w:val="20"/>
              </w:rPr>
              <w:t>0.70</w:t>
            </w:r>
          </w:p>
        </w:tc>
        <w:tc>
          <w:tcPr>
            <w:tcW w:w="753" w:type="dxa"/>
            <w:tcBorders>
              <w:left w:val="double" w:color="auto" w:sz="4" w:space="0"/>
            </w:tcBorders>
            <w:vAlign w:val="center"/>
          </w:tcPr>
          <w:p w14:paraId="4D0E1AF9">
            <w:pPr>
              <w:spacing w:before="40" w:after="40"/>
              <w:jc w:val="center"/>
              <w:rPr>
                <w:sz w:val="20"/>
                <w:szCs w:val="20"/>
              </w:rPr>
            </w:pPr>
            <w:r>
              <w:rPr>
                <w:rFonts w:cs="Arial"/>
                <w:sz w:val="20"/>
                <w:szCs w:val="20"/>
              </w:rPr>
              <w:t>128</w:t>
            </w:r>
          </w:p>
        </w:tc>
        <w:tc>
          <w:tcPr>
            <w:tcW w:w="753" w:type="dxa"/>
            <w:vAlign w:val="center"/>
          </w:tcPr>
          <w:p w14:paraId="312DA178">
            <w:pPr>
              <w:spacing w:before="40" w:after="40"/>
              <w:jc w:val="center"/>
              <w:rPr>
                <w:sz w:val="20"/>
                <w:szCs w:val="20"/>
              </w:rPr>
            </w:pPr>
            <w:r>
              <w:rPr>
                <w:rFonts w:cs="Arial"/>
                <w:sz w:val="20"/>
                <w:szCs w:val="20"/>
              </w:rPr>
              <w:t>64</w:t>
            </w:r>
          </w:p>
        </w:tc>
        <w:tc>
          <w:tcPr>
            <w:tcW w:w="754" w:type="dxa"/>
            <w:vAlign w:val="center"/>
          </w:tcPr>
          <w:p w14:paraId="3E98385C">
            <w:pPr>
              <w:spacing w:before="40" w:after="40"/>
              <w:jc w:val="center"/>
              <w:rPr>
                <w:sz w:val="20"/>
                <w:szCs w:val="20"/>
              </w:rPr>
            </w:pPr>
            <w:r>
              <w:rPr>
                <w:rFonts w:cs="Arial"/>
                <w:sz w:val="20"/>
                <w:szCs w:val="20"/>
              </w:rPr>
              <w:t>0.57</w:t>
            </w:r>
          </w:p>
        </w:tc>
      </w:tr>
      <w:tr w14:paraId="5219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right w:val="double" w:color="auto" w:sz="4" w:space="0"/>
            </w:tcBorders>
            <w:vAlign w:val="center"/>
          </w:tcPr>
          <w:p w14:paraId="34624714">
            <w:pPr>
              <w:spacing w:before="40" w:after="40"/>
              <w:jc w:val="center"/>
              <w:rPr>
                <w:sz w:val="20"/>
                <w:szCs w:val="20"/>
              </w:rPr>
            </w:pPr>
          </w:p>
        </w:tc>
        <w:tc>
          <w:tcPr>
            <w:tcW w:w="751" w:type="dxa"/>
            <w:tcBorders>
              <w:left w:val="double" w:color="auto" w:sz="4" w:space="0"/>
            </w:tcBorders>
            <w:vAlign w:val="center"/>
          </w:tcPr>
          <w:p w14:paraId="394D8948">
            <w:pPr>
              <w:spacing w:before="40" w:after="40"/>
              <w:jc w:val="center"/>
              <w:rPr>
                <w:sz w:val="20"/>
                <w:szCs w:val="20"/>
              </w:rPr>
            </w:pPr>
            <w:r>
              <w:rPr>
                <w:rFonts w:cs="Arial"/>
                <w:sz w:val="20"/>
                <w:szCs w:val="20"/>
              </w:rPr>
              <w:t>64</w:t>
            </w:r>
          </w:p>
        </w:tc>
        <w:tc>
          <w:tcPr>
            <w:tcW w:w="752" w:type="dxa"/>
            <w:vAlign w:val="center"/>
          </w:tcPr>
          <w:p w14:paraId="6E985FC7">
            <w:pPr>
              <w:spacing w:before="40" w:after="40"/>
              <w:jc w:val="center"/>
              <w:rPr>
                <w:sz w:val="20"/>
                <w:szCs w:val="20"/>
              </w:rPr>
            </w:pPr>
            <w:r>
              <w:rPr>
                <w:rFonts w:cs="Arial"/>
                <w:sz w:val="20"/>
                <w:szCs w:val="20"/>
              </w:rPr>
              <w:t>16</w:t>
            </w:r>
          </w:p>
        </w:tc>
        <w:tc>
          <w:tcPr>
            <w:tcW w:w="753" w:type="dxa"/>
            <w:tcBorders>
              <w:right w:val="double" w:color="auto" w:sz="4" w:space="0"/>
            </w:tcBorders>
            <w:vAlign w:val="center"/>
          </w:tcPr>
          <w:p w14:paraId="669F4037">
            <w:pPr>
              <w:spacing w:before="40" w:after="40"/>
              <w:jc w:val="center"/>
              <w:rPr>
                <w:sz w:val="20"/>
                <w:szCs w:val="20"/>
              </w:rPr>
            </w:pPr>
            <w:r>
              <w:rPr>
                <w:rFonts w:cs="Arial"/>
                <w:sz w:val="20"/>
                <w:szCs w:val="20"/>
              </w:rPr>
              <w:t>0.70</w:t>
            </w:r>
          </w:p>
        </w:tc>
        <w:tc>
          <w:tcPr>
            <w:tcW w:w="753" w:type="dxa"/>
            <w:tcBorders>
              <w:left w:val="double" w:color="auto" w:sz="4" w:space="0"/>
            </w:tcBorders>
            <w:vAlign w:val="center"/>
          </w:tcPr>
          <w:p w14:paraId="066F5F9E">
            <w:pPr>
              <w:spacing w:before="40" w:after="40"/>
              <w:jc w:val="center"/>
              <w:rPr>
                <w:sz w:val="20"/>
                <w:szCs w:val="20"/>
              </w:rPr>
            </w:pPr>
            <w:r>
              <w:rPr>
                <w:rFonts w:cs="Arial"/>
                <w:sz w:val="20"/>
                <w:szCs w:val="20"/>
              </w:rPr>
              <w:t>64</w:t>
            </w:r>
          </w:p>
        </w:tc>
        <w:tc>
          <w:tcPr>
            <w:tcW w:w="753" w:type="dxa"/>
            <w:vAlign w:val="center"/>
          </w:tcPr>
          <w:p w14:paraId="79B3D782">
            <w:pPr>
              <w:spacing w:before="40" w:after="40"/>
              <w:jc w:val="center"/>
              <w:rPr>
                <w:sz w:val="20"/>
                <w:szCs w:val="20"/>
              </w:rPr>
            </w:pPr>
            <w:r>
              <w:rPr>
                <w:rFonts w:cs="Arial"/>
                <w:sz w:val="20"/>
                <w:szCs w:val="20"/>
              </w:rPr>
              <w:t>32</w:t>
            </w:r>
          </w:p>
        </w:tc>
        <w:tc>
          <w:tcPr>
            <w:tcW w:w="753" w:type="dxa"/>
            <w:tcBorders>
              <w:right w:val="double" w:color="auto" w:sz="4" w:space="0"/>
            </w:tcBorders>
            <w:vAlign w:val="center"/>
          </w:tcPr>
          <w:p w14:paraId="035F8F64">
            <w:pPr>
              <w:spacing w:before="40" w:after="40"/>
              <w:jc w:val="center"/>
              <w:rPr>
                <w:sz w:val="20"/>
                <w:szCs w:val="20"/>
              </w:rPr>
            </w:pPr>
            <w:r>
              <w:rPr>
                <w:rFonts w:cs="Arial"/>
                <w:sz w:val="20"/>
                <w:szCs w:val="20"/>
              </w:rPr>
              <w:t>0.84</w:t>
            </w:r>
          </w:p>
        </w:tc>
        <w:tc>
          <w:tcPr>
            <w:tcW w:w="752" w:type="dxa"/>
            <w:tcBorders>
              <w:right w:val="single" w:color="auto" w:sz="4" w:space="0"/>
            </w:tcBorders>
            <w:vAlign w:val="center"/>
          </w:tcPr>
          <w:p w14:paraId="040C97DE">
            <w:pPr>
              <w:spacing w:before="40" w:after="40"/>
              <w:jc w:val="center"/>
              <w:rPr>
                <w:rFonts w:cs="Arial"/>
                <w:sz w:val="20"/>
                <w:szCs w:val="20"/>
              </w:rPr>
            </w:pPr>
            <w:r>
              <w:rPr>
                <w:rFonts w:cs="Arial"/>
                <w:sz w:val="20"/>
                <w:szCs w:val="20"/>
              </w:rPr>
              <w:t>64</w:t>
            </w:r>
          </w:p>
        </w:tc>
        <w:tc>
          <w:tcPr>
            <w:tcW w:w="753" w:type="dxa"/>
            <w:tcBorders>
              <w:left w:val="single" w:color="auto" w:sz="4" w:space="0"/>
              <w:right w:val="single" w:color="auto" w:sz="4" w:space="0"/>
            </w:tcBorders>
            <w:vAlign w:val="center"/>
          </w:tcPr>
          <w:p w14:paraId="722ADD63">
            <w:pPr>
              <w:spacing w:before="40" w:after="40"/>
              <w:jc w:val="center"/>
              <w:rPr>
                <w:rFonts w:cs="Arial"/>
                <w:sz w:val="20"/>
                <w:szCs w:val="20"/>
              </w:rPr>
            </w:pPr>
            <w:r>
              <w:rPr>
                <w:rFonts w:cs="Arial"/>
                <w:sz w:val="20"/>
                <w:szCs w:val="20"/>
              </w:rPr>
              <w:t>32</w:t>
            </w:r>
          </w:p>
        </w:tc>
        <w:tc>
          <w:tcPr>
            <w:tcW w:w="754" w:type="dxa"/>
            <w:tcBorders>
              <w:left w:val="single" w:color="auto" w:sz="4" w:space="0"/>
              <w:right w:val="double" w:color="auto" w:sz="4" w:space="0"/>
            </w:tcBorders>
            <w:vAlign w:val="center"/>
          </w:tcPr>
          <w:p w14:paraId="717C1294">
            <w:pPr>
              <w:spacing w:before="40" w:after="40"/>
              <w:jc w:val="center"/>
              <w:rPr>
                <w:rFonts w:cs="Arial"/>
                <w:sz w:val="20"/>
                <w:szCs w:val="20"/>
              </w:rPr>
            </w:pPr>
            <w:r>
              <w:rPr>
                <w:sz w:val="20"/>
                <w:szCs w:val="20"/>
              </w:rPr>
              <w:t>0.84</w:t>
            </w:r>
          </w:p>
        </w:tc>
        <w:tc>
          <w:tcPr>
            <w:tcW w:w="753" w:type="dxa"/>
            <w:tcBorders>
              <w:left w:val="double" w:color="auto" w:sz="4" w:space="0"/>
            </w:tcBorders>
            <w:vAlign w:val="center"/>
          </w:tcPr>
          <w:p w14:paraId="3FE19C18">
            <w:pPr>
              <w:spacing w:before="40" w:after="40"/>
              <w:jc w:val="center"/>
              <w:rPr>
                <w:sz w:val="20"/>
                <w:szCs w:val="20"/>
              </w:rPr>
            </w:pPr>
            <w:r>
              <w:rPr>
                <w:rFonts w:cs="Arial"/>
                <w:sz w:val="20"/>
                <w:szCs w:val="20"/>
              </w:rPr>
              <w:t>64</w:t>
            </w:r>
          </w:p>
        </w:tc>
        <w:tc>
          <w:tcPr>
            <w:tcW w:w="753" w:type="dxa"/>
            <w:vAlign w:val="center"/>
          </w:tcPr>
          <w:p w14:paraId="4D2E26F3">
            <w:pPr>
              <w:spacing w:before="40" w:after="40"/>
              <w:jc w:val="center"/>
              <w:rPr>
                <w:sz w:val="20"/>
                <w:szCs w:val="20"/>
              </w:rPr>
            </w:pPr>
            <w:r>
              <w:rPr>
                <w:rFonts w:cs="Arial"/>
                <w:sz w:val="20"/>
                <w:szCs w:val="20"/>
              </w:rPr>
              <w:t>64</w:t>
            </w:r>
          </w:p>
        </w:tc>
        <w:tc>
          <w:tcPr>
            <w:tcW w:w="754" w:type="dxa"/>
            <w:vAlign w:val="center"/>
          </w:tcPr>
          <w:p w14:paraId="7E991722">
            <w:pPr>
              <w:spacing w:before="40" w:after="40"/>
              <w:jc w:val="center"/>
              <w:rPr>
                <w:sz w:val="20"/>
                <w:szCs w:val="20"/>
              </w:rPr>
            </w:pPr>
            <w:r>
              <w:rPr>
                <w:rFonts w:cs="Arial"/>
                <w:sz w:val="20"/>
                <w:szCs w:val="20"/>
              </w:rPr>
              <w:t>0.71</w:t>
            </w:r>
          </w:p>
        </w:tc>
      </w:tr>
      <w:tr w14:paraId="79AC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bottom w:val="double" w:color="auto" w:sz="4" w:space="0"/>
              <w:right w:val="double" w:color="auto" w:sz="4" w:space="0"/>
            </w:tcBorders>
            <w:vAlign w:val="center"/>
          </w:tcPr>
          <w:p w14:paraId="3533A32E">
            <w:pPr>
              <w:spacing w:before="40" w:after="40"/>
              <w:jc w:val="center"/>
              <w:rPr>
                <w:sz w:val="20"/>
                <w:szCs w:val="20"/>
              </w:rPr>
            </w:pPr>
          </w:p>
        </w:tc>
        <w:tc>
          <w:tcPr>
            <w:tcW w:w="751" w:type="dxa"/>
            <w:tcBorders>
              <w:left w:val="double" w:color="auto" w:sz="4" w:space="0"/>
              <w:bottom w:val="double" w:color="auto" w:sz="4" w:space="0"/>
            </w:tcBorders>
            <w:vAlign w:val="center"/>
          </w:tcPr>
          <w:p w14:paraId="1907E3A5">
            <w:pPr>
              <w:spacing w:before="40" w:after="40"/>
              <w:jc w:val="center"/>
              <w:rPr>
                <w:sz w:val="20"/>
                <w:szCs w:val="20"/>
              </w:rPr>
            </w:pPr>
          </w:p>
        </w:tc>
        <w:tc>
          <w:tcPr>
            <w:tcW w:w="752" w:type="dxa"/>
            <w:tcBorders>
              <w:bottom w:val="double" w:color="auto" w:sz="4" w:space="0"/>
            </w:tcBorders>
            <w:vAlign w:val="center"/>
          </w:tcPr>
          <w:p w14:paraId="5EB4F2CD">
            <w:pPr>
              <w:spacing w:before="40" w:after="40"/>
              <w:jc w:val="center"/>
              <w:rPr>
                <w:sz w:val="20"/>
                <w:szCs w:val="20"/>
              </w:rPr>
            </w:pPr>
          </w:p>
        </w:tc>
        <w:tc>
          <w:tcPr>
            <w:tcW w:w="753" w:type="dxa"/>
            <w:tcBorders>
              <w:bottom w:val="double" w:color="auto" w:sz="4" w:space="0"/>
              <w:right w:val="double" w:color="auto" w:sz="4" w:space="0"/>
            </w:tcBorders>
            <w:vAlign w:val="center"/>
          </w:tcPr>
          <w:p w14:paraId="5ED395B6">
            <w:pPr>
              <w:spacing w:before="40" w:after="40"/>
              <w:jc w:val="center"/>
              <w:rPr>
                <w:sz w:val="20"/>
                <w:szCs w:val="20"/>
              </w:rPr>
            </w:pPr>
            <w:r>
              <w:rPr>
                <w:rFonts w:cs="Arial"/>
                <w:sz w:val="20"/>
                <w:szCs w:val="20"/>
              </w:rPr>
              <w:t> </w:t>
            </w:r>
          </w:p>
        </w:tc>
        <w:tc>
          <w:tcPr>
            <w:tcW w:w="753" w:type="dxa"/>
            <w:tcBorders>
              <w:left w:val="double" w:color="auto" w:sz="4" w:space="0"/>
              <w:bottom w:val="double" w:color="auto" w:sz="4" w:space="0"/>
            </w:tcBorders>
          </w:tcPr>
          <w:p w14:paraId="76234EE4">
            <w:pPr>
              <w:spacing w:before="40" w:after="40"/>
              <w:jc w:val="center"/>
              <w:rPr>
                <w:sz w:val="20"/>
                <w:szCs w:val="20"/>
              </w:rPr>
            </w:pPr>
            <w:r>
              <w:rPr>
                <w:rFonts w:cs="Arial"/>
                <w:sz w:val="20"/>
                <w:szCs w:val="20"/>
              </w:rPr>
              <w:t>32</w:t>
            </w:r>
          </w:p>
        </w:tc>
        <w:tc>
          <w:tcPr>
            <w:tcW w:w="753" w:type="dxa"/>
            <w:tcBorders>
              <w:bottom w:val="double" w:color="auto" w:sz="4" w:space="0"/>
            </w:tcBorders>
          </w:tcPr>
          <w:p w14:paraId="4396709F">
            <w:pPr>
              <w:spacing w:before="40" w:after="40"/>
              <w:jc w:val="center"/>
              <w:rPr>
                <w:sz w:val="20"/>
                <w:szCs w:val="20"/>
              </w:rPr>
            </w:pPr>
            <w:r>
              <w:rPr>
                <w:rFonts w:cs="Arial"/>
                <w:sz w:val="20"/>
                <w:szCs w:val="20"/>
              </w:rPr>
              <w:t>32</w:t>
            </w:r>
          </w:p>
        </w:tc>
        <w:tc>
          <w:tcPr>
            <w:tcW w:w="753" w:type="dxa"/>
            <w:tcBorders>
              <w:bottom w:val="double" w:color="auto" w:sz="4" w:space="0"/>
              <w:right w:val="double" w:color="auto" w:sz="4" w:space="0"/>
            </w:tcBorders>
            <w:vAlign w:val="center"/>
          </w:tcPr>
          <w:p w14:paraId="7D6B5DE6">
            <w:pPr>
              <w:spacing w:before="40" w:after="40"/>
              <w:jc w:val="center"/>
              <w:rPr>
                <w:sz w:val="20"/>
                <w:szCs w:val="20"/>
              </w:rPr>
            </w:pPr>
            <w:r>
              <w:rPr>
                <w:rFonts w:cs="Arial"/>
                <w:sz w:val="20"/>
                <w:szCs w:val="20"/>
              </w:rPr>
              <w:t>1.80</w:t>
            </w:r>
          </w:p>
        </w:tc>
        <w:tc>
          <w:tcPr>
            <w:tcW w:w="752" w:type="dxa"/>
            <w:tcBorders>
              <w:bottom w:val="double" w:color="auto" w:sz="4" w:space="0"/>
              <w:right w:val="single" w:color="auto" w:sz="4" w:space="0"/>
            </w:tcBorders>
          </w:tcPr>
          <w:p w14:paraId="1AFE2E1A">
            <w:pPr>
              <w:spacing w:before="40" w:after="40"/>
              <w:jc w:val="center"/>
              <w:rPr>
                <w:rFonts w:cs="Arial"/>
                <w:sz w:val="20"/>
                <w:szCs w:val="20"/>
              </w:rPr>
            </w:pPr>
            <w:r>
              <w:rPr>
                <w:rFonts w:cs="Arial"/>
                <w:sz w:val="20"/>
                <w:szCs w:val="20"/>
              </w:rPr>
              <w:t>32</w:t>
            </w:r>
          </w:p>
        </w:tc>
        <w:tc>
          <w:tcPr>
            <w:tcW w:w="753" w:type="dxa"/>
            <w:tcBorders>
              <w:left w:val="single" w:color="auto" w:sz="4" w:space="0"/>
              <w:bottom w:val="double" w:color="auto" w:sz="4" w:space="0"/>
              <w:right w:val="single" w:color="auto" w:sz="4" w:space="0"/>
            </w:tcBorders>
          </w:tcPr>
          <w:p w14:paraId="243B6481">
            <w:pPr>
              <w:spacing w:before="40" w:after="40"/>
              <w:jc w:val="center"/>
              <w:rPr>
                <w:rFonts w:cs="Arial"/>
                <w:sz w:val="20"/>
                <w:szCs w:val="20"/>
              </w:rPr>
            </w:pPr>
            <w:r>
              <w:rPr>
                <w:rFonts w:cs="Arial"/>
                <w:sz w:val="20"/>
                <w:szCs w:val="20"/>
              </w:rPr>
              <w:t>32</w:t>
            </w:r>
          </w:p>
        </w:tc>
        <w:tc>
          <w:tcPr>
            <w:tcW w:w="754" w:type="dxa"/>
            <w:tcBorders>
              <w:left w:val="single" w:color="auto" w:sz="4" w:space="0"/>
              <w:bottom w:val="double" w:color="auto" w:sz="4" w:space="0"/>
              <w:right w:val="double" w:color="auto" w:sz="4" w:space="0"/>
            </w:tcBorders>
            <w:vAlign w:val="center"/>
          </w:tcPr>
          <w:p w14:paraId="158B602A">
            <w:pPr>
              <w:spacing w:before="40" w:after="40"/>
              <w:jc w:val="center"/>
              <w:rPr>
                <w:rFonts w:cs="Arial"/>
                <w:sz w:val="20"/>
                <w:szCs w:val="20"/>
              </w:rPr>
            </w:pPr>
            <w:r>
              <w:rPr>
                <w:sz w:val="20"/>
                <w:szCs w:val="20"/>
              </w:rPr>
              <w:t>1.81</w:t>
            </w:r>
          </w:p>
        </w:tc>
        <w:tc>
          <w:tcPr>
            <w:tcW w:w="753" w:type="dxa"/>
            <w:tcBorders>
              <w:left w:val="double" w:color="auto" w:sz="4" w:space="0"/>
              <w:bottom w:val="double" w:color="auto" w:sz="4" w:space="0"/>
            </w:tcBorders>
            <w:vAlign w:val="center"/>
          </w:tcPr>
          <w:p w14:paraId="1EF4E0AF">
            <w:pPr>
              <w:spacing w:before="40" w:after="40"/>
              <w:jc w:val="center"/>
              <w:rPr>
                <w:rFonts w:cs="Arial"/>
                <w:sz w:val="20"/>
                <w:szCs w:val="20"/>
              </w:rPr>
            </w:pPr>
          </w:p>
        </w:tc>
        <w:tc>
          <w:tcPr>
            <w:tcW w:w="753" w:type="dxa"/>
            <w:tcBorders>
              <w:bottom w:val="double" w:color="auto" w:sz="4" w:space="0"/>
            </w:tcBorders>
            <w:vAlign w:val="center"/>
          </w:tcPr>
          <w:p w14:paraId="335C609B">
            <w:pPr>
              <w:spacing w:before="40" w:after="40"/>
              <w:jc w:val="center"/>
              <w:rPr>
                <w:rFonts w:cs="Arial"/>
                <w:sz w:val="20"/>
                <w:szCs w:val="20"/>
              </w:rPr>
            </w:pPr>
          </w:p>
        </w:tc>
        <w:tc>
          <w:tcPr>
            <w:tcW w:w="754" w:type="dxa"/>
            <w:tcBorders>
              <w:bottom w:val="double" w:color="auto" w:sz="4" w:space="0"/>
            </w:tcBorders>
            <w:vAlign w:val="center"/>
          </w:tcPr>
          <w:p w14:paraId="79F2FBA3">
            <w:pPr>
              <w:spacing w:before="40" w:after="40"/>
              <w:jc w:val="center"/>
              <w:rPr>
                <w:sz w:val="20"/>
                <w:szCs w:val="20"/>
              </w:rPr>
            </w:pPr>
            <w:r>
              <w:rPr>
                <w:rFonts w:cs="Arial"/>
                <w:sz w:val="20"/>
                <w:szCs w:val="20"/>
              </w:rPr>
              <w:t> </w:t>
            </w:r>
          </w:p>
        </w:tc>
      </w:tr>
      <w:tr w14:paraId="5656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restart"/>
            <w:tcBorders>
              <w:top w:val="double" w:color="auto" w:sz="4" w:space="0"/>
              <w:right w:val="double" w:color="auto" w:sz="4" w:space="0"/>
            </w:tcBorders>
            <w:vAlign w:val="center"/>
          </w:tcPr>
          <w:p w14:paraId="6DB1A9EC">
            <w:pPr>
              <w:spacing w:before="40" w:after="40"/>
              <w:jc w:val="center"/>
              <w:rPr>
                <w:sz w:val="20"/>
                <w:szCs w:val="20"/>
              </w:rPr>
            </w:pPr>
            <w:r>
              <w:rPr>
                <w:sz w:val="20"/>
                <w:szCs w:val="20"/>
              </w:rPr>
              <w:t xml:space="preserve">(36 or 32) </w:t>
            </w:r>
            <w:r>
              <w:rPr>
                <w:rFonts w:cs="Arial"/>
                <w:sz w:val="20"/>
                <w:szCs w:val="20"/>
              </w:rPr>
              <w:t>×</w:t>
            </w:r>
            <w:r>
              <w:rPr>
                <w:sz w:val="20"/>
                <w:szCs w:val="20"/>
              </w:rPr>
              <w:t>18</w:t>
            </w:r>
          </w:p>
        </w:tc>
        <w:tc>
          <w:tcPr>
            <w:tcW w:w="751" w:type="dxa"/>
            <w:tcBorders>
              <w:top w:val="double" w:color="auto" w:sz="4" w:space="0"/>
              <w:left w:val="double" w:color="auto" w:sz="4" w:space="0"/>
            </w:tcBorders>
            <w:vAlign w:val="center"/>
          </w:tcPr>
          <w:p w14:paraId="53D0C46F">
            <w:pPr>
              <w:spacing w:before="40" w:after="40"/>
              <w:jc w:val="center"/>
              <w:rPr>
                <w:sz w:val="20"/>
                <w:szCs w:val="20"/>
              </w:rPr>
            </w:pPr>
            <w:r>
              <w:rPr>
                <w:rFonts w:cs="Arial"/>
                <w:sz w:val="20"/>
                <w:szCs w:val="20"/>
              </w:rPr>
              <w:t>256</w:t>
            </w:r>
          </w:p>
        </w:tc>
        <w:tc>
          <w:tcPr>
            <w:tcW w:w="752" w:type="dxa"/>
            <w:tcBorders>
              <w:top w:val="double" w:color="auto" w:sz="4" w:space="0"/>
            </w:tcBorders>
            <w:vAlign w:val="center"/>
          </w:tcPr>
          <w:p w14:paraId="0B0CC05A">
            <w:pPr>
              <w:spacing w:before="40" w:after="40"/>
              <w:jc w:val="center"/>
              <w:rPr>
                <w:sz w:val="20"/>
                <w:szCs w:val="20"/>
              </w:rPr>
            </w:pPr>
            <w:r>
              <w:rPr>
                <w:rFonts w:cs="Arial"/>
                <w:sz w:val="20"/>
                <w:szCs w:val="20"/>
              </w:rPr>
              <w:t>9</w:t>
            </w:r>
          </w:p>
        </w:tc>
        <w:tc>
          <w:tcPr>
            <w:tcW w:w="753" w:type="dxa"/>
            <w:tcBorders>
              <w:top w:val="double" w:color="auto" w:sz="4" w:space="0"/>
              <w:right w:val="double" w:color="auto" w:sz="4" w:space="0"/>
            </w:tcBorders>
            <w:vAlign w:val="center"/>
          </w:tcPr>
          <w:p w14:paraId="033BF100">
            <w:pPr>
              <w:spacing w:before="40" w:after="40"/>
              <w:jc w:val="center"/>
              <w:rPr>
                <w:sz w:val="20"/>
                <w:szCs w:val="20"/>
              </w:rPr>
            </w:pPr>
            <w:r>
              <w:rPr>
                <w:rFonts w:cs="Arial"/>
                <w:sz w:val="20"/>
                <w:szCs w:val="20"/>
              </w:rPr>
              <w:t>0.82</w:t>
            </w:r>
          </w:p>
        </w:tc>
        <w:tc>
          <w:tcPr>
            <w:tcW w:w="753" w:type="dxa"/>
            <w:tcBorders>
              <w:top w:val="double" w:color="auto" w:sz="4" w:space="0"/>
              <w:left w:val="double" w:color="auto" w:sz="4" w:space="0"/>
            </w:tcBorders>
            <w:vAlign w:val="center"/>
          </w:tcPr>
          <w:p w14:paraId="2D99383C">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6A0F2838">
            <w:pPr>
              <w:spacing w:before="40" w:after="40"/>
              <w:jc w:val="center"/>
              <w:rPr>
                <w:sz w:val="20"/>
                <w:szCs w:val="20"/>
              </w:rPr>
            </w:pPr>
            <w:r>
              <w:rPr>
                <w:rFonts w:cs="Arial"/>
                <w:sz w:val="20"/>
                <w:szCs w:val="20"/>
              </w:rPr>
              <w:t>16</w:t>
            </w:r>
          </w:p>
        </w:tc>
        <w:tc>
          <w:tcPr>
            <w:tcW w:w="753" w:type="dxa"/>
            <w:tcBorders>
              <w:top w:val="double" w:color="auto" w:sz="4" w:space="0"/>
              <w:right w:val="double" w:color="auto" w:sz="4" w:space="0"/>
            </w:tcBorders>
            <w:vAlign w:val="center"/>
          </w:tcPr>
          <w:p w14:paraId="6286D5B1">
            <w:pPr>
              <w:spacing w:before="40" w:after="40"/>
              <w:jc w:val="center"/>
              <w:rPr>
                <w:sz w:val="20"/>
                <w:szCs w:val="20"/>
              </w:rPr>
            </w:pPr>
            <w:r>
              <w:rPr>
                <w:rFonts w:cs="Arial"/>
                <w:sz w:val="20"/>
                <w:szCs w:val="20"/>
              </w:rPr>
              <w:t>0.80</w:t>
            </w:r>
          </w:p>
        </w:tc>
        <w:tc>
          <w:tcPr>
            <w:tcW w:w="752" w:type="dxa"/>
            <w:tcBorders>
              <w:top w:val="double" w:color="auto" w:sz="4" w:space="0"/>
              <w:right w:val="single" w:color="auto" w:sz="4" w:space="0"/>
            </w:tcBorders>
            <w:vAlign w:val="center"/>
          </w:tcPr>
          <w:p w14:paraId="69C0CFF9">
            <w:pPr>
              <w:spacing w:before="40" w:after="40"/>
              <w:jc w:val="center"/>
              <w:rPr>
                <w:rFonts w:cs="Arial"/>
                <w:sz w:val="20"/>
                <w:szCs w:val="20"/>
              </w:rPr>
            </w:pPr>
            <w:r>
              <w:rPr>
                <w:rFonts w:cs="Arial"/>
                <w:sz w:val="20"/>
                <w:szCs w:val="20"/>
              </w:rPr>
              <w:t>256</w:t>
            </w:r>
          </w:p>
        </w:tc>
        <w:tc>
          <w:tcPr>
            <w:tcW w:w="753" w:type="dxa"/>
            <w:tcBorders>
              <w:top w:val="double" w:color="auto" w:sz="4" w:space="0"/>
              <w:left w:val="single" w:color="auto" w:sz="4" w:space="0"/>
              <w:right w:val="single" w:color="auto" w:sz="4" w:space="0"/>
            </w:tcBorders>
            <w:vAlign w:val="center"/>
          </w:tcPr>
          <w:p w14:paraId="24F77A25">
            <w:pPr>
              <w:spacing w:before="40" w:after="40"/>
              <w:jc w:val="center"/>
              <w:rPr>
                <w:rFonts w:cs="Arial"/>
                <w:sz w:val="20"/>
                <w:szCs w:val="20"/>
              </w:rPr>
            </w:pPr>
            <w:r>
              <w:rPr>
                <w:rFonts w:cs="Arial"/>
                <w:sz w:val="20"/>
                <w:szCs w:val="20"/>
              </w:rPr>
              <w:t>16</w:t>
            </w:r>
          </w:p>
        </w:tc>
        <w:tc>
          <w:tcPr>
            <w:tcW w:w="754" w:type="dxa"/>
            <w:tcBorders>
              <w:top w:val="double" w:color="auto" w:sz="4" w:space="0"/>
              <w:left w:val="single" w:color="auto" w:sz="4" w:space="0"/>
              <w:right w:val="double" w:color="auto" w:sz="4" w:space="0"/>
            </w:tcBorders>
            <w:vAlign w:val="center"/>
          </w:tcPr>
          <w:p w14:paraId="4515AC7E">
            <w:pPr>
              <w:spacing w:before="40" w:after="40"/>
              <w:jc w:val="center"/>
              <w:rPr>
                <w:rFonts w:cs="Arial"/>
                <w:sz w:val="20"/>
                <w:szCs w:val="20"/>
              </w:rPr>
            </w:pPr>
            <w:r>
              <w:rPr>
                <w:sz w:val="20"/>
                <w:szCs w:val="20"/>
              </w:rPr>
              <w:t>0.85</w:t>
            </w:r>
          </w:p>
        </w:tc>
        <w:tc>
          <w:tcPr>
            <w:tcW w:w="753" w:type="dxa"/>
            <w:tcBorders>
              <w:top w:val="double" w:color="auto" w:sz="4" w:space="0"/>
              <w:left w:val="double" w:color="auto" w:sz="4" w:space="0"/>
            </w:tcBorders>
            <w:vAlign w:val="center"/>
          </w:tcPr>
          <w:p w14:paraId="6B872973">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3B4E0C26">
            <w:pPr>
              <w:spacing w:before="40" w:after="40"/>
              <w:jc w:val="center"/>
              <w:rPr>
                <w:sz w:val="20"/>
                <w:szCs w:val="20"/>
              </w:rPr>
            </w:pPr>
            <w:r>
              <w:rPr>
                <w:rFonts w:cs="Arial"/>
                <w:sz w:val="20"/>
                <w:szCs w:val="20"/>
              </w:rPr>
              <w:t>32</w:t>
            </w:r>
          </w:p>
        </w:tc>
        <w:tc>
          <w:tcPr>
            <w:tcW w:w="754" w:type="dxa"/>
            <w:tcBorders>
              <w:top w:val="double" w:color="auto" w:sz="4" w:space="0"/>
            </w:tcBorders>
            <w:vAlign w:val="center"/>
          </w:tcPr>
          <w:p w14:paraId="3C34F2E2">
            <w:pPr>
              <w:spacing w:before="40" w:after="40"/>
              <w:jc w:val="center"/>
              <w:rPr>
                <w:sz w:val="20"/>
                <w:szCs w:val="20"/>
              </w:rPr>
            </w:pPr>
            <w:r>
              <w:rPr>
                <w:rFonts w:cs="Arial"/>
                <w:sz w:val="20"/>
                <w:szCs w:val="20"/>
              </w:rPr>
              <w:t>0.58</w:t>
            </w:r>
          </w:p>
        </w:tc>
      </w:tr>
      <w:tr w14:paraId="457B2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right w:val="double" w:color="auto" w:sz="4" w:space="0"/>
            </w:tcBorders>
            <w:vAlign w:val="center"/>
          </w:tcPr>
          <w:p w14:paraId="54C04A06">
            <w:pPr>
              <w:spacing w:before="40" w:after="40"/>
              <w:jc w:val="center"/>
              <w:rPr>
                <w:sz w:val="20"/>
                <w:szCs w:val="20"/>
              </w:rPr>
            </w:pPr>
          </w:p>
        </w:tc>
        <w:tc>
          <w:tcPr>
            <w:tcW w:w="751" w:type="dxa"/>
            <w:tcBorders>
              <w:left w:val="double" w:color="auto" w:sz="4" w:space="0"/>
            </w:tcBorders>
            <w:vAlign w:val="center"/>
          </w:tcPr>
          <w:p w14:paraId="6FE4A83C">
            <w:pPr>
              <w:spacing w:before="40" w:after="40"/>
              <w:jc w:val="center"/>
              <w:rPr>
                <w:sz w:val="20"/>
                <w:szCs w:val="20"/>
              </w:rPr>
            </w:pPr>
            <w:r>
              <w:rPr>
                <w:rFonts w:cs="Arial"/>
                <w:sz w:val="20"/>
                <w:szCs w:val="20"/>
              </w:rPr>
              <w:t>128</w:t>
            </w:r>
          </w:p>
        </w:tc>
        <w:tc>
          <w:tcPr>
            <w:tcW w:w="752" w:type="dxa"/>
            <w:vAlign w:val="center"/>
          </w:tcPr>
          <w:p w14:paraId="321700C1">
            <w:pPr>
              <w:spacing w:before="40" w:after="40"/>
              <w:jc w:val="center"/>
              <w:rPr>
                <w:sz w:val="20"/>
                <w:szCs w:val="20"/>
              </w:rPr>
            </w:pPr>
            <w:r>
              <w:rPr>
                <w:rFonts w:cs="Arial"/>
                <w:sz w:val="20"/>
                <w:szCs w:val="20"/>
              </w:rPr>
              <w:t>9</w:t>
            </w:r>
          </w:p>
        </w:tc>
        <w:tc>
          <w:tcPr>
            <w:tcW w:w="753" w:type="dxa"/>
            <w:tcBorders>
              <w:right w:val="double" w:color="auto" w:sz="4" w:space="0"/>
            </w:tcBorders>
            <w:vAlign w:val="center"/>
          </w:tcPr>
          <w:p w14:paraId="3784C8CD">
            <w:pPr>
              <w:spacing w:before="40" w:after="40"/>
              <w:jc w:val="center"/>
              <w:rPr>
                <w:sz w:val="20"/>
                <w:szCs w:val="20"/>
              </w:rPr>
            </w:pPr>
            <w:r>
              <w:rPr>
                <w:rFonts w:cs="Arial"/>
                <w:sz w:val="20"/>
                <w:szCs w:val="20"/>
              </w:rPr>
              <w:t>0.82</w:t>
            </w:r>
          </w:p>
        </w:tc>
        <w:tc>
          <w:tcPr>
            <w:tcW w:w="753" w:type="dxa"/>
            <w:tcBorders>
              <w:left w:val="double" w:color="auto" w:sz="4" w:space="0"/>
            </w:tcBorders>
            <w:vAlign w:val="center"/>
          </w:tcPr>
          <w:p w14:paraId="7C182E65">
            <w:pPr>
              <w:spacing w:before="40" w:after="40"/>
              <w:jc w:val="center"/>
              <w:rPr>
                <w:sz w:val="20"/>
                <w:szCs w:val="20"/>
              </w:rPr>
            </w:pPr>
            <w:r>
              <w:rPr>
                <w:rFonts w:cs="Arial"/>
                <w:sz w:val="20"/>
                <w:szCs w:val="20"/>
              </w:rPr>
              <w:t>128</w:t>
            </w:r>
          </w:p>
        </w:tc>
        <w:tc>
          <w:tcPr>
            <w:tcW w:w="753" w:type="dxa"/>
            <w:vAlign w:val="center"/>
          </w:tcPr>
          <w:p w14:paraId="46B8D54C">
            <w:pPr>
              <w:spacing w:before="40" w:after="40"/>
              <w:jc w:val="center"/>
              <w:rPr>
                <w:sz w:val="20"/>
                <w:szCs w:val="20"/>
              </w:rPr>
            </w:pPr>
            <w:r>
              <w:rPr>
                <w:rFonts w:cs="Arial"/>
                <w:sz w:val="20"/>
                <w:szCs w:val="20"/>
              </w:rPr>
              <w:t>16</w:t>
            </w:r>
          </w:p>
        </w:tc>
        <w:tc>
          <w:tcPr>
            <w:tcW w:w="753" w:type="dxa"/>
            <w:tcBorders>
              <w:right w:val="double" w:color="auto" w:sz="4" w:space="0"/>
            </w:tcBorders>
            <w:vAlign w:val="center"/>
          </w:tcPr>
          <w:p w14:paraId="3BDBA125">
            <w:pPr>
              <w:spacing w:before="40" w:after="40"/>
              <w:jc w:val="center"/>
              <w:rPr>
                <w:sz w:val="20"/>
                <w:szCs w:val="20"/>
              </w:rPr>
            </w:pPr>
            <w:r>
              <w:rPr>
                <w:rFonts w:cs="Arial"/>
                <w:sz w:val="20"/>
                <w:szCs w:val="20"/>
              </w:rPr>
              <w:t>0.78</w:t>
            </w:r>
          </w:p>
        </w:tc>
        <w:tc>
          <w:tcPr>
            <w:tcW w:w="752" w:type="dxa"/>
            <w:tcBorders>
              <w:right w:val="single" w:color="auto" w:sz="4" w:space="0"/>
            </w:tcBorders>
            <w:vAlign w:val="center"/>
          </w:tcPr>
          <w:p w14:paraId="73C1EECA">
            <w:pPr>
              <w:spacing w:before="40" w:after="40"/>
              <w:jc w:val="center"/>
              <w:rPr>
                <w:rFonts w:cs="Arial"/>
                <w:sz w:val="20"/>
                <w:szCs w:val="20"/>
              </w:rPr>
            </w:pPr>
            <w:r>
              <w:rPr>
                <w:rFonts w:cs="Arial"/>
                <w:sz w:val="20"/>
                <w:szCs w:val="20"/>
              </w:rPr>
              <w:t>128</w:t>
            </w:r>
          </w:p>
        </w:tc>
        <w:tc>
          <w:tcPr>
            <w:tcW w:w="753" w:type="dxa"/>
            <w:tcBorders>
              <w:left w:val="single" w:color="auto" w:sz="4" w:space="0"/>
              <w:right w:val="single" w:color="auto" w:sz="4" w:space="0"/>
            </w:tcBorders>
            <w:vAlign w:val="center"/>
          </w:tcPr>
          <w:p w14:paraId="71F2C03A">
            <w:pPr>
              <w:spacing w:before="40" w:after="40"/>
              <w:jc w:val="center"/>
              <w:rPr>
                <w:rFonts w:cs="Arial"/>
                <w:sz w:val="20"/>
                <w:szCs w:val="20"/>
              </w:rPr>
            </w:pPr>
            <w:r>
              <w:rPr>
                <w:rFonts w:cs="Arial"/>
                <w:sz w:val="20"/>
                <w:szCs w:val="20"/>
              </w:rPr>
              <w:t>16</w:t>
            </w:r>
          </w:p>
        </w:tc>
        <w:tc>
          <w:tcPr>
            <w:tcW w:w="754" w:type="dxa"/>
            <w:tcBorders>
              <w:left w:val="single" w:color="auto" w:sz="4" w:space="0"/>
              <w:right w:val="double" w:color="auto" w:sz="4" w:space="0"/>
            </w:tcBorders>
            <w:vAlign w:val="center"/>
          </w:tcPr>
          <w:p w14:paraId="08C57339">
            <w:pPr>
              <w:spacing w:before="40" w:after="40"/>
              <w:jc w:val="center"/>
              <w:rPr>
                <w:rFonts w:cs="Arial"/>
                <w:sz w:val="20"/>
                <w:szCs w:val="20"/>
              </w:rPr>
            </w:pPr>
            <w:r>
              <w:rPr>
                <w:sz w:val="20"/>
                <w:szCs w:val="20"/>
              </w:rPr>
              <w:t>0.83</w:t>
            </w:r>
          </w:p>
        </w:tc>
        <w:tc>
          <w:tcPr>
            <w:tcW w:w="753" w:type="dxa"/>
            <w:tcBorders>
              <w:left w:val="double" w:color="auto" w:sz="4" w:space="0"/>
            </w:tcBorders>
            <w:vAlign w:val="center"/>
          </w:tcPr>
          <w:p w14:paraId="19E218D1">
            <w:pPr>
              <w:spacing w:before="40" w:after="40"/>
              <w:jc w:val="center"/>
              <w:rPr>
                <w:sz w:val="20"/>
                <w:szCs w:val="20"/>
              </w:rPr>
            </w:pPr>
            <w:r>
              <w:rPr>
                <w:rFonts w:cs="Arial"/>
                <w:sz w:val="20"/>
                <w:szCs w:val="20"/>
              </w:rPr>
              <w:t>128</w:t>
            </w:r>
          </w:p>
        </w:tc>
        <w:tc>
          <w:tcPr>
            <w:tcW w:w="753" w:type="dxa"/>
            <w:vAlign w:val="center"/>
          </w:tcPr>
          <w:p w14:paraId="11DECBDE">
            <w:pPr>
              <w:spacing w:before="40" w:after="40"/>
              <w:jc w:val="center"/>
              <w:rPr>
                <w:sz w:val="20"/>
                <w:szCs w:val="20"/>
              </w:rPr>
            </w:pPr>
            <w:r>
              <w:rPr>
                <w:rFonts w:cs="Arial"/>
                <w:sz w:val="20"/>
                <w:szCs w:val="20"/>
              </w:rPr>
              <w:t>32</w:t>
            </w:r>
          </w:p>
        </w:tc>
        <w:tc>
          <w:tcPr>
            <w:tcW w:w="754" w:type="dxa"/>
            <w:vAlign w:val="center"/>
          </w:tcPr>
          <w:p w14:paraId="2B3FB122">
            <w:pPr>
              <w:spacing w:before="40" w:after="40"/>
              <w:jc w:val="center"/>
              <w:rPr>
                <w:sz w:val="20"/>
                <w:szCs w:val="20"/>
              </w:rPr>
            </w:pPr>
            <w:r>
              <w:rPr>
                <w:rFonts w:cs="Arial"/>
                <w:sz w:val="20"/>
                <w:szCs w:val="20"/>
              </w:rPr>
              <w:t>0.59</w:t>
            </w:r>
          </w:p>
        </w:tc>
      </w:tr>
      <w:tr w14:paraId="2AF7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right w:val="double" w:color="auto" w:sz="4" w:space="0"/>
            </w:tcBorders>
            <w:vAlign w:val="center"/>
          </w:tcPr>
          <w:p w14:paraId="1FECDDC0">
            <w:pPr>
              <w:spacing w:before="40" w:after="40"/>
              <w:jc w:val="center"/>
              <w:rPr>
                <w:sz w:val="20"/>
                <w:szCs w:val="20"/>
              </w:rPr>
            </w:pPr>
          </w:p>
        </w:tc>
        <w:tc>
          <w:tcPr>
            <w:tcW w:w="751" w:type="dxa"/>
            <w:tcBorders>
              <w:left w:val="double" w:color="auto" w:sz="4" w:space="0"/>
            </w:tcBorders>
            <w:vAlign w:val="center"/>
          </w:tcPr>
          <w:p w14:paraId="5D03BF01">
            <w:pPr>
              <w:spacing w:before="40" w:after="40"/>
              <w:jc w:val="center"/>
              <w:rPr>
                <w:sz w:val="20"/>
                <w:szCs w:val="20"/>
              </w:rPr>
            </w:pPr>
            <w:r>
              <w:rPr>
                <w:rFonts w:cs="Arial"/>
                <w:sz w:val="20"/>
                <w:szCs w:val="20"/>
              </w:rPr>
              <w:t>64</w:t>
            </w:r>
          </w:p>
        </w:tc>
        <w:tc>
          <w:tcPr>
            <w:tcW w:w="752" w:type="dxa"/>
            <w:vAlign w:val="center"/>
          </w:tcPr>
          <w:p w14:paraId="73C3624D">
            <w:pPr>
              <w:spacing w:before="40" w:after="40"/>
              <w:jc w:val="center"/>
              <w:rPr>
                <w:sz w:val="20"/>
                <w:szCs w:val="20"/>
              </w:rPr>
            </w:pPr>
            <w:r>
              <w:rPr>
                <w:rFonts w:cs="Arial"/>
                <w:sz w:val="20"/>
                <w:szCs w:val="20"/>
              </w:rPr>
              <w:t>9</w:t>
            </w:r>
          </w:p>
        </w:tc>
        <w:tc>
          <w:tcPr>
            <w:tcW w:w="753" w:type="dxa"/>
            <w:tcBorders>
              <w:right w:val="double" w:color="auto" w:sz="4" w:space="0"/>
            </w:tcBorders>
            <w:vAlign w:val="center"/>
          </w:tcPr>
          <w:p w14:paraId="299F151E">
            <w:pPr>
              <w:spacing w:before="40" w:after="40"/>
              <w:jc w:val="center"/>
              <w:rPr>
                <w:sz w:val="20"/>
                <w:szCs w:val="20"/>
              </w:rPr>
            </w:pPr>
            <w:r>
              <w:rPr>
                <w:rFonts w:cs="Arial"/>
                <w:sz w:val="20"/>
                <w:szCs w:val="20"/>
              </w:rPr>
              <w:t>0.80</w:t>
            </w:r>
          </w:p>
        </w:tc>
        <w:tc>
          <w:tcPr>
            <w:tcW w:w="753" w:type="dxa"/>
            <w:tcBorders>
              <w:left w:val="double" w:color="auto" w:sz="4" w:space="0"/>
            </w:tcBorders>
            <w:vAlign w:val="center"/>
          </w:tcPr>
          <w:p w14:paraId="56F9DE2A">
            <w:pPr>
              <w:spacing w:before="40" w:after="40"/>
              <w:jc w:val="center"/>
              <w:rPr>
                <w:sz w:val="20"/>
                <w:szCs w:val="20"/>
              </w:rPr>
            </w:pPr>
            <w:r>
              <w:rPr>
                <w:rFonts w:cs="Arial"/>
                <w:sz w:val="20"/>
                <w:szCs w:val="20"/>
              </w:rPr>
              <w:t>64</w:t>
            </w:r>
          </w:p>
        </w:tc>
        <w:tc>
          <w:tcPr>
            <w:tcW w:w="753" w:type="dxa"/>
            <w:vAlign w:val="center"/>
          </w:tcPr>
          <w:p w14:paraId="4ACCC8EC">
            <w:pPr>
              <w:spacing w:before="40" w:after="40"/>
              <w:jc w:val="center"/>
              <w:rPr>
                <w:sz w:val="20"/>
                <w:szCs w:val="20"/>
              </w:rPr>
            </w:pPr>
            <w:r>
              <w:rPr>
                <w:rFonts w:cs="Arial"/>
                <w:sz w:val="20"/>
                <w:szCs w:val="20"/>
              </w:rPr>
              <w:t>16</w:t>
            </w:r>
          </w:p>
        </w:tc>
        <w:tc>
          <w:tcPr>
            <w:tcW w:w="753" w:type="dxa"/>
            <w:tcBorders>
              <w:right w:val="double" w:color="auto" w:sz="4" w:space="0"/>
            </w:tcBorders>
            <w:vAlign w:val="center"/>
          </w:tcPr>
          <w:p w14:paraId="2D44F381">
            <w:pPr>
              <w:spacing w:before="40" w:after="40"/>
              <w:jc w:val="center"/>
              <w:rPr>
                <w:sz w:val="20"/>
                <w:szCs w:val="20"/>
              </w:rPr>
            </w:pPr>
            <w:r>
              <w:rPr>
                <w:rFonts w:cs="Arial"/>
                <w:sz w:val="20"/>
                <w:szCs w:val="20"/>
              </w:rPr>
              <w:t>0.87</w:t>
            </w:r>
          </w:p>
        </w:tc>
        <w:tc>
          <w:tcPr>
            <w:tcW w:w="752" w:type="dxa"/>
            <w:tcBorders>
              <w:right w:val="single" w:color="auto" w:sz="4" w:space="0"/>
            </w:tcBorders>
            <w:vAlign w:val="center"/>
          </w:tcPr>
          <w:p w14:paraId="493E79AC">
            <w:pPr>
              <w:spacing w:before="40" w:after="40"/>
              <w:jc w:val="center"/>
              <w:rPr>
                <w:rFonts w:cs="Arial"/>
                <w:sz w:val="20"/>
                <w:szCs w:val="20"/>
              </w:rPr>
            </w:pPr>
            <w:r>
              <w:rPr>
                <w:rFonts w:cs="Arial"/>
                <w:sz w:val="20"/>
                <w:szCs w:val="20"/>
              </w:rPr>
              <w:t>64</w:t>
            </w:r>
          </w:p>
        </w:tc>
        <w:tc>
          <w:tcPr>
            <w:tcW w:w="753" w:type="dxa"/>
            <w:tcBorders>
              <w:left w:val="single" w:color="auto" w:sz="4" w:space="0"/>
              <w:right w:val="single" w:color="auto" w:sz="4" w:space="0"/>
            </w:tcBorders>
            <w:vAlign w:val="center"/>
          </w:tcPr>
          <w:p w14:paraId="7CCEA534">
            <w:pPr>
              <w:spacing w:before="40" w:after="40"/>
              <w:jc w:val="center"/>
              <w:rPr>
                <w:rFonts w:cs="Arial"/>
                <w:sz w:val="20"/>
                <w:szCs w:val="20"/>
              </w:rPr>
            </w:pPr>
            <w:r>
              <w:rPr>
                <w:rFonts w:cs="Arial"/>
                <w:sz w:val="20"/>
                <w:szCs w:val="20"/>
              </w:rPr>
              <w:t>16</w:t>
            </w:r>
          </w:p>
        </w:tc>
        <w:tc>
          <w:tcPr>
            <w:tcW w:w="754" w:type="dxa"/>
            <w:tcBorders>
              <w:left w:val="single" w:color="auto" w:sz="4" w:space="0"/>
              <w:right w:val="double" w:color="auto" w:sz="4" w:space="0"/>
            </w:tcBorders>
            <w:vAlign w:val="center"/>
          </w:tcPr>
          <w:p w14:paraId="1EA4C769">
            <w:pPr>
              <w:spacing w:before="40" w:after="40"/>
              <w:jc w:val="center"/>
              <w:rPr>
                <w:rFonts w:cs="Arial"/>
                <w:sz w:val="20"/>
                <w:szCs w:val="20"/>
              </w:rPr>
            </w:pPr>
            <w:r>
              <w:rPr>
                <w:sz w:val="20"/>
                <w:szCs w:val="20"/>
              </w:rPr>
              <w:t>0.88</w:t>
            </w:r>
          </w:p>
        </w:tc>
        <w:tc>
          <w:tcPr>
            <w:tcW w:w="753" w:type="dxa"/>
            <w:tcBorders>
              <w:left w:val="double" w:color="auto" w:sz="4" w:space="0"/>
            </w:tcBorders>
            <w:vAlign w:val="center"/>
          </w:tcPr>
          <w:p w14:paraId="3282C303">
            <w:pPr>
              <w:spacing w:before="40" w:after="40"/>
              <w:jc w:val="center"/>
              <w:rPr>
                <w:sz w:val="20"/>
                <w:szCs w:val="20"/>
              </w:rPr>
            </w:pPr>
            <w:r>
              <w:rPr>
                <w:rFonts w:cs="Arial"/>
                <w:sz w:val="20"/>
                <w:szCs w:val="20"/>
              </w:rPr>
              <w:t>64</w:t>
            </w:r>
          </w:p>
        </w:tc>
        <w:tc>
          <w:tcPr>
            <w:tcW w:w="753" w:type="dxa"/>
            <w:vAlign w:val="center"/>
          </w:tcPr>
          <w:p w14:paraId="5D8028F3">
            <w:pPr>
              <w:spacing w:before="40" w:after="40"/>
              <w:jc w:val="center"/>
              <w:rPr>
                <w:sz w:val="20"/>
                <w:szCs w:val="20"/>
              </w:rPr>
            </w:pPr>
            <w:r>
              <w:rPr>
                <w:rFonts w:cs="Arial"/>
                <w:sz w:val="20"/>
                <w:szCs w:val="20"/>
              </w:rPr>
              <w:t>32</w:t>
            </w:r>
          </w:p>
        </w:tc>
        <w:tc>
          <w:tcPr>
            <w:tcW w:w="754" w:type="dxa"/>
            <w:vAlign w:val="center"/>
          </w:tcPr>
          <w:p w14:paraId="18AFCA78">
            <w:pPr>
              <w:spacing w:before="40" w:after="40"/>
              <w:jc w:val="center"/>
              <w:rPr>
                <w:sz w:val="20"/>
                <w:szCs w:val="20"/>
              </w:rPr>
            </w:pPr>
            <w:r>
              <w:rPr>
                <w:rFonts w:cs="Arial"/>
                <w:sz w:val="20"/>
                <w:szCs w:val="20"/>
              </w:rPr>
              <w:t>0.72</w:t>
            </w:r>
          </w:p>
        </w:tc>
      </w:tr>
      <w:tr w14:paraId="152F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bottom w:val="double" w:color="auto" w:sz="4" w:space="0"/>
              <w:right w:val="double" w:color="auto" w:sz="4" w:space="0"/>
            </w:tcBorders>
            <w:vAlign w:val="center"/>
          </w:tcPr>
          <w:p w14:paraId="67E2DCD5">
            <w:pPr>
              <w:spacing w:before="40" w:after="40"/>
              <w:jc w:val="center"/>
              <w:rPr>
                <w:sz w:val="20"/>
                <w:szCs w:val="20"/>
              </w:rPr>
            </w:pPr>
          </w:p>
        </w:tc>
        <w:tc>
          <w:tcPr>
            <w:tcW w:w="751" w:type="dxa"/>
            <w:tcBorders>
              <w:left w:val="double" w:color="auto" w:sz="4" w:space="0"/>
              <w:bottom w:val="double" w:color="auto" w:sz="4" w:space="0"/>
            </w:tcBorders>
            <w:vAlign w:val="center"/>
          </w:tcPr>
          <w:p w14:paraId="053EC3BB">
            <w:pPr>
              <w:spacing w:before="40" w:after="40"/>
              <w:jc w:val="center"/>
              <w:rPr>
                <w:sz w:val="20"/>
                <w:szCs w:val="20"/>
              </w:rPr>
            </w:pPr>
          </w:p>
        </w:tc>
        <w:tc>
          <w:tcPr>
            <w:tcW w:w="752" w:type="dxa"/>
            <w:tcBorders>
              <w:bottom w:val="double" w:color="auto" w:sz="4" w:space="0"/>
            </w:tcBorders>
            <w:vAlign w:val="center"/>
          </w:tcPr>
          <w:p w14:paraId="53E78312">
            <w:pPr>
              <w:spacing w:before="40" w:after="40"/>
              <w:jc w:val="center"/>
              <w:rPr>
                <w:sz w:val="20"/>
                <w:szCs w:val="20"/>
              </w:rPr>
            </w:pPr>
          </w:p>
        </w:tc>
        <w:tc>
          <w:tcPr>
            <w:tcW w:w="753" w:type="dxa"/>
            <w:tcBorders>
              <w:bottom w:val="double" w:color="auto" w:sz="4" w:space="0"/>
              <w:right w:val="double" w:color="auto" w:sz="4" w:space="0"/>
            </w:tcBorders>
            <w:vAlign w:val="center"/>
          </w:tcPr>
          <w:p w14:paraId="739C34D5">
            <w:pPr>
              <w:spacing w:before="40" w:after="40"/>
              <w:jc w:val="center"/>
              <w:rPr>
                <w:sz w:val="20"/>
                <w:szCs w:val="20"/>
              </w:rPr>
            </w:pPr>
          </w:p>
        </w:tc>
        <w:tc>
          <w:tcPr>
            <w:tcW w:w="753" w:type="dxa"/>
            <w:tcBorders>
              <w:left w:val="double" w:color="auto" w:sz="4" w:space="0"/>
              <w:bottom w:val="double" w:color="auto" w:sz="4" w:space="0"/>
            </w:tcBorders>
            <w:vAlign w:val="center"/>
          </w:tcPr>
          <w:p w14:paraId="4AA3D3C7">
            <w:pPr>
              <w:spacing w:before="40" w:after="40"/>
              <w:jc w:val="center"/>
              <w:rPr>
                <w:sz w:val="20"/>
                <w:szCs w:val="20"/>
              </w:rPr>
            </w:pPr>
          </w:p>
        </w:tc>
        <w:tc>
          <w:tcPr>
            <w:tcW w:w="753" w:type="dxa"/>
            <w:tcBorders>
              <w:bottom w:val="double" w:color="auto" w:sz="4" w:space="0"/>
            </w:tcBorders>
            <w:vAlign w:val="center"/>
          </w:tcPr>
          <w:p w14:paraId="0A0051A3">
            <w:pPr>
              <w:spacing w:before="40" w:after="40"/>
              <w:jc w:val="center"/>
              <w:rPr>
                <w:sz w:val="20"/>
                <w:szCs w:val="20"/>
              </w:rPr>
            </w:pPr>
          </w:p>
        </w:tc>
        <w:tc>
          <w:tcPr>
            <w:tcW w:w="753" w:type="dxa"/>
            <w:tcBorders>
              <w:bottom w:val="double" w:color="auto" w:sz="4" w:space="0"/>
              <w:right w:val="double" w:color="auto" w:sz="4" w:space="0"/>
            </w:tcBorders>
            <w:vAlign w:val="center"/>
          </w:tcPr>
          <w:p w14:paraId="4948939C">
            <w:pPr>
              <w:spacing w:before="40" w:after="40"/>
              <w:jc w:val="center"/>
              <w:rPr>
                <w:sz w:val="20"/>
                <w:szCs w:val="20"/>
              </w:rPr>
            </w:pPr>
            <w:r>
              <w:rPr>
                <w:rFonts w:cs="Arial"/>
                <w:sz w:val="20"/>
                <w:szCs w:val="20"/>
              </w:rPr>
              <w:t> </w:t>
            </w:r>
          </w:p>
        </w:tc>
        <w:tc>
          <w:tcPr>
            <w:tcW w:w="752" w:type="dxa"/>
            <w:tcBorders>
              <w:bottom w:val="double" w:color="auto" w:sz="4" w:space="0"/>
              <w:right w:val="single" w:color="auto" w:sz="4" w:space="0"/>
            </w:tcBorders>
            <w:vAlign w:val="center"/>
          </w:tcPr>
          <w:p w14:paraId="0053A6C3">
            <w:pPr>
              <w:spacing w:before="40" w:after="40"/>
              <w:jc w:val="center"/>
              <w:rPr>
                <w:rFonts w:cs="Arial"/>
                <w:sz w:val="20"/>
                <w:szCs w:val="20"/>
              </w:rPr>
            </w:pPr>
          </w:p>
        </w:tc>
        <w:tc>
          <w:tcPr>
            <w:tcW w:w="753" w:type="dxa"/>
            <w:tcBorders>
              <w:left w:val="single" w:color="auto" w:sz="4" w:space="0"/>
              <w:bottom w:val="double" w:color="auto" w:sz="4" w:space="0"/>
              <w:right w:val="single" w:color="auto" w:sz="4" w:space="0"/>
            </w:tcBorders>
            <w:vAlign w:val="center"/>
          </w:tcPr>
          <w:p w14:paraId="24312736">
            <w:pPr>
              <w:spacing w:before="40" w:after="40"/>
              <w:jc w:val="center"/>
              <w:rPr>
                <w:rFonts w:cs="Arial"/>
                <w:sz w:val="20"/>
                <w:szCs w:val="20"/>
              </w:rPr>
            </w:pPr>
          </w:p>
        </w:tc>
        <w:tc>
          <w:tcPr>
            <w:tcW w:w="754" w:type="dxa"/>
            <w:tcBorders>
              <w:left w:val="single" w:color="auto" w:sz="4" w:space="0"/>
              <w:bottom w:val="double" w:color="auto" w:sz="4" w:space="0"/>
              <w:right w:val="double" w:color="auto" w:sz="4" w:space="0"/>
            </w:tcBorders>
            <w:vAlign w:val="center"/>
          </w:tcPr>
          <w:p w14:paraId="0CBA0815">
            <w:pPr>
              <w:spacing w:before="40" w:after="40"/>
              <w:jc w:val="center"/>
              <w:rPr>
                <w:rFonts w:cs="Arial"/>
                <w:sz w:val="20"/>
                <w:szCs w:val="20"/>
              </w:rPr>
            </w:pPr>
            <w:r>
              <w:rPr>
                <w:rFonts w:cs="Arial"/>
                <w:sz w:val="20"/>
                <w:szCs w:val="20"/>
              </w:rPr>
              <w:t> </w:t>
            </w:r>
          </w:p>
        </w:tc>
        <w:tc>
          <w:tcPr>
            <w:tcW w:w="753" w:type="dxa"/>
            <w:tcBorders>
              <w:left w:val="double" w:color="auto" w:sz="4" w:space="0"/>
              <w:bottom w:val="double" w:color="auto" w:sz="4" w:space="0"/>
            </w:tcBorders>
          </w:tcPr>
          <w:p w14:paraId="57D4B7BD">
            <w:pPr>
              <w:spacing w:before="40" w:after="40"/>
              <w:jc w:val="center"/>
              <w:rPr>
                <w:sz w:val="20"/>
                <w:szCs w:val="20"/>
              </w:rPr>
            </w:pPr>
            <w:r>
              <w:rPr>
                <w:rFonts w:cs="Arial"/>
                <w:sz w:val="20"/>
                <w:szCs w:val="20"/>
              </w:rPr>
              <w:t>32</w:t>
            </w:r>
          </w:p>
        </w:tc>
        <w:tc>
          <w:tcPr>
            <w:tcW w:w="753" w:type="dxa"/>
            <w:tcBorders>
              <w:bottom w:val="double" w:color="auto" w:sz="4" w:space="0"/>
            </w:tcBorders>
          </w:tcPr>
          <w:p w14:paraId="1699AAA6">
            <w:pPr>
              <w:spacing w:before="40" w:after="40"/>
              <w:jc w:val="center"/>
              <w:rPr>
                <w:sz w:val="20"/>
                <w:szCs w:val="20"/>
              </w:rPr>
            </w:pPr>
            <w:r>
              <w:rPr>
                <w:rFonts w:cs="Arial"/>
                <w:sz w:val="20"/>
                <w:szCs w:val="20"/>
              </w:rPr>
              <w:t>32</w:t>
            </w:r>
          </w:p>
        </w:tc>
        <w:tc>
          <w:tcPr>
            <w:tcW w:w="754" w:type="dxa"/>
            <w:tcBorders>
              <w:bottom w:val="double" w:color="auto" w:sz="4" w:space="0"/>
            </w:tcBorders>
            <w:vAlign w:val="center"/>
          </w:tcPr>
          <w:p w14:paraId="203465BE">
            <w:pPr>
              <w:spacing w:before="40" w:after="40"/>
              <w:jc w:val="center"/>
              <w:rPr>
                <w:sz w:val="20"/>
                <w:szCs w:val="20"/>
              </w:rPr>
            </w:pPr>
            <w:r>
              <w:rPr>
                <w:rFonts w:cs="Arial"/>
                <w:sz w:val="20"/>
                <w:szCs w:val="20"/>
              </w:rPr>
              <w:t>1.17</w:t>
            </w:r>
          </w:p>
        </w:tc>
      </w:tr>
      <w:tr w14:paraId="3D74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restart"/>
            <w:tcBorders>
              <w:top w:val="double" w:color="auto" w:sz="4" w:space="0"/>
              <w:right w:val="double" w:color="auto" w:sz="4" w:space="0"/>
            </w:tcBorders>
            <w:vAlign w:val="center"/>
          </w:tcPr>
          <w:p w14:paraId="6B0EA99D">
            <w:pPr>
              <w:spacing w:before="40" w:after="40"/>
              <w:jc w:val="center"/>
              <w:rPr>
                <w:sz w:val="20"/>
                <w:szCs w:val="20"/>
              </w:rPr>
            </w:pPr>
            <w:r>
              <w:rPr>
                <w:sz w:val="20"/>
                <w:szCs w:val="20"/>
              </w:rPr>
              <w:t xml:space="preserve">(18 or 16) </w:t>
            </w:r>
            <w:r>
              <w:rPr>
                <w:rFonts w:cs="Arial"/>
                <w:sz w:val="20"/>
                <w:szCs w:val="20"/>
              </w:rPr>
              <w:t>×</w:t>
            </w:r>
            <w:r>
              <w:rPr>
                <w:sz w:val="20"/>
                <w:szCs w:val="20"/>
              </w:rPr>
              <w:t>18</w:t>
            </w:r>
          </w:p>
        </w:tc>
        <w:tc>
          <w:tcPr>
            <w:tcW w:w="751" w:type="dxa"/>
            <w:tcBorders>
              <w:top w:val="double" w:color="auto" w:sz="4" w:space="0"/>
              <w:left w:val="double" w:color="auto" w:sz="4" w:space="0"/>
            </w:tcBorders>
            <w:vAlign w:val="center"/>
          </w:tcPr>
          <w:p w14:paraId="2C8DE3B2">
            <w:pPr>
              <w:spacing w:before="40" w:after="40"/>
              <w:jc w:val="center"/>
              <w:rPr>
                <w:sz w:val="20"/>
                <w:szCs w:val="20"/>
              </w:rPr>
            </w:pPr>
          </w:p>
        </w:tc>
        <w:tc>
          <w:tcPr>
            <w:tcW w:w="752" w:type="dxa"/>
            <w:tcBorders>
              <w:top w:val="double" w:color="auto" w:sz="4" w:space="0"/>
            </w:tcBorders>
            <w:vAlign w:val="center"/>
          </w:tcPr>
          <w:p w14:paraId="5A6500A6">
            <w:pPr>
              <w:spacing w:before="40" w:after="40"/>
              <w:jc w:val="center"/>
              <w:rPr>
                <w:sz w:val="20"/>
                <w:szCs w:val="20"/>
              </w:rPr>
            </w:pPr>
          </w:p>
        </w:tc>
        <w:tc>
          <w:tcPr>
            <w:tcW w:w="753" w:type="dxa"/>
            <w:tcBorders>
              <w:top w:val="double" w:color="auto" w:sz="4" w:space="0"/>
              <w:right w:val="double" w:color="auto" w:sz="4" w:space="0"/>
            </w:tcBorders>
            <w:vAlign w:val="center"/>
          </w:tcPr>
          <w:p w14:paraId="6FD6CA1A">
            <w:pPr>
              <w:spacing w:before="40" w:after="40"/>
              <w:jc w:val="center"/>
              <w:rPr>
                <w:sz w:val="20"/>
                <w:szCs w:val="20"/>
              </w:rPr>
            </w:pPr>
          </w:p>
        </w:tc>
        <w:tc>
          <w:tcPr>
            <w:tcW w:w="753" w:type="dxa"/>
            <w:tcBorders>
              <w:top w:val="double" w:color="auto" w:sz="4" w:space="0"/>
              <w:left w:val="double" w:color="auto" w:sz="4" w:space="0"/>
            </w:tcBorders>
            <w:vAlign w:val="center"/>
          </w:tcPr>
          <w:p w14:paraId="1E143392">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080B1FB7">
            <w:pPr>
              <w:spacing w:before="40" w:after="40"/>
              <w:jc w:val="center"/>
              <w:rPr>
                <w:sz w:val="20"/>
                <w:szCs w:val="20"/>
              </w:rPr>
            </w:pPr>
            <w:r>
              <w:rPr>
                <w:rFonts w:cs="Arial"/>
                <w:sz w:val="20"/>
                <w:szCs w:val="20"/>
              </w:rPr>
              <w:t>9</w:t>
            </w:r>
          </w:p>
        </w:tc>
        <w:tc>
          <w:tcPr>
            <w:tcW w:w="753" w:type="dxa"/>
            <w:tcBorders>
              <w:top w:val="double" w:color="auto" w:sz="4" w:space="0"/>
              <w:right w:val="double" w:color="auto" w:sz="4" w:space="0"/>
            </w:tcBorders>
            <w:vAlign w:val="center"/>
          </w:tcPr>
          <w:p w14:paraId="2DCC6162">
            <w:pPr>
              <w:spacing w:before="40" w:after="40"/>
              <w:jc w:val="center"/>
              <w:rPr>
                <w:sz w:val="20"/>
                <w:szCs w:val="20"/>
              </w:rPr>
            </w:pPr>
            <w:r>
              <w:rPr>
                <w:rFonts w:cs="Arial"/>
                <w:sz w:val="20"/>
                <w:szCs w:val="20"/>
              </w:rPr>
              <w:t>0.97</w:t>
            </w:r>
          </w:p>
        </w:tc>
        <w:tc>
          <w:tcPr>
            <w:tcW w:w="752" w:type="dxa"/>
            <w:tcBorders>
              <w:top w:val="double" w:color="auto" w:sz="4" w:space="0"/>
              <w:right w:val="single" w:color="auto" w:sz="4" w:space="0"/>
            </w:tcBorders>
            <w:vAlign w:val="center"/>
          </w:tcPr>
          <w:p w14:paraId="14C0C565">
            <w:pPr>
              <w:spacing w:before="40" w:after="40"/>
              <w:jc w:val="center"/>
              <w:rPr>
                <w:rFonts w:cs="Arial"/>
                <w:sz w:val="20"/>
                <w:szCs w:val="20"/>
              </w:rPr>
            </w:pPr>
            <w:r>
              <w:rPr>
                <w:rFonts w:cs="Arial"/>
                <w:sz w:val="20"/>
                <w:szCs w:val="20"/>
              </w:rPr>
              <w:t>256</w:t>
            </w:r>
          </w:p>
        </w:tc>
        <w:tc>
          <w:tcPr>
            <w:tcW w:w="753" w:type="dxa"/>
            <w:tcBorders>
              <w:top w:val="double" w:color="auto" w:sz="4" w:space="0"/>
              <w:left w:val="single" w:color="auto" w:sz="4" w:space="0"/>
              <w:right w:val="single" w:color="auto" w:sz="4" w:space="0"/>
            </w:tcBorders>
            <w:vAlign w:val="center"/>
          </w:tcPr>
          <w:p w14:paraId="42617089">
            <w:pPr>
              <w:spacing w:before="40" w:after="40"/>
              <w:jc w:val="center"/>
              <w:rPr>
                <w:rFonts w:cs="Arial"/>
                <w:sz w:val="20"/>
                <w:szCs w:val="20"/>
              </w:rPr>
            </w:pPr>
            <w:r>
              <w:rPr>
                <w:rFonts w:cs="Arial"/>
                <w:sz w:val="20"/>
                <w:szCs w:val="20"/>
              </w:rPr>
              <w:t>9</w:t>
            </w:r>
          </w:p>
        </w:tc>
        <w:tc>
          <w:tcPr>
            <w:tcW w:w="754" w:type="dxa"/>
            <w:tcBorders>
              <w:top w:val="double" w:color="auto" w:sz="4" w:space="0"/>
              <w:left w:val="single" w:color="auto" w:sz="4" w:space="0"/>
              <w:right w:val="double" w:color="auto" w:sz="4" w:space="0"/>
            </w:tcBorders>
            <w:vAlign w:val="center"/>
          </w:tcPr>
          <w:p w14:paraId="2F26FE21">
            <w:pPr>
              <w:spacing w:before="40" w:after="40"/>
              <w:jc w:val="center"/>
              <w:rPr>
                <w:rFonts w:cs="Arial"/>
                <w:sz w:val="20"/>
                <w:szCs w:val="20"/>
              </w:rPr>
            </w:pPr>
            <w:r>
              <w:rPr>
                <w:sz w:val="20"/>
                <w:szCs w:val="20"/>
              </w:rPr>
              <w:t>1.01</w:t>
            </w:r>
          </w:p>
        </w:tc>
        <w:tc>
          <w:tcPr>
            <w:tcW w:w="753" w:type="dxa"/>
            <w:tcBorders>
              <w:top w:val="double" w:color="auto" w:sz="4" w:space="0"/>
              <w:left w:val="double" w:color="auto" w:sz="4" w:space="0"/>
            </w:tcBorders>
            <w:vAlign w:val="center"/>
          </w:tcPr>
          <w:p w14:paraId="05F000F9">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636200C9">
            <w:pPr>
              <w:spacing w:before="40" w:after="40"/>
              <w:jc w:val="center"/>
              <w:rPr>
                <w:sz w:val="20"/>
                <w:szCs w:val="20"/>
              </w:rPr>
            </w:pPr>
            <w:r>
              <w:rPr>
                <w:rFonts w:cs="Arial"/>
                <w:sz w:val="20"/>
                <w:szCs w:val="20"/>
              </w:rPr>
              <w:t>16</w:t>
            </w:r>
          </w:p>
        </w:tc>
        <w:tc>
          <w:tcPr>
            <w:tcW w:w="754" w:type="dxa"/>
            <w:tcBorders>
              <w:top w:val="double" w:color="auto" w:sz="4" w:space="0"/>
            </w:tcBorders>
            <w:vAlign w:val="center"/>
          </w:tcPr>
          <w:p w14:paraId="41C4FEEE">
            <w:pPr>
              <w:spacing w:before="40" w:after="40"/>
              <w:jc w:val="center"/>
              <w:rPr>
                <w:sz w:val="20"/>
                <w:szCs w:val="20"/>
              </w:rPr>
            </w:pPr>
            <w:r>
              <w:rPr>
                <w:rFonts w:cs="Arial"/>
                <w:sz w:val="20"/>
                <w:szCs w:val="20"/>
              </w:rPr>
              <w:t>0.69</w:t>
            </w:r>
          </w:p>
        </w:tc>
      </w:tr>
      <w:tr w14:paraId="33760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right w:val="double" w:color="auto" w:sz="4" w:space="0"/>
            </w:tcBorders>
            <w:vAlign w:val="center"/>
          </w:tcPr>
          <w:p w14:paraId="41A1DEC1">
            <w:pPr>
              <w:spacing w:before="40" w:after="40"/>
              <w:jc w:val="center"/>
              <w:rPr>
                <w:sz w:val="20"/>
                <w:szCs w:val="20"/>
              </w:rPr>
            </w:pPr>
          </w:p>
        </w:tc>
        <w:tc>
          <w:tcPr>
            <w:tcW w:w="751" w:type="dxa"/>
            <w:tcBorders>
              <w:left w:val="double" w:color="auto" w:sz="4" w:space="0"/>
            </w:tcBorders>
            <w:vAlign w:val="center"/>
          </w:tcPr>
          <w:p w14:paraId="79EB5851">
            <w:pPr>
              <w:spacing w:before="40" w:after="40"/>
              <w:jc w:val="center"/>
              <w:rPr>
                <w:sz w:val="20"/>
                <w:szCs w:val="20"/>
              </w:rPr>
            </w:pPr>
          </w:p>
        </w:tc>
        <w:tc>
          <w:tcPr>
            <w:tcW w:w="752" w:type="dxa"/>
            <w:vAlign w:val="center"/>
          </w:tcPr>
          <w:p w14:paraId="54A82332">
            <w:pPr>
              <w:spacing w:before="40" w:after="40"/>
              <w:jc w:val="center"/>
              <w:rPr>
                <w:sz w:val="20"/>
                <w:szCs w:val="20"/>
              </w:rPr>
            </w:pPr>
          </w:p>
        </w:tc>
        <w:tc>
          <w:tcPr>
            <w:tcW w:w="753" w:type="dxa"/>
            <w:tcBorders>
              <w:right w:val="double" w:color="auto" w:sz="4" w:space="0"/>
            </w:tcBorders>
            <w:vAlign w:val="center"/>
          </w:tcPr>
          <w:p w14:paraId="515B1419">
            <w:pPr>
              <w:spacing w:before="40" w:after="40"/>
              <w:jc w:val="center"/>
              <w:rPr>
                <w:sz w:val="20"/>
                <w:szCs w:val="20"/>
              </w:rPr>
            </w:pPr>
          </w:p>
        </w:tc>
        <w:tc>
          <w:tcPr>
            <w:tcW w:w="753" w:type="dxa"/>
            <w:tcBorders>
              <w:left w:val="double" w:color="auto" w:sz="4" w:space="0"/>
            </w:tcBorders>
            <w:vAlign w:val="center"/>
          </w:tcPr>
          <w:p w14:paraId="2E1EE23E">
            <w:pPr>
              <w:spacing w:before="40" w:after="40"/>
              <w:jc w:val="center"/>
              <w:rPr>
                <w:sz w:val="20"/>
                <w:szCs w:val="20"/>
              </w:rPr>
            </w:pPr>
            <w:r>
              <w:rPr>
                <w:rFonts w:cs="Arial"/>
                <w:sz w:val="20"/>
                <w:szCs w:val="20"/>
              </w:rPr>
              <w:t>128</w:t>
            </w:r>
          </w:p>
        </w:tc>
        <w:tc>
          <w:tcPr>
            <w:tcW w:w="753" w:type="dxa"/>
            <w:vAlign w:val="center"/>
          </w:tcPr>
          <w:p w14:paraId="71DA3239">
            <w:pPr>
              <w:spacing w:before="40" w:after="40"/>
              <w:jc w:val="center"/>
              <w:rPr>
                <w:sz w:val="20"/>
                <w:szCs w:val="20"/>
              </w:rPr>
            </w:pPr>
            <w:r>
              <w:rPr>
                <w:rFonts w:cs="Arial"/>
                <w:sz w:val="20"/>
                <w:szCs w:val="20"/>
              </w:rPr>
              <w:t>9</w:t>
            </w:r>
          </w:p>
        </w:tc>
        <w:tc>
          <w:tcPr>
            <w:tcW w:w="753" w:type="dxa"/>
            <w:tcBorders>
              <w:right w:val="double" w:color="auto" w:sz="4" w:space="0"/>
            </w:tcBorders>
            <w:vAlign w:val="center"/>
          </w:tcPr>
          <w:p w14:paraId="5AC59C68">
            <w:pPr>
              <w:spacing w:before="40" w:after="40"/>
              <w:jc w:val="center"/>
              <w:rPr>
                <w:sz w:val="20"/>
                <w:szCs w:val="20"/>
              </w:rPr>
            </w:pPr>
            <w:r>
              <w:rPr>
                <w:rFonts w:cs="Arial"/>
                <w:sz w:val="20"/>
                <w:szCs w:val="20"/>
              </w:rPr>
              <w:t>0.95</w:t>
            </w:r>
          </w:p>
        </w:tc>
        <w:tc>
          <w:tcPr>
            <w:tcW w:w="752" w:type="dxa"/>
            <w:tcBorders>
              <w:right w:val="single" w:color="auto" w:sz="4" w:space="0"/>
            </w:tcBorders>
            <w:vAlign w:val="center"/>
          </w:tcPr>
          <w:p w14:paraId="6A0E2A9B">
            <w:pPr>
              <w:spacing w:before="40" w:after="40"/>
              <w:jc w:val="center"/>
              <w:rPr>
                <w:rFonts w:cs="Arial"/>
                <w:sz w:val="20"/>
                <w:szCs w:val="20"/>
              </w:rPr>
            </w:pPr>
            <w:r>
              <w:rPr>
                <w:rFonts w:cs="Arial"/>
                <w:sz w:val="20"/>
                <w:szCs w:val="20"/>
              </w:rPr>
              <w:t>128</w:t>
            </w:r>
          </w:p>
        </w:tc>
        <w:tc>
          <w:tcPr>
            <w:tcW w:w="753" w:type="dxa"/>
            <w:tcBorders>
              <w:left w:val="single" w:color="auto" w:sz="4" w:space="0"/>
              <w:right w:val="single" w:color="auto" w:sz="4" w:space="0"/>
            </w:tcBorders>
            <w:vAlign w:val="center"/>
          </w:tcPr>
          <w:p w14:paraId="3C855A92">
            <w:pPr>
              <w:spacing w:before="40" w:after="40"/>
              <w:jc w:val="center"/>
              <w:rPr>
                <w:rFonts w:cs="Arial"/>
                <w:sz w:val="20"/>
                <w:szCs w:val="20"/>
              </w:rPr>
            </w:pPr>
            <w:r>
              <w:rPr>
                <w:rFonts w:cs="Arial"/>
                <w:sz w:val="20"/>
                <w:szCs w:val="20"/>
              </w:rPr>
              <w:t>9</w:t>
            </w:r>
          </w:p>
        </w:tc>
        <w:tc>
          <w:tcPr>
            <w:tcW w:w="754" w:type="dxa"/>
            <w:tcBorders>
              <w:left w:val="single" w:color="auto" w:sz="4" w:space="0"/>
              <w:right w:val="double" w:color="auto" w:sz="4" w:space="0"/>
            </w:tcBorders>
            <w:vAlign w:val="center"/>
          </w:tcPr>
          <w:p w14:paraId="62F059D8">
            <w:pPr>
              <w:spacing w:before="40" w:after="40"/>
              <w:jc w:val="center"/>
              <w:rPr>
                <w:rFonts w:cs="Arial"/>
                <w:sz w:val="20"/>
                <w:szCs w:val="20"/>
              </w:rPr>
            </w:pPr>
            <w:r>
              <w:rPr>
                <w:sz w:val="20"/>
                <w:szCs w:val="20"/>
              </w:rPr>
              <w:t>0.99</w:t>
            </w:r>
          </w:p>
        </w:tc>
        <w:tc>
          <w:tcPr>
            <w:tcW w:w="753" w:type="dxa"/>
            <w:tcBorders>
              <w:left w:val="double" w:color="auto" w:sz="4" w:space="0"/>
            </w:tcBorders>
            <w:vAlign w:val="center"/>
          </w:tcPr>
          <w:p w14:paraId="39B3A642">
            <w:pPr>
              <w:spacing w:before="40" w:after="40"/>
              <w:jc w:val="center"/>
              <w:rPr>
                <w:sz w:val="20"/>
                <w:szCs w:val="20"/>
              </w:rPr>
            </w:pPr>
            <w:r>
              <w:rPr>
                <w:rFonts w:cs="Arial"/>
                <w:sz w:val="20"/>
                <w:szCs w:val="20"/>
              </w:rPr>
              <w:t>128</w:t>
            </w:r>
          </w:p>
        </w:tc>
        <w:tc>
          <w:tcPr>
            <w:tcW w:w="753" w:type="dxa"/>
            <w:vAlign w:val="center"/>
          </w:tcPr>
          <w:p w14:paraId="3BFE164E">
            <w:pPr>
              <w:spacing w:before="40" w:after="40"/>
              <w:jc w:val="center"/>
              <w:rPr>
                <w:sz w:val="20"/>
                <w:szCs w:val="20"/>
              </w:rPr>
            </w:pPr>
            <w:r>
              <w:rPr>
                <w:rFonts w:cs="Arial"/>
                <w:sz w:val="20"/>
                <w:szCs w:val="20"/>
              </w:rPr>
              <w:t>16</w:t>
            </w:r>
          </w:p>
        </w:tc>
        <w:tc>
          <w:tcPr>
            <w:tcW w:w="754" w:type="dxa"/>
            <w:vAlign w:val="center"/>
          </w:tcPr>
          <w:p w14:paraId="1DAA907F">
            <w:pPr>
              <w:spacing w:before="40" w:after="40"/>
              <w:jc w:val="center"/>
              <w:rPr>
                <w:sz w:val="20"/>
                <w:szCs w:val="20"/>
              </w:rPr>
            </w:pPr>
            <w:r>
              <w:rPr>
                <w:rFonts w:cs="Arial"/>
                <w:sz w:val="20"/>
                <w:szCs w:val="20"/>
              </w:rPr>
              <w:t>0.67</w:t>
            </w:r>
          </w:p>
        </w:tc>
      </w:tr>
      <w:tr w14:paraId="7DB5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bottom w:val="double" w:color="auto" w:sz="4" w:space="0"/>
              <w:right w:val="double" w:color="auto" w:sz="4" w:space="0"/>
            </w:tcBorders>
            <w:vAlign w:val="center"/>
          </w:tcPr>
          <w:p w14:paraId="525D9B12">
            <w:pPr>
              <w:spacing w:before="40" w:after="40"/>
              <w:jc w:val="center"/>
              <w:rPr>
                <w:sz w:val="20"/>
                <w:szCs w:val="20"/>
              </w:rPr>
            </w:pPr>
          </w:p>
        </w:tc>
        <w:tc>
          <w:tcPr>
            <w:tcW w:w="751" w:type="dxa"/>
            <w:tcBorders>
              <w:left w:val="double" w:color="auto" w:sz="4" w:space="0"/>
              <w:bottom w:val="double" w:color="auto" w:sz="4" w:space="0"/>
            </w:tcBorders>
            <w:vAlign w:val="center"/>
          </w:tcPr>
          <w:p w14:paraId="6C12D2FC">
            <w:pPr>
              <w:spacing w:before="40" w:after="40"/>
              <w:jc w:val="center"/>
              <w:rPr>
                <w:sz w:val="20"/>
                <w:szCs w:val="20"/>
              </w:rPr>
            </w:pPr>
          </w:p>
        </w:tc>
        <w:tc>
          <w:tcPr>
            <w:tcW w:w="752" w:type="dxa"/>
            <w:tcBorders>
              <w:bottom w:val="double" w:color="auto" w:sz="4" w:space="0"/>
            </w:tcBorders>
            <w:vAlign w:val="center"/>
          </w:tcPr>
          <w:p w14:paraId="2934F865">
            <w:pPr>
              <w:spacing w:before="40" w:after="40"/>
              <w:jc w:val="center"/>
              <w:rPr>
                <w:sz w:val="20"/>
                <w:szCs w:val="20"/>
              </w:rPr>
            </w:pPr>
          </w:p>
        </w:tc>
        <w:tc>
          <w:tcPr>
            <w:tcW w:w="753" w:type="dxa"/>
            <w:tcBorders>
              <w:bottom w:val="double" w:color="auto" w:sz="4" w:space="0"/>
              <w:right w:val="double" w:color="auto" w:sz="4" w:space="0"/>
            </w:tcBorders>
            <w:vAlign w:val="center"/>
          </w:tcPr>
          <w:p w14:paraId="702A156D">
            <w:pPr>
              <w:spacing w:before="40" w:after="40"/>
              <w:jc w:val="center"/>
              <w:rPr>
                <w:sz w:val="20"/>
                <w:szCs w:val="20"/>
              </w:rPr>
            </w:pPr>
          </w:p>
        </w:tc>
        <w:tc>
          <w:tcPr>
            <w:tcW w:w="753" w:type="dxa"/>
            <w:tcBorders>
              <w:left w:val="double" w:color="auto" w:sz="4" w:space="0"/>
              <w:bottom w:val="double" w:color="auto" w:sz="4" w:space="0"/>
            </w:tcBorders>
            <w:vAlign w:val="center"/>
          </w:tcPr>
          <w:p w14:paraId="1984F587">
            <w:pPr>
              <w:spacing w:before="40" w:after="40"/>
              <w:jc w:val="center"/>
              <w:rPr>
                <w:sz w:val="20"/>
                <w:szCs w:val="20"/>
              </w:rPr>
            </w:pPr>
            <w:r>
              <w:rPr>
                <w:rFonts w:cs="Arial"/>
                <w:sz w:val="20"/>
                <w:szCs w:val="20"/>
              </w:rPr>
              <w:t>64</w:t>
            </w:r>
          </w:p>
        </w:tc>
        <w:tc>
          <w:tcPr>
            <w:tcW w:w="753" w:type="dxa"/>
            <w:tcBorders>
              <w:bottom w:val="double" w:color="auto" w:sz="4" w:space="0"/>
            </w:tcBorders>
            <w:vAlign w:val="center"/>
          </w:tcPr>
          <w:p w14:paraId="1CCC0A7F">
            <w:pPr>
              <w:spacing w:before="40" w:after="40"/>
              <w:jc w:val="center"/>
              <w:rPr>
                <w:sz w:val="20"/>
                <w:szCs w:val="20"/>
              </w:rPr>
            </w:pPr>
            <w:r>
              <w:rPr>
                <w:rFonts w:cs="Arial"/>
                <w:sz w:val="20"/>
                <w:szCs w:val="20"/>
              </w:rPr>
              <w:t>9</w:t>
            </w:r>
          </w:p>
        </w:tc>
        <w:tc>
          <w:tcPr>
            <w:tcW w:w="753" w:type="dxa"/>
            <w:tcBorders>
              <w:bottom w:val="double" w:color="auto" w:sz="4" w:space="0"/>
              <w:right w:val="double" w:color="auto" w:sz="4" w:space="0"/>
            </w:tcBorders>
            <w:vAlign w:val="center"/>
          </w:tcPr>
          <w:p w14:paraId="5ABB646E">
            <w:pPr>
              <w:spacing w:before="40" w:after="40"/>
              <w:jc w:val="center"/>
              <w:rPr>
                <w:sz w:val="20"/>
                <w:szCs w:val="20"/>
              </w:rPr>
            </w:pPr>
            <w:r>
              <w:rPr>
                <w:rFonts w:cs="Arial"/>
                <w:sz w:val="20"/>
                <w:szCs w:val="20"/>
              </w:rPr>
              <w:t>0.99</w:t>
            </w:r>
          </w:p>
        </w:tc>
        <w:tc>
          <w:tcPr>
            <w:tcW w:w="752" w:type="dxa"/>
            <w:tcBorders>
              <w:bottom w:val="double" w:color="auto" w:sz="4" w:space="0"/>
              <w:right w:val="single" w:color="auto" w:sz="4" w:space="0"/>
            </w:tcBorders>
            <w:vAlign w:val="center"/>
          </w:tcPr>
          <w:p w14:paraId="6208B5F0">
            <w:pPr>
              <w:spacing w:before="40" w:after="40"/>
              <w:jc w:val="center"/>
              <w:rPr>
                <w:rFonts w:cs="Arial"/>
                <w:sz w:val="20"/>
                <w:szCs w:val="20"/>
              </w:rPr>
            </w:pPr>
            <w:r>
              <w:rPr>
                <w:rFonts w:cs="Arial"/>
                <w:sz w:val="20"/>
                <w:szCs w:val="20"/>
              </w:rPr>
              <w:t>64</w:t>
            </w:r>
          </w:p>
        </w:tc>
        <w:tc>
          <w:tcPr>
            <w:tcW w:w="753" w:type="dxa"/>
            <w:tcBorders>
              <w:left w:val="single" w:color="auto" w:sz="4" w:space="0"/>
              <w:bottom w:val="double" w:color="auto" w:sz="4" w:space="0"/>
              <w:right w:val="single" w:color="auto" w:sz="4" w:space="0"/>
            </w:tcBorders>
            <w:vAlign w:val="center"/>
          </w:tcPr>
          <w:p w14:paraId="03389A33">
            <w:pPr>
              <w:spacing w:before="40" w:after="40"/>
              <w:jc w:val="center"/>
              <w:rPr>
                <w:rFonts w:cs="Arial"/>
                <w:sz w:val="20"/>
                <w:szCs w:val="20"/>
              </w:rPr>
            </w:pPr>
            <w:r>
              <w:rPr>
                <w:rFonts w:cs="Arial"/>
                <w:sz w:val="20"/>
                <w:szCs w:val="20"/>
              </w:rPr>
              <w:t>9</w:t>
            </w:r>
          </w:p>
        </w:tc>
        <w:tc>
          <w:tcPr>
            <w:tcW w:w="754" w:type="dxa"/>
            <w:tcBorders>
              <w:left w:val="single" w:color="auto" w:sz="4" w:space="0"/>
              <w:bottom w:val="double" w:color="auto" w:sz="4" w:space="0"/>
              <w:right w:val="double" w:color="auto" w:sz="4" w:space="0"/>
            </w:tcBorders>
            <w:vAlign w:val="center"/>
          </w:tcPr>
          <w:p w14:paraId="2D803A1F">
            <w:pPr>
              <w:spacing w:before="40" w:after="40"/>
              <w:jc w:val="center"/>
              <w:rPr>
                <w:rFonts w:cs="Arial"/>
                <w:sz w:val="20"/>
                <w:szCs w:val="20"/>
              </w:rPr>
            </w:pPr>
            <w:r>
              <w:rPr>
                <w:sz w:val="20"/>
                <w:szCs w:val="20"/>
              </w:rPr>
              <w:t>0.99</w:t>
            </w:r>
          </w:p>
        </w:tc>
        <w:tc>
          <w:tcPr>
            <w:tcW w:w="753" w:type="dxa"/>
            <w:tcBorders>
              <w:left w:val="double" w:color="auto" w:sz="4" w:space="0"/>
              <w:bottom w:val="double" w:color="auto" w:sz="4" w:space="0"/>
            </w:tcBorders>
            <w:vAlign w:val="center"/>
          </w:tcPr>
          <w:p w14:paraId="2B427575">
            <w:pPr>
              <w:spacing w:before="40" w:after="40"/>
              <w:jc w:val="center"/>
              <w:rPr>
                <w:sz w:val="20"/>
                <w:szCs w:val="20"/>
              </w:rPr>
            </w:pPr>
            <w:r>
              <w:rPr>
                <w:rFonts w:cs="Arial"/>
                <w:sz w:val="20"/>
                <w:szCs w:val="20"/>
              </w:rPr>
              <w:t>64</w:t>
            </w:r>
          </w:p>
        </w:tc>
        <w:tc>
          <w:tcPr>
            <w:tcW w:w="753" w:type="dxa"/>
            <w:tcBorders>
              <w:bottom w:val="double" w:color="auto" w:sz="4" w:space="0"/>
            </w:tcBorders>
            <w:vAlign w:val="center"/>
          </w:tcPr>
          <w:p w14:paraId="2FA0CAD8">
            <w:pPr>
              <w:spacing w:before="40" w:after="40"/>
              <w:jc w:val="center"/>
              <w:rPr>
                <w:sz w:val="20"/>
                <w:szCs w:val="20"/>
              </w:rPr>
            </w:pPr>
            <w:r>
              <w:rPr>
                <w:rFonts w:cs="Arial"/>
                <w:sz w:val="20"/>
                <w:szCs w:val="20"/>
              </w:rPr>
              <w:t>16</w:t>
            </w:r>
          </w:p>
        </w:tc>
        <w:tc>
          <w:tcPr>
            <w:tcW w:w="754" w:type="dxa"/>
            <w:tcBorders>
              <w:bottom w:val="double" w:color="auto" w:sz="4" w:space="0"/>
            </w:tcBorders>
            <w:vAlign w:val="center"/>
          </w:tcPr>
          <w:p w14:paraId="469282EE">
            <w:pPr>
              <w:spacing w:before="40" w:after="40"/>
              <w:jc w:val="center"/>
              <w:rPr>
                <w:sz w:val="20"/>
                <w:szCs w:val="20"/>
              </w:rPr>
            </w:pPr>
            <w:r>
              <w:rPr>
                <w:rFonts w:cs="Arial"/>
                <w:sz w:val="20"/>
                <w:szCs w:val="20"/>
              </w:rPr>
              <w:t>0.75</w:t>
            </w:r>
          </w:p>
        </w:tc>
      </w:tr>
      <w:tr w14:paraId="222F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restart"/>
            <w:tcBorders>
              <w:top w:val="double" w:color="auto" w:sz="4" w:space="0"/>
              <w:right w:val="double" w:color="auto" w:sz="4" w:space="0"/>
            </w:tcBorders>
            <w:vAlign w:val="center"/>
          </w:tcPr>
          <w:p w14:paraId="40FBFA04">
            <w:pPr>
              <w:spacing w:before="40" w:after="40"/>
              <w:jc w:val="center"/>
              <w:rPr>
                <w:sz w:val="20"/>
                <w:szCs w:val="20"/>
              </w:rPr>
            </w:pPr>
            <w:r>
              <w:rPr>
                <w:sz w:val="20"/>
                <w:szCs w:val="20"/>
              </w:rPr>
              <w:t>9</w:t>
            </w:r>
            <w:r>
              <w:rPr>
                <w:rFonts w:cs="Arial"/>
                <w:sz w:val="20"/>
                <w:szCs w:val="20"/>
              </w:rPr>
              <w:t>×</w:t>
            </w:r>
            <w:r>
              <w:rPr>
                <w:sz w:val="20"/>
                <w:szCs w:val="20"/>
              </w:rPr>
              <w:t>18</w:t>
            </w:r>
          </w:p>
        </w:tc>
        <w:tc>
          <w:tcPr>
            <w:tcW w:w="751" w:type="dxa"/>
            <w:tcBorders>
              <w:top w:val="double" w:color="auto" w:sz="4" w:space="0"/>
              <w:left w:val="double" w:color="auto" w:sz="4" w:space="0"/>
            </w:tcBorders>
            <w:vAlign w:val="center"/>
          </w:tcPr>
          <w:p w14:paraId="1DB337F5">
            <w:pPr>
              <w:spacing w:before="40" w:after="40"/>
              <w:jc w:val="center"/>
              <w:rPr>
                <w:sz w:val="20"/>
                <w:szCs w:val="20"/>
              </w:rPr>
            </w:pPr>
          </w:p>
        </w:tc>
        <w:tc>
          <w:tcPr>
            <w:tcW w:w="752" w:type="dxa"/>
            <w:tcBorders>
              <w:top w:val="double" w:color="auto" w:sz="4" w:space="0"/>
            </w:tcBorders>
            <w:vAlign w:val="center"/>
          </w:tcPr>
          <w:p w14:paraId="7F7676EF">
            <w:pPr>
              <w:spacing w:before="40" w:after="40"/>
              <w:jc w:val="center"/>
              <w:rPr>
                <w:sz w:val="20"/>
                <w:szCs w:val="20"/>
              </w:rPr>
            </w:pPr>
          </w:p>
        </w:tc>
        <w:tc>
          <w:tcPr>
            <w:tcW w:w="753" w:type="dxa"/>
            <w:tcBorders>
              <w:top w:val="double" w:color="auto" w:sz="4" w:space="0"/>
              <w:right w:val="double" w:color="auto" w:sz="4" w:space="0"/>
            </w:tcBorders>
            <w:vAlign w:val="center"/>
          </w:tcPr>
          <w:p w14:paraId="7EBDB338">
            <w:pPr>
              <w:spacing w:before="40" w:after="40"/>
              <w:jc w:val="center"/>
              <w:rPr>
                <w:sz w:val="20"/>
                <w:szCs w:val="20"/>
              </w:rPr>
            </w:pPr>
          </w:p>
        </w:tc>
        <w:tc>
          <w:tcPr>
            <w:tcW w:w="753" w:type="dxa"/>
            <w:tcBorders>
              <w:top w:val="double" w:color="auto" w:sz="4" w:space="0"/>
              <w:left w:val="double" w:color="auto" w:sz="4" w:space="0"/>
            </w:tcBorders>
            <w:vAlign w:val="center"/>
          </w:tcPr>
          <w:p w14:paraId="4E916A0C">
            <w:pPr>
              <w:spacing w:before="40" w:after="40"/>
              <w:jc w:val="center"/>
              <w:rPr>
                <w:sz w:val="20"/>
                <w:szCs w:val="20"/>
              </w:rPr>
            </w:pPr>
          </w:p>
        </w:tc>
        <w:tc>
          <w:tcPr>
            <w:tcW w:w="753" w:type="dxa"/>
            <w:tcBorders>
              <w:top w:val="double" w:color="auto" w:sz="4" w:space="0"/>
            </w:tcBorders>
            <w:vAlign w:val="center"/>
          </w:tcPr>
          <w:p w14:paraId="3B9E2E31">
            <w:pPr>
              <w:spacing w:before="40" w:after="40"/>
              <w:jc w:val="center"/>
              <w:rPr>
                <w:sz w:val="20"/>
                <w:szCs w:val="20"/>
              </w:rPr>
            </w:pPr>
          </w:p>
        </w:tc>
        <w:tc>
          <w:tcPr>
            <w:tcW w:w="753" w:type="dxa"/>
            <w:tcBorders>
              <w:top w:val="double" w:color="auto" w:sz="4" w:space="0"/>
              <w:right w:val="double" w:color="auto" w:sz="4" w:space="0"/>
            </w:tcBorders>
            <w:vAlign w:val="center"/>
          </w:tcPr>
          <w:p w14:paraId="3E5EF3DB">
            <w:pPr>
              <w:spacing w:before="40" w:after="40"/>
              <w:jc w:val="center"/>
              <w:rPr>
                <w:sz w:val="20"/>
                <w:szCs w:val="20"/>
              </w:rPr>
            </w:pPr>
          </w:p>
        </w:tc>
        <w:tc>
          <w:tcPr>
            <w:tcW w:w="752" w:type="dxa"/>
            <w:tcBorders>
              <w:top w:val="double" w:color="auto" w:sz="4" w:space="0"/>
              <w:right w:val="single" w:color="auto" w:sz="4" w:space="0"/>
            </w:tcBorders>
          </w:tcPr>
          <w:p w14:paraId="5BBDDB2B">
            <w:pPr>
              <w:spacing w:before="40" w:after="40"/>
              <w:jc w:val="center"/>
              <w:rPr>
                <w:rFonts w:cs="Arial"/>
                <w:sz w:val="20"/>
                <w:szCs w:val="20"/>
              </w:rPr>
            </w:pPr>
          </w:p>
        </w:tc>
        <w:tc>
          <w:tcPr>
            <w:tcW w:w="753" w:type="dxa"/>
            <w:tcBorders>
              <w:top w:val="double" w:color="auto" w:sz="4" w:space="0"/>
              <w:left w:val="single" w:color="auto" w:sz="4" w:space="0"/>
              <w:right w:val="single" w:color="auto" w:sz="4" w:space="0"/>
            </w:tcBorders>
          </w:tcPr>
          <w:p w14:paraId="1D8DECD2">
            <w:pPr>
              <w:spacing w:before="40" w:after="40"/>
              <w:jc w:val="center"/>
              <w:rPr>
                <w:rFonts w:cs="Arial"/>
                <w:sz w:val="20"/>
                <w:szCs w:val="20"/>
              </w:rPr>
            </w:pPr>
          </w:p>
        </w:tc>
        <w:tc>
          <w:tcPr>
            <w:tcW w:w="754" w:type="dxa"/>
            <w:tcBorders>
              <w:top w:val="double" w:color="auto" w:sz="4" w:space="0"/>
              <w:left w:val="single" w:color="auto" w:sz="4" w:space="0"/>
              <w:right w:val="double" w:color="auto" w:sz="4" w:space="0"/>
            </w:tcBorders>
          </w:tcPr>
          <w:p w14:paraId="68C2F2DA">
            <w:pPr>
              <w:spacing w:before="40" w:after="40"/>
              <w:jc w:val="center"/>
              <w:rPr>
                <w:rFonts w:cs="Arial"/>
                <w:sz w:val="20"/>
                <w:szCs w:val="20"/>
              </w:rPr>
            </w:pPr>
          </w:p>
        </w:tc>
        <w:tc>
          <w:tcPr>
            <w:tcW w:w="753" w:type="dxa"/>
            <w:tcBorders>
              <w:top w:val="double" w:color="auto" w:sz="4" w:space="0"/>
              <w:left w:val="double" w:color="auto" w:sz="4" w:space="0"/>
            </w:tcBorders>
            <w:vAlign w:val="center"/>
          </w:tcPr>
          <w:p w14:paraId="19EB88BD">
            <w:pPr>
              <w:spacing w:before="40" w:after="40"/>
              <w:jc w:val="center"/>
              <w:rPr>
                <w:sz w:val="20"/>
                <w:szCs w:val="20"/>
              </w:rPr>
            </w:pPr>
            <w:r>
              <w:rPr>
                <w:rFonts w:cs="Arial"/>
                <w:sz w:val="20"/>
                <w:szCs w:val="20"/>
              </w:rPr>
              <w:t>256</w:t>
            </w:r>
          </w:p>
        </w:tc>
        <w:tc>
          <w:tcPr>
            <w:tcW w:w="753" w:type="dxa"/>
            <w:tcBorders>
              <w:top w:val="double" w:color="auto" w:sz="4" w:space="0"/>
            </w:tcBorders>
            <w:vAlign w:val="center"/>
          </w:tcPr>
          <w:p w14:paraId="7BE97194">
            <w:pPr>
              <w:spacing w:before="40" w:after="40"/>
              <w:jc w:val="center"/>
              <w:rPr>
                <w:sz w:val="20"/>
                <w:szCs w:val="20"/>
              </w:rPr>
            </w:pPr>
            <w:r>
              <w:rPr>
                <w:rFonts w:cs="Arial"/>
                <w:sz w:val="20"/>
                <w:szCs w:val="20"/>
              </w:rPr>
              <w:t>9</w:t>
            </w:r>
          </w:p>
        </w:tc>
        <w:tc>
          <w:tcPr>
            <w:tcW w:w="754" w:type="dxa"/>
            <w:tcBorders>
              <w:top w:val="double" w:color="auto" w:sz="4" w:space="0"/>
            </w:tcBorders>
            <w:vAlign w:val="center"/>
          </w:tcPr>
          <w:p w14:paraId="45B74070">
            <w:pPr>
              <w:spacing w:before="40" w:after="40"/>
              <w:jc w:val="center"/>
              <w:rPr>
                <w:sz w:val="20"/>
                <w:szCs w:val="20"/>
              </w:rPr>
            </w:pPr>
            <w:r>
              <w:rPr>
                <w:rFonts w:cs="Arial"/>
                <w:sz w:val="20"/>
                <w:szCs w:val="20"/>
              </w:rPr>
              <w:t>0.82</w:t>
            </w:r>
          </w:p>
        </w:tc>
      </w:tr>
      <w:tr w14:paraId="2D5D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right w:val="double" w:color="auto" w:sz="4" w:space="0"/>
            </w:tcBorders>
            <w:vAlign w:val="center"/>
          </w:tcPr>
          <w:p w14:paraId="2257239D">
            <w:pPr>
              <w:spacing w:before="40" w:after="40"/>
              <w:jc w:val="center"/>
              <w:rPr>
                <w:sz w:val="20"/>
                <w:szCs w:val="20"/>
              </w:rPr>
            </w:pPr>
          </w:p>
        </w:tc>
        <w:tc>
          <w:tcPr>
            <w:tcW w:w="751" w:type="dxa"/>
            <w:tcBorders>
              <w:left w:val="double" w:color="auto" w:sz="4" w:space="0"/>
            </w:tcBorders>
            <w:vAlign w:val="center"/>
          </w:tcPr>
          <w:p w14:paraId="03FE0140">
            <w:pPr>
              <w:spacing w:before="40" w:after="40"/>
              <w:jc w:val="center"/>
              <w:rPr>
                <w:sz w:val="20"/>
                <w:szCs w:val="20"/>
              </w:rPr>
            </w:pPr>
          </w:p>
        </w:tc>
        <w:tc>
          <w:tcPr>
            <w:tcW w:w="752" w:type="dxa"/>
            <w:vAlign w:val="center"/>
          </w:tcPr>
          <w:p w14:paraId="4282A51A">
            <w:pPr>
              <w:spacing w:before="40" w:after="40"/>
              <w:jc w:val="center"/>
              <w:rPr>
                <w:sz w:val="20"/>
                <w:szCs w:val="20"/>
              </w:rPr>
            </w:pPr>
          </w:p>
        </w:tc>
        <w:tc>
          <w:tcPr>
            <w:tcW w:w="753" w:type="dxa"/>
            <w:tcBorders>
              <w:right w:val="double" w:color="auto" w:sz="4" w:space="0"/>
            </w:tcBorders>
            <w:vAlign w:val="center"/>
          </w:tcPr>
          <w:p w14:paraId="2904C0C5">
            <w:pPr>
              <w:spacing w:before="40" w:after="40"/>
              <w:jc w:val="center"/>
              <w:rPr>
                <w:sz w:val="20"/>
                <w:szCs w:val="20"/>
              </w:rPr>
            </w:pPr>
          </w:p>
        </w:tc>
        <w:tc>
          <w:tcPr>
            <w:tcW w:w="753" w:type="dxa"/>
            <w:tcBorders>
              <w:left w:val="double" w:color="auto" w:sz="4" w:space="0"/>
            </w:tcBorders>
            <w:vAlign w:val="center"/>
          </w:tcPr>
          <w:p w14:paraId="366415BE">
            <w:pPr>
              <w:spacing w:before="40" w:after="40"/>
              <w:jc w:val="center"/>
              <w:rPr>
                <w:sz w:val="20"/>
                <w:szCs w:val="20"/>
              </w:rPr>
            </w:pPr>
          </w:p>
        </w:tc>
        <w:tc>
          <w:tcPr>
            <w:tcW w:w="753" w:type="dxa"/>
            <w:vAlign w:val="center"/>
          </w:tcPr>
          <w:p w14:paraId="38A2DB23">
            <w:pPr>
              <w:spacing w:before="40" w:after="40"/>
              <w:jc w:val="center"/>
              <w:rPr>
                <w:sz w:val="20"/>
                <w:szCs w:val="20"/>
              </w:rPr>
            </w:pPr>
          </w:p>
        </w:tc>
        <w:tc>
          <w:tcPr>
            <w:tcW w:w="753" w:type="dxa"/>
            <w:tcBorders>
              <w:right w:val="double" w:color="auto" w:sz="4" w:space="0"/>
            </w:tcBorders>
            <w:vAlign w:val="center"/>
          </w:tcPr>
          <w:p w14:paraId="5ABDA1A2">
            <w:pPr>
              <w:spacing w:before="40" w:after="40"/>
              <w:jc w:val="center"/>
              <w:rPr>
                <w:sz w:val="20"/>
                <w:szCs w:val="20"/>
              </w:rPr>
            </w:pPr>
          </w:p>
        </w:tc>
        <w:tc>
          <w:tcPr>
            <w:tcW w:w="752" w:type="dxa"/>
            <w:tcBorders>
              <w:right w:val="single" w:color="auto" w:sz="4" w:space="0"/>
            </w:tcBorders>
          </w:tcPr>
          <w:p w14:paraId="37EEAE7A">
            <w:pPr>
              <w:spacing w:before="40" w:after="40"/>
              <w:jc w:val="center"/>
              <w:rPr>
                <w:rFonts w:cs="Arial"/>
                <w:sz w:val="20"/>
                <w:szCs w:val="20"/>
              </w:rPr>
            </w:pPr>
          </w:p>
        </w:tc>
        <w:tc>
          <w:tcPr>
            <w:tcW w:w="753" w:type="dxa"/>
            <w:tcBorders>
              <w:left w:val="single" w:color="auto" w:sz="4" w:space="0"/>
              <w:right w:val="single" w:color="auto" w:sz="4" w:space="0"/>
            </w:tcBorders>
          </w:tcPr>
          <w:p w14:paraId="5AA84401">
            <w:pPr>
              <w:spacing w:before="40" w:after="40"/>
              <w:jc w:val="center"/>
              <w:rPr>
                <w:rFonts w:cs="Arial"/>
                <w:sz w:val="20"/>
                <w:szCs w:val="20"/>
              </w:rPr>
            </w:pPr>
          </w:p>
        </w:tc>
        <w:tc>
          <w:tcPr>
            <w:tcW w:w="754" w:type="dxa"/>
            <w:tcBorders>
              <w:left w:val="single" w:color="auto" w:sz="4" w:space="0"/>
              <w:right w:val="double" w:color="auto" w:sz="4" w:space="0"/>
            </w:tcBorders>
          </w:tcPr>
          <w:p w14:paraId="0445B15C">
            <w:pPr>
              <w:spacing w:before="40" w:after="40"/>
              <w:jc w:val="center"/>
              <w:rPr>
                <w:rFonts w:cs="Arial"/>
                <w:sz w:val="20"/>
                <w:szCs w:val="20"/>
              </w:rPr>
            </w:pPr>
          </w:p>
        </w:tc>
        <w:tc>
          <w:tcPr>
            <w:tcW w:w="753" w:type="dxa"/>
            <w:tcBorders>
              <w:left w:val="double" w:color="auto" w:sz="4" w:space="0"/>
            </w:tcBorders>
            <w:vAlign w:val="center"/>
          </w:tcPr>
          <w:p w14:paraId="00B1C57B">
            <w:pPr>
              <w:spacing w:before="40" w:after="40"/>
              <w:jc w:val="center"/>
              <w:rPr>
                <w:sz w:val="20"/>
                <w:szCs w:val="20"/>
              </w:rPr>
            </w:pPr>
            <w:r>
              <w:rPr>
                <w:rFonts w:cs="Arial"/>
                <w:sz w:val="20"/>
                <w:szCs w:val="20"/>
              </w:rPr>
              <w:t>128</w:t>
            </w:r>
          </w:p>
        </w:tc>
        <w:tc>
          <w:tcPr>
            <w:tcW w:w="753" w:type="dxa"/>
            <w:vAlign w:val="center"/>
          </w:tcPr>
          <w:p w14:paraId="3EF1B5DB">
            <w:pPr>
              <w:spacing w:before="40" w:after="40"/>
              <w:jc w:val="center"/>
              <w:rPr>
                <w:sz w:val="20"/>
                <w:szCs w:val="20"/>
              </w:rPr>
            </w:pPr>
            <w:r>
              <w:rPr>
                <w:rFonts w:cs="Arial"/>
                <w:sz w:val="20"/>
                <w:szCs w:val="20"/>
              </w:rPr>
              <w:t>9</w:t>
            </w:r>
          </w:p>
        </w:tc>
        <w:tc>
          <w:tcPr>
            <w:tcW w:w="754" w:type="dxa"/>
            <w:vAlign w:val="center"/>
          </w:tcPr>
          <w:p w14:paraId="59DA78E9">
            <w:pPr>
              <w:spacing w:before="40" w:after="40"/>
              <w:jc w:val="center"/>
              <w:rPr>
                <w:sz w:val="20"/>
                <w:szCs w:val="20"/>
              </w:rPr>
            </w:pPr>
            <w:r>
              <w:rPr>
                <w:rFonts w:cs="Arial"/>
                <w:sz w:val="20"/>
                <w:szCs w:val="20"/>
              </w:rPr>
              <w:t>0.81</w:t>
            </w:r>
          </w:p>
        </w:tc>
      </w:tr>
      <w:tr w14:paraId="4AB85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right w:val="double" w:color="auto" w:sz="4" w:space="0"/>
            </w:tcBorders>
            <w:vAlign w:val="center"/>
          </w:tcPr>
          <w:p w14:paraId="741BD6E9">
            <w:pPr>
              <w:spacing w:before="40" w:after="40"/>
              <w:jc w:val="center"/>
              <w:rPr>
                <w:sz w:val="20"/>
                <w:szCs w:val="20"/>
              </w:rPr>
            </w:pPr>
          </w:p>
        </w:tc>
        <w:tc>
          <w:tcPr>
            <w:tcW w:w="751" w:type="dxa"/>
            <w:tcBorders>
              <w:left w:val="double" w:color="auto" w:sz="4" w:space="0"/>
            </w:tcBorders>
            <w:vAlign w:val="center"/>
          </w:tcPr>
          <w:p w14:paraId="6B10A4B9">
            <w:pPr>
              <w:spacing w:before="40" w:after="40"/>
              <w:jc w:val="center"/>
              <w:rPr>
                <w:sz w:val="20"/>
                <w:szCs w:val="20"/>
              </w:rPr>
            </w:pPr>
          </w:p>
        </w:tc>
        <w:tc>
          <w:tcPr>
            <w:tcW w:w="752" w:type="dxa"/>
            <w:vAlign w:val="center"/>
          </w:tcPr>
          <w:p w14:paraId="788C459D">
            <w:pPr>
              <w:spacing w:before="40" w:after="40"/>
              <w:jc w:val="center"/>
              <w:rPr>
                <w:sz w:val="20"/>
                <w:szCs w:val="20"/>
              </w:rPr>
            </w:pPr>
          </w:p>
        </w:tc>
        <w:tc>
          <w:tcPr>
            <w:tcW w:w="753" w:type="dxa"/>
            <w:tcBorders>
              <w:right w:val="double" w:color="auto" w:sz="4" w:space="0"/>
            </w:tcBorders>
            <w:vAlign w:val="center"/>
          </w:tcPr>
          <w:p w14:paraId="38579458">
            <w:pPr>
              <w:spacing w:before="40" w:after="40"/>
              <w:jc w:val="center"/>
              <w:rPr>
                <w:sz w:val="20"/>
                <w:szCs w:val="20"/>
              </w:rPr>
            </w:pPr>
          </w:p>
        </w:tc>
        <w:tc>
          <w:tcPr>
            <w:tcW w:w="753" w:type="dxa"/>
            <w:tcBorders>
              <w:left w:val="double" w:color="auto" w:sz="4" w:space="0"/>
            </w:tcBorders>
            <w:vAlign w:val="center"/>
          </w:tcPr>
          <w:p w14:paraId="12E2B4A3">
            <w:pPr>
              <w:spacing w:before="40" w:after="40"/>
              <w:jc w:val="center"/>
              <w:rPr>
                <w:sz w:val="20"/>
                <w:szCs w:val="20"/>
              </w:rPr>
            </w:pPr>
          </w:p>
        </w:tc>
        <w:tc>
          <w:tcPr>
            <w:tcW w:w="753" w:type="dxa"/>
            <w:vAlign w:val="center"/>
          </w:tcPr>
          <w:p w14:paraId="1E387B54">
            <w:pPr>
              <w:spacing w:before="40" w:after="40"/>
              <w:jc w:val="center"/>
              <w:rPr>
                <w:sz w:val="20"/>
                <w:szCs w:val="20"/>
              </w:rPr>
            </w:pPr>
          </w:p>
        </w:tc>
        <w:tc>
          <w:tcPr>
            <w:tcW w:w="753" w:type="dxa"/>
            <w:tcBorders>
              <w:right w:val="double" w:color="auto" w:sz="4" w:space="0"/>
            </w:tcBorders>
            <w:vAlign w:val="center"/>
          </w:tcPr>
          <w:p w14:paraId="77DFFC23">
            <w:pPr>
              <w:spacing w:before="40" w:after="40"/>
              <w:jc w:val="center"/>
              <w:rPr>
                <w:sz w:val="20"/>
                <w:szCs w:val="20"/>
              </w:rPr>
            </w:pPr>
          </w:p>
        </w:tc>
        <w:tc>
          <w:tcPr>
            <w:tcW w:w="752" w:type="dxa"/>
            <w:tcBorders>
              <w:right w:val="single" w:color="auto" w:sz="4" w:space="0"/>
            </w:tcBorders>
          </w:tcPr>
          <w:p w14:paraId="66D8B483">
            <w:pPr>
              <w:spacing w:before="40" w:after="40"/>
              <w:jc w:val="center"/>
              <w:rPr>
                <w:rFonts w:cs="Arial"/>
                <w:sz w:val="20"/>
                <w:szCs w:val="20"/>
              </w:rPr>
            </w:pPr>
          </w:p>
        </w:tc>
        <w:tc>
          <w:tcPr>
            <w:tcW w:w="753" w:type="dxa"/>
            <w:tcBorders>
              <w:left w:val="single" w:color="auto" w:sz="4" w:space="0"/>
              <w:right w:val="single" w:color="auto" w:sz="4" w:space="0"/>
            </w:tcBorders>
          </w:tcPr>
          <w:p w14:paraId="2291F1B7">
            <w:pPr>
              <w:spacing w:before="40" w:after="40"/>
              <w:jc w:val="center"/>
              <w:rPr>
                <w:rFonts w:cs="Arial"/>
                <w:sz w:val="20"/>
                <w:szCs w:val="20"/>
              </w:rPr>
            </w:pPr>
          </w:p>
        </w:tc>
        <w:tc>
          <w:tcPr>
            <w:tcW w:w="754" w:type="dxa"/>
            <w:tcBorders>
              <w:left w:val="single" w:color="auto" w:sz="4" w:space="0"/>
              <w:right w:val="double" w:color="auto" w:sz="4" w:space="0"/>
            </w:tcBorders>
          </w:tcPr>
          <w:p w14:paraId="53F2B114">
            <w:pPr>
              <w:spacing w:before="40" w:after="40"/>
              <w:jc w:val="center"/>
              <w:rPr>
                <w:rFonts w:cs="Arial"/>
                <w:sz w:val="20"/>
                <w:szCs w:val="20"/>
              </w:rPr>
            </w:pPr>
          </w:p>
        </w:tc>
        <w:tc>
          <w:tcPr>
            <w:tcW w:w="753" w:type="dxa"/>
            <w:tcBorders>
              <w:left w:val="double" w:color="auto" w:sz="4" w:space="0"/>
            </w:tcBorders>
            <w:vAlign w:val="center"/>
          </w:tcPr>
          <w:p w14:paraId="20801D91">
            <w:pPr>
              <w:spacing w:before="40" w:after="40"/>
              <w:jc w:val="center"/>
              <w:rPr>
                <w:rFonts w:cs="Arial"/>
                <w:sz w:val="20"/>
                <w:szCs w:val="20"/>
              </w:rPr>
            </w:pPr>
            <w:r>
              <w:rPr>
                <w:rFonts w:cs="Arial"/>
                <w:sz w:val="20"/>
                <w:szCs w:val="20"/>
              </w:rPr>
              <w:t>64</w:t>
            </w:r>
          </w:p>
        </w:tc>
        <w:tc>
          <w:tcPr>
            <w:tcW w:w="753" w:type="dxa"/>
            <w:vAlign w:val="center"/>
          </w:tcPr>
          <w:p w14:paraId="6DFAFA39">
            <w:pPr>
              <w:spacing w:before="40" w:after="40"/>
              <w:jc w:val="center"/>
              <w:rPr>
                <w:rFonts w:cs="Arial"/>
                <w:sz w:val="20"/>
                <w:szCs w:val="20"/>
              </w:rPr>
            </w:pPr>
            <w:r>
              <w:rPr>
                <w:rFonts w:cs="Arial"/>
                <w:sz w:val="20"/>
                <w:szCs w:val="20"/>
              </w:rPr>
              <w:t>9</w:t>
            </w:r>
          </w:p>
        </w:tc>
        <w:tc>
          <w:tcPr>
            <w:tcW w:w="754" w:type="dxa"/>
            <w:vAlign w:val="center"/>
          </w:tcPr>
          <w:p w14:paraId="505E3F89">
            <w:pPr>
              <w:spacing w:before="40" w:after="40"/>
              <w:jc w:val="center"/>
              <w:rPr>
                <w:sz w:val="20"/>
                <w:szCs w:val="20"/>
              </w:rPr>
            </w:pPr>
            <w:r>
              <w:rPr>
                <w:rFonts w:cs="Arial"/>
                <w:sz w:val="20"/>
                <w:szCs w:val="20"/>
              </w:rPr>
              <w:t>0.82</w:t>
            </w:r>
          </w:p>
        </w:tc>
      </w:tr>
    </w:tbl>
    <w:p w14:paraId="1D8B3F8C"/>
    <w:p w14:paraId="0211AE90">
      <w:pPr>
        <w:pStyle w:val="29"/>
      </w:pPr>
      <w:bookmarkStart w:id="1504" w:name="_Ref163133373"/>
      <w:r>
        <w:t xml:space="preserve">Table </w:t>
      </w:r>
      <w:r>
        <w:fldChar w:fldCharType="begin"/>
      </w:r>
      <w:r>
        <w:instrText xml:space="preserve"> SEQ Table \* ARABIC </w:instrText>
      </w:r>
      <w:r>
        <w:fldChar w:fldCharType="separate"/>
      </w:r>
      <w:r>
        <w:t>5</w:t>
      </w:r>
      <w:r>
        <w:fldChar w:fldCharType="end"/>
      </w:r>
      <w:bookmarkEnd w:id="1504"/>
      <w:r>
        <w:t xml:space="preserve"> Comparison of 90%tile 2D UE positioning errors </w:t>
      </w:r>
      <m:oMath>
        <m:sSub>
          <m:sSubPr>
            <m:ctrlPr>
              <w:rPr>
                <w:rFonts w:ascii="Cambria Math" w:hAnsi="Cambria Math" w:eastAsia="Calibri"/>
                <w:i/>
              </w:rPr>
            </m:ctrlPr>
          </m:sSubPr>
          <m:e>
            <m:r>
              <m:rPr>
                <m:sty m:val="b"/>
              </m:rPr>
              <w:rPr>
                <w:rFonts w:ascii="Cambria Math" w:hAnsi="Cambria Math"/>
              </w:rPr>
              <m:t>Δ</m:t>
            </m:r>
            <m:ctrlPr>
              <w:rPr>
                <w:rFonts w:ascii="Cambria Math" w:hAnsi="Cambria Math"/>
              </w:rPr>
            </m:ctrlPr>
          </m:e>
          <m:sub>
            <m:r>
              <m:rPr>
                <m:sty m:val="bi"/>
              </m:rPr>
              <w:rPr>
                <w:rFonts w:ascii="Cambria Math" w:hAnsi="Cambria Math"/>
              </w:rPr>
              <m:t>90%</m:t>
            </m:r>
            <m:ctrlPr>
              <w:rPr>
                <w:rFonts w:ascii="Cambria Math" w:hAnsi="Cambria Math" w:eastAsia="Calibri"/>
                <w:i/>
              </w:rPr>
            </m:ctrlPr>
          </m:sub>
        </m:sSub>
      </m:oMath>
      <w:r>
        <w:t xml:space="preserve"> (in meters) for 2-port CIR and PDP using different combination of sample lengths and sub-sampling sizes in the </w:t>
      </w:r>
      <w:r>
        <w:rPr>
          <w:lang w:eastAsia="ja-JP"/>
        </w:rPr>
        <w:t>{60%, 6m, 2m} InF-DH scenario</w:t>
      </w:r>
      <w:r>
        <w:t xml:space="preserve">. The positioning accuracy is for the “small model” for centralized direct positioning trained with 40,000 samples </w:t>
      </w:r>
      <w:r>
        <w:fldChar w:fldCharType="begin"/>
      </w:r>
      <w:r>
        <w:instrText xml:space="preserve"> REF _Ref158730650 \r \h </w:instrText>
      </w:r>
      <w:r>
        <w:fldChar w:fldCharType="separate"/>
      </w:r>
      <w:r>
        <w:t>[6]</w:t>
      </w:r>
      <w:r>
        <w:fldChar w:fldCharType="end"/>
      </w:r>
      <w:r>
        <w:t xml:space="preserve"> and dynamic TRP selection with </w:t>
      </w:r>
      <m:oMath>
        <m:sSubSup>
          <m:sSubSupPr>
            <m:ctrlPr>
              <w:rPr>
                <w:rFonts w:ascii="Cambria Math" w:hAnsi="Cambria Math"/>
                <w:i/>
              </w:rPr>
            </m:ctrlPr>
          </m:sSubSupPr>
          <m:e>
            <m:r>
              <m:rPr>
                <m:sty m:val="bi"/>
              </m:rPr>
              <w:rPr>
                <w:rFonts w:ascii="Cambria Math" w:hAnsi="Cambria Math"/>
              </w:rPr>
              <m:t>N</m:t>
            </m:r>
            <m:ctrlPr>
              <w:rPr>
                <w:rFonts w:ascii="Cambria Math" w:hAnsi="Cambria Math"/>
                <w:i/>
              </w:rPr>
            </m:ctrlPr>
          </m:e>
          <m:sub>
            <m:r>
              <m:rPr>
                <m:sty m:val="bi"/>
              </m:rPr>
              <w:rPr>
                <w:rFonts w:ascii="Cambria Math" w:hAnsi="Cambria Math"/>
              </w:rPr>
              <m:t>trp</m:t>
            </m:r>
            <m:ctrlPr>
              <w:rPr>
                <w:rFonts w:ascii="Cambria Math" w:hAnsi="Cambria Math"/>
                <w:i/>
              </w:rPr>
            </m:ctrlPr>
          </m:sub>
          <m:sup>
            <m:r>
              <m:rPr>
                <m:sty m:val="bi"/>
              </m:rPr>
              <w:rPr>
                <w:rFonts w:ascii="Cambria Math" w:hAnsi="Cambria Math"/>
              </w:rPr>
              <m:t>'</m:t>
            </m:r>
            <m:ctrlPr>
              <w:rPr>
                <w:rFonts w:ascii="Cambria Math" w:hAnsi="Cambria Math"/>
                <w:i/>
              </w:rPr>
            </m:ctrlPr>
          </m:sup>
        </m:sSubSup>
        <m:r>
          <m:rPr>
            <m:sty m:val="bi"/>
          </m:rPr>
          <w:rPr>
            <w:rFonts w:ascii="Cambria Math" w:hAnsi="Cambria Math"/>
          </w:rPr>
          <m:t>=</m:t>
        </m:r>
      </m:oMath>
      <w:r>
        <w:t xml:space="preserve"> 18, 9, 6 or 3.</w:t>
      </w:r>
    </w:p>
    <w:tbl>
      <w:tblPr>
        <w:tblStyle w:val="52"/>
        <w:tblW w:w="0" w:type="auto"/>
        <w:tblInd w:w="16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
        <w:gridCol w:w="751"/>
        <w:gridCol w:w="752"/>
        <w:gridCol w:w="752"/>
        <w:gridCol w:w="753"/>
        <w:gridCol w:w="753"/>
        <w:gridCol w:w="753"/>
        <w:gridCol w:w="753"/>
        <w:gridCol w:w="753"/>
      </w:tblGrid>
      <w:tr w14:paraId="3EC7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restart"/>
            <w:tcBorders>
              <w:left w:val="single" w:color="auto" w:sz="4" w:space="0"/>
            </w:tcBorders>
            <w:vAlign w:val="center"/>
          </w:tcPr>
          <w:p w14:paraId="7B626F79">
            <w:pPr>
              <w:spacing w:before="40" w:after="40"/>
              <w:jc w:val="center"/>
              <w:rPr>
                <w:sz w:val="20"/>
                <w:szCs w:val="20"/>
              </w:rPr>
            </w:pPr>
            <w:r>
              <w:rPr>
                <w:sz w:val="20"/>
                <w:szCs w:val="20"/>
              </w:rPr>
              <w:t xml:space="preserve">Number of real values </w:t>
            </w:r>
          </w:p>
        </w:tc>
        <w:tc>
          <w:tcPr>
            <w:tcW w:w="3008" w:type="dxa"/>
            <w:gridSpan w:val="4"/>
            <w:tcBorders>
              <w:left w:val="double" w:color="auto" w:sz="4" w:space="0"/>
              <w:bottom w:val="single" w:color="auto" w:sz="4" w:space="0"/>
              <w:right w:val="double" w:color="auto" w:sz="4" w:space="0"/>
            </w:tcBorders>
            <w:vAlign w:val="center"/>
          </w:tcPr>
          <w:p w14:paraId="0A5B78C3">
            <w:pPr>
              <w:spacing w:before="40" w:after="40"/>
              <w:jc w:val="center"/>
              <w:rPr>
                <w:sz w:val="20"/>
                <w:szCs w:val="20"/>
              </w:rPr>
            </w:pPr>
            <w:r>
              <w:rPr>
                <w:sz w:val="20"/>
                <w:szCs w:val="20"/>
              </w:rPr>
              <w:t>2-port CIR</w:t>
            </w:r>
          </w:p>
        </w:tc>
        <w:tc>
          <w:tcPr>
            <w:tcW w:w="3012" w:type="dxa"/>
            <w:gridSpan w:val="4"/>
            <w:tcBorders>
              <w:bottom w:val="single" w:color="auto" w:sz="4" w:space="0"/>
              <w:right w:val="single" w:color="auto" w:sz="4" w:space="0"/>
            </w:tcBorders>
            <w:vAlign w:val="center"/>
          </w:tcPr>
          <w:p w14:paraId="7234885C">
            <w:pPr>
              <w:spacing w:before="40" w:after="40"/>
              <w:jc w:val="center"/>
              <w:rPr>
                <w:sz w:val="20"/>
                <w:szCs w:val="20"/>
              </w:rPr>
            </w:pPr>
            <w:r>
              <w:rPr>
                <w:sz w:val="20"/>
                <w:szCs w:val="20"/>
              </w:rPr>
              <w:t>PDP</w:t>
            </w:r>
          </w:p>
        </w:tc>
      </w:tr>
      <w:tr w14:paraId="58697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vMerge w:val="continue"/>
            <w:tcBorders>
              <w:left w:val="single" w:color="auto" w:sz="4" w:space="0"/>
              <w:bottom w:val="double" w:color="auto" w:sz="4" w:space="0"/>
            </w:tcBorders>
          </w:tcPr>
          <w:p w14:paraId="57099391">
            <w:pPr>
              <w:spacing w:before="40" w:after="40"/>
              <w:jc w:val="center"/>
              <w:rPr>
                <w:sz w:val="20"/>
                <w:szCs w:val="20"/>
              </w:rPr>
            </w:pPr>
          </w:p>
        </w:tc>
        <w:tc>
          <w:tcPr>
            <w:tcW w:w="751" w:type="dxa"/>
            <w:tcBorders>
              <w:top w:val="single" w:color="auto" w:sz="4" w:space="0"/>
              <w:left w:val="double" w:color="auto" w:sz="4" w:space="0"/>
              <w:bottom w:val="double" w:color="auto" w:sz="4" w:space="0"/>
            </w:tcBorders>
            <w:vAlign w:val="center"/>
          </w:tcPr>
          <w:p w14:paraId="256F0422">
            <w:pPr>
              <w:spacing w:before="40" w:after="40"/>
              <w:jc w:val="center"/>
            </w:pPr>
            <m:oMathPara>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trp</m:t>
                    </m:r>
                    <m:ctrlPr>
                      <w:rPr>
                        <w:rFonts w:ascii="Cambria Math" w:hAnsi="Cambria Math"/>
                        <w:i/>
                      </w:rPr>
                    </m:ctrlPr>
                  </m:sub>
                  <m:sup>
                    <m:r>
                      <m:rPr/>
                      <w:rPr>
                        <w:rFonts w:ascii="Cambria Math" w:hAnsi="Cambria Math"/>
                      </w:rPr>
                      <m:t>'</m:t>
                    </m:r>
                    <m:ctrlPr>
                      <w:rPr>
                        <w:rFonts w:ascii="Cambria Math" w:hAnsi="Cambria Math"/>
                        <w:i/>
                      </w:rPr>
                    </m:ctrlPr>
                  </m:sup>
                </m:sSubSup>
              </m:oMath>
            </m:oMathPara>
          </w:p>
        </w:tc>
        <w:tc>
          <w:tcPr>
            <w:tcW w:w="752" w:type="dxa"/>
            <w:tcBorders>
              <w:top w:val="single" w:color="auto" w:sz="4" w:space="0"/>
              <w:bottom w:val="double" w:color="auto" w:sz="4" w:space="0"/>
            </w:tcBorders>
            <w:vAlign w:val="center"/>
          </w:tcPr>
          <w:p w14:paraId="2EFE59C1">
            <w:pPr>
              <w:spacing w:before="40" w:after="40"/>
              <w:jc w:val="center"/>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oMath>
            </m:oMathPara>
          </w:p>
        </w:tc>
        <w:tc>
          <w:tcPr>
            <w:tcW w:w="752" w:type="dxa"/>
            <w:tcBorders>
              <w:top w:val="single" w:color="auto" w:sz="4" w:space="0"/>
              <w:bottom w:val="double" w:color="auto" w:sz="4" w:space="0"/>
            </w:tcBorders>
            <w:vAlign w:val="center"/>
          </w:tcPr>
          <w:p w14:paraId="6EC60CF0">
            <w:pPr>
              <w:spacing w:before="40" w:after="40"/>
              <w:jc w:val="center"/>
            </w:pPr>
            <m:oMathPara>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m:oMathPara>
          </w:p>
        </w:tc>
        <w:tc>
          <w:tcPr>
            <w:tcW w:w="753" w:type="dxa"/>
            <w:tcBorders>
              <w:top w:val="single" w:color="auto" w:sz="4" w:space="0"/>
              <w:bottom w:val="double" w:color="auto" w:sz="4" w:space="0"/>
              <w:right w:val="double" w:color="auto" w:sz="4" w:space="0"/>
            </w:tcBorders>
            <w:vAlign w:val="center"/>
          </w:tcPr>
          <w:p w14:paraId="3EEB4C7F">
            <w:pPr>
              <w:spacing w:before="40" w:after="40"/>
              <w:jc w:val="cente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90%</m:t>
                    </m:r>
                    <m:ctrlPr>
                      <w:rPr>
                        <w:rFonts w:ascii="Cambria Math" w:hAnsi="Cambria Math"/>
                        <w:i/>
                      </w:rPr>
                    </m:ctrlPr>
                  </m:sub>
                </m:sSub>
              </m:oMath>
            </m:oMathPara>
          </w:p>
        </w:tc>
        <w:tc>
          <w:tcPr>
            <w:tcW w:w="753" w:type="dxa"/>
            <w:tcBorders>
              <w:top w:val="single" w:color="auto" w:sz="4" w:space="0"/>
              <w:bottom w:val="double" w:color="auto" w:sz="4" w:space="0"/>
              <w:right w:val="single" w:color="auto" w:sz="4" w:space="0"/>
            </w:tcBorders>
            <w:vAlign w:val="center"/>
          </w:tcPr>
          <w:p w14:paraId="63E280F9">
            <w:pPr>
              <w:spacing w:before="40" w:after="40"/>
              <w:jc w:val="center"/>
            </w:pPr>
            <m:oMathPara>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trp</m:t>
                    </m:r>
                    <m:ctrlPr>
                      <w:rPr>
                        <w:rFonts w:ascii="Cambria Math" w:hAnsi="Cambria Math"/>
                        <w:i/>
                      </w:rPr>
                    </m:ctrlPr>
                  </m:sub>
                  <m:sup>
                    <m:r>
                      <m:rPr/>
                      <w:rPr>
                        <w:rFonts w:ascii="Cambria Math" w:hAnsi="Cambria Math"/>
                      </w:rPr>
                      <m:t>'</m:t>
                    </m:r>
                    <m:ctrlPr>
                      <w:rPr>
                        <w:rFonts w:ascii="Cambria Math" w:hAnsi="Cambria Math"/>
                        <w:i/>
                      </w:rPr>
                    </m:ctrlPr>
                  </m:sup>
                </m:sSubSup>
              </m:oMath>
            </m:oMathPara>
          </w:p>
        </w:tc>
        <w:tc>
          <w:tcPr>
            <w:tcW w:w="753" w:type="dxa"/>
            <w:tcBorders>
              <w:top w:val="single" w:color="auto" w:sz="4" w:space="0"/>
              <w:left w:val="single" w:color="auto" w:sz="4" w:space="0"/>
              <w:bottom w:val="double" w:color="auto" w:sz="4" w:space="0"/>
              <w:right w:val="single" w:color="auto" w:sz="4" w:space="0"/>
            </w:tcBorders>
            <w:vAlign w:val="center"/>
          </w:tcPr>
          <w:p w14:paraId="037AAC53">
            <w:pPr>
              <w:spacing w:before="40" w:after="40"/>
              <w:jc w:val="center"/>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oMath>
            </m:oMathPara>
          </w:p>
        </w:tc>
        <w:tc>
          <w:tcPr>
            <w:tcW w:w="753" w:type="dxa"/>
            <w:tcBorders>
              <w:top w:val="single" w:color="auto" w:sz="4" w:space="0"/>
              <w:left w:val="single" w:color="auto" w:sz="4" w:space="0"/>
              <w:bottom w:val="double" w:color="auto" w:sz="4" w:space="0"/>
              <w:right w:val="single" w:color="auto" w:sz="4" w:space="0"/>
            </w:tcBorders>
            <w:vAlign w:val="center"/>
          </w:tcPr>
          <w:p w14:paraId="143193CB">
            <w:pPr>
              <w:spacing w:before="40" w:after="40"/>
              <w:jc w:val="center"/>
            </w:pPr>
            <m:oMathPara>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m:oMathPara>
          </w:p>
        </w:tc>
        <w:tc>
          <w:tcPr>
            <w:tcW w:w="753" w:type="dxa"/>
            <w:tcBorders>
              <w:top w:val="single" w:color="auto" w:sz="4" w:space="0"/>
              <w:left w:val="single" w:color="auto" w:sz="4" w:space="0"/>
              <w:bottom w:val="double" w:color="auto" w:sz="4" w:space="0"/>
              <w:right w:val="single" w:color="auto" w:sz="4" w:space="0"/>
            </w:tcBorders>
            <w:vAlign w:val="center"/>
          </w:tcPr>
          <w:p w14:paraId="4CFF8998">
            <w:pPr>
              <w:spacing w:before="40" w:after="40"/>
              <w:jc w:val="cente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w:rPr>
                        <w:rFonts w:ascii="Cambria Math" w:hAnsi="Cambria Math"/>
                      </w:rPr>
                      <m:t>90%</m:t>
                    </m:r>
                    <m:ctrlPr>
                      <w:rPr>
                        <w:rFonts w:ascii="Cambria Math" w:hAnsi="Cambria Math"/>
                        <w:i/>
                      </w:rPr>
                    </m:ctrlPr>
                  </m:sub>
                </m:sSub>
              </m:oMath>
            </m:oMathPara>
          </w:p>
        </w:tc>
      </w:tr>
      <w:tr w14:paraId="3331E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Borders>
              <w:top w:val="double" w:color="auto" w:sz="4" w:space="0"/>
              <w:left w:val="single" w:color="auto" w:sz="4" w:space="0"/>
            </w:tcBorders>
            <w:vAlign w:val="center"/>
          </w:tcPr>
          <w:p w14:paraId="1474A1B6">
            <w:pPr>
              <w:spacing w:before="40" w:after="40"/>
              <w:jc w:val="center"/>
              <w:rPr>
                <w:rFonts w:cs="Arial"/>
                <w:sz w:val="20"/>
                <w:szCs w:val="20"/>
              </w:rPr>
            </w:pPr>
            <w:r>
              <w:rPr>
                <w:rFonts w:cs="Arial"/>
                <w:sz w:val="20"/>
                <w:szCs w:val="20"/>
              </w:rPr>
              <w:t>18432</w:t>
            </w:r>
          </w:p>
        </w:tc>
        <w:tc>
          <w:tcPr>
            <w:tcW w:w="751" w:type="dxa"/>
            <w:tcBorders>
              <w:top w:val="double" w:color="auto" w:sz="4" w:space="0"/>
              <w:left w:val="double" w:color="auto" w:sz="4" w:space="0"/>
            </w:tcBorders>
            <w:vAlign w:val="center"/>
          </w:tcPr>
          <w:p w14:paraId="596C7BD7">
            <w:pPr>
              <w:spacing w:before="40" w:after="40"/>
              <w:jc w:val="center"/>
              <w:rPr>
                <w:rFonts w:cs="Arial"/>
                <w:sz w:val="20"/>
                <w:szCs w:val="20"/>
              </w:rPr>
            </w:pPr>
            <w:r>
              <w:rPr>
                <w:rFonts w:cs="Arial"/>
                <w:sz w:val="20"/>
                <w:szCs w:val="20"/>
              </w:rPr>
              <w:t>18</w:t>
            </w:r>
          </w:p>
        </w:tc>
        <w:tc>
          <w:tcPr>
            <w:tcW w:w="752" w:type="dxa"/>
            <w:tcBorders>
              <w:top w:val="double" w:color="auto" w:sz="4" w:space="0"/>
            </w:tcBorders>
            <w:vAlign w:val="center"/>
          </w:tcPr>
          <w:p w14:paraId="31D7C4D8">
            <w:pPr>
              <w:spacing w:before="40" w:after="40"/>
              <w:jc w:val="center"/>
              <w:rPr>
                <w:rFonts w:cs="Arial"/>
                <w:sz w:val="20"/>
                <w:szCs w:val="20"/>
              </w:rPr>
            </w:pPr>
            <w:r>
              <w:rPr>
                <w:rFonts w:cs="Arial"/>
                <w:sz w:val="20"/>
                <w:szCs w:val="20"/>
              </w:rPr>
              <w:t>256</w:t>
            </w:r>
          </w:p>
        </w:tc>
        <w:tc>
          <w:tcPr>
            <w:tcW w:w="752" w:type="dxa"/>
            <w:tcBorders>
              <w:top w:val="double" w:color="auto" w:sz="4" w:space="0"/>
            </w:tcBorders>
            <w:vAlign w:val="center"/>
          </w:tcPr>
          <w:p w14:paraId="3DA74EDD">
            <w:pPr>
              <w:spacing w:before="40" w:after="40"/>
              <w:jc w:val="center"/>
              <w:rPr>
                <w:rFonts w:cs="Arial"/>
                <w:sz w:val="20"/>
                <w:szCs w:val="20"/>
              </w:rPr>
            </w:pPr>
            <w:r>
              <w:rPr>
                <w:rFonts w:cs="Arial"/>
                <w:sz w:val="20"/>
                <w:szCs w:val="20"/>
              </w:rPr>
              <w:t>256</w:t>
            </w:r>
          </w:p>
        </w:tc>
        <w:tc>
          <w:tcPr>
            <w:tcW w:w="753" w:type="dxa"/>
            <w:tcBorders>
              <w:top w:val="double" w:color="auto" w:sz="4" w:space="0"/>
              <w:right w:val="double" w:color="auto" w:sz="4" w:space="0"/>
            </w:tcBorders>
            <w:vAlign w:val="center"/>
          </w:tcPr>
          <w:p w14:paraId="56893732">
            <w:pPr>
              <w:spacing w:before="40" w:after="40"/>
              <w:jc w:val="center"/>
              <w:rPr>
                <w:rFonts w:cs="Arial"/>
                <w:sz w:val="20"/>
                <w:szCs w:val="20"/>
              </w:rPr>
            </w:pPr>
            <w:r>
              <w:rPr>
                <w:rFonts w:cs="Arial"/>
                <w:sz w:val="20"/>
                <w:szCs w:val="20"/>
              </w:rPr>
              <w:t>0.37</w:t>
            </w:r>
          </w:p>
        </w:tc>
        <w:tc>
          <w:tcPr>
            <w:tcW w:w="753" w:type="dxa"/>
            <w:tcBorders>
              <w:top w:val="double" w:color="auto" w:sz="4" w:space="0"/>
              <w:right w:val="single" w:color="auto" w:sz="4" w:space="0"/>
            </w:tcBorders>
            <w:vAlign w:val="center"/>
          </w:tcPr>
          <w:p w14:paraId="69175ADE">
            <w:pPr>
              <w:spacing w:before="40" w:after="40"/>
              <w:jc w:val="center"/>
              <w:rPr>
                <w:rFonts w:cs="Arial"/>
                <w:sz w:val="20"/>
                <w:szCs w:val="20"/>
              </w:rPr>
            </w:pPr>
            <w:r>
              <w:rPr>
                <w:rFonts w:cs="Arial"/>
                <w:sz w:val="20"/>
                <w:szCs w:val="20"/>
              </w:rPr>
              <w:t> </w:t>
            </w:r>
          </w:p>
        </w:tc>
        <w:tc>
          <w:tcPr>
            <w:tcW w:w="753" w:type="dxa"/>
            <w:tcBorders>
              <w:top w:val="double" w:color="auto" w:sz="4" w:space="0"/>
              <w:left w:val="single" w:color="auto" w:sz="4" w:space="0"/>
              <w:right w:val="single" w:color="auto" w:sz="4" w:space="0"/>
            </w:tcBorders>
            <w:vAlign w:val="center"/>
          </w:tcPr>
          <w:p w14:paraId="4005F175">
            <w:pPr>
              <w:spacing w:before="40" w:after="40"/>
              <w:jc w:val="center"/>
              <w:rPr>
                <w:rFonts w:cs="Arial"/>
                <w:sz w:val="20"/>
                <w:szCs w:val="20"/>
              </w:rPr>
            </w:pPr>
            <w:r>
              <w:rPr>
                <w:rFonts w:cs="Arial"/>
                <w:sz w:val="20"/>
                <w:szCs w:val="20"/>
              </w:rPr>
              <w:t> </w:t>
            </w:r>
          </w:p>
        </w:tc>
        <w:tc>
          <w:tcPr>
            <w:tcW w:w="753" w:type="dxa"/>
            <w:tcBorders>
              <w:top w:val="double" w:color="auto" w:sz="4" w:space="0"/>
              <w:left w:val="single" w:color="auto" w:sz="4" w:space="0"/>
              <w:right w:val="single" w:color="auto" w:sz="4" w:space="0"/>
            </w:tcBorders>
            <w:vAlign w:val="center"/>
          </w:tcPr>
          <w:p w14:paraId="3F0CE42E">
            <w:pPr>
              <w:spacing w:before="40" w:after="40"/>
              <w:jc w:val="center"/>
              <w:rPr>
                <w:rFonts w:cs="Arial"/>
                <w:sz w:val="20"/>
                <w:szCs w:val="20"/>
              </w:rPr>
            </w:pPr>
            <w:r>
              <w:rPr>
                <w:rFonts w:cs="Arial"/>
                <w:sz w:val="20"/>
                <w:szCs w:val="20"/>
              </w:rPr>
              <w:t> </w:t>
            </w:r>
          </w:p>
        </w:tc>
        <w:tc>
          <w:tcPr>
            <w:tcW w:w="753" w:type="dxa"/>
            <w:tcBorders>
              <w:top w:val="double" w:color="auto" w:sz="4" w:space="0"/>
              <w:left w:val="single" w:color="auto" w:sz="4" w:space="0"/>
              <w:right w:val="single" w:color="auto" w:sz="4" w:space="0"/>
            </w:tcBorders>
            <w:vAlign w:val="center"/>
          </w:tcPr>
          <w:p w14:paraId="6C9A87E8">
            <w:pPr>
              <w:spacing w:before="40" w:after="40"/>
              <w:jc w:val="center"/>
              <w:rPr>
                <w:rFonts w:cs="Arial"/>
                <w:sz w:val="20"/>
                <w:szCs w:val="20"/>
              </w:rPr>
            </w:pPr>
            <w:r>
              <w:rPr>
                <w:rFonts w:cs="Arial"/>
                <w:sz w:val="20"/>
                <w:szCs w:val="20"/>
              </w:rPr>
              <w:t> </w:t>
            </w:r>
          </w:p>
        </w:tc>
      </w:tr>
      <w:tr w14:paraId="0767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Borders>
              <w:left w:val="single" w:color="auto" w:sz="4" w:space="0"/>
            </w:tcBorders>
            <w:vAlign w:val="center"/>
          </w:tcPr>
          <w:p w14:paraId="2687FA1C">
            <w:pPr>
              <w:spacing w:before="40" w:after="40"/>
              <w:jc w:val="center"/>
              <w:rPr>
                <w:rFonts w:cs="Arial"/>
                <w:sz w:val="20"/>
                <w:szCs w:val="20"/>
              </w:rPr>
            </w:pPr>
            <w:r>
              <w:rPr>
                <w:rFonts w:cs="Arial"/>
                <w:sz w:val="20"/>
                <w:szCs w:val="20"/>
              </w:rPr>
              <w:t>9216</w:t>
            </w:r>
          </w:p>
        </w:tc>
        <w:tc>
          <w:tcPr>
            <w:tcW w:w="751" w:type="dxa"/>
            <w:tcBorders>
              <w:left w:val="double" w:color="auto" w:sz="4" w:space="0"/>
            </w:tcBorders>
            <w:vAlign w:val="center"/>
          </w:tcPr>
          <w:p w14:paraId="4992C3A3">
            <w:pPr>
              <w:spacing w:before="40" w:after="40"/>
              <w:jc w:val="center"/>
              <w:rPr>
                <w:rFonts w:cs="Arial"/>
                <w:sz w:val="20"/>
                <w:szCs w:val="20"/>
              </w:rPr>
            </w:pPr>
            <w:r>
              <w:rPr>
                <w:rFonts w:cs="Arial"/>
                <w:sz w:val="20"/>
                <w:szCs w:val="20"/>
              </w:rPr>
              <w:t>9</w:t>
            </w:r>
          </w:p>
        </w:tc>
        <w:tc>
          <w:tcPr>
            <w:tcW w:w="752" w:type="dxa"/>
            <w:vAlign w:val="center"/>
          </w:tcPr>
          <w:p w14:paraId="1E681849">
            <w:pPr>
              <w:spacing w:before="40" w:after="40"/>
              <w:jc w:val="center"/>
              <w:rPr>
                <w:rFonts w:cs="Arial"/>
                <w:sz w:val="20"/>
                <w:szCs w:val="20"/>
              </w:rPr>
            </w:pPr>
            <w:r>
              <w:rPr>
                <w:rFonts w:cs="Arial"/>
                <w:sz w:val="20"/>
                <w:szCs w:val="20"/>
              </w:rPr>
              <w:t>256</w:t>
            </w:r>
          </w:p>
        </w:tc>
        <w:tc>
          <w:tcPr>
            <w:tcW w:w="752" w:type="dxa"/>
            <w:vAlign w:val="center"/>
          </w:tcPr>
          <w:p w14:paraId="1A787AB8">
            <w:pPr>
              <w:spacing w:before="40" w:after="40"/>
              <w:jc w:val="center"/>
              <w:rPr>
                <w:rFonts w:cs="Arial"/>
                <w:sz w:val="20"/>
                <w:szCs w:val="20"/>
              </w:rPr>
            </w:pPr>
            <w:r>
              <w:rPr>
                <w:rFonts w:cs="Arial"/>
                <w:sz w:val="20"/>
                <w:szCs w:val="20"/>
              </w:rPr>
              <w:t>256</w:t>
            </w:r>
          </w:p>
        </w:tc>
        <w:tc>
          <w:tcPr>
            <w:tcW w:w="753" w:type="dxa"/>
            <w:tcBorders>
              <w:right w:val="double" w:color="auto" w:sz="4" w:space="0"/>
            </w:tcBorders>
            <w:vAlign w:val="center"/>
          </w:tcPr>
          <w:p w14:paraId="1B08A24A">
            <w:pPr>
              <w:spacing w:before="40" w:after="40"/>
              <w:jc w:val="center"/>
              <w:rPr>
                <w:rFonts w:cs="Arial"/>
                <w:sz w:val="20"/>
                <w:szCs w:val="20"/>
              </w:rPr>
            </w:pPr>
            <w:r>
              <w:rPr>
                <w:rFonts w:cs="Arial"/>
                <w:sz w:val="20"/>
                <w:szCs w:val="20"/>
              </w:rPr>
              <w:t>0.95</w:t>
            </w:r>
          </w:p>
        </w:tc>
        <w:tc>
          <w:tcPr>
            <w:tcW w:w="753" w:type="dxa"/>
            <w:tcBorders>
              <w:right w:val="single" w:color="auto" w:sz="4" w:space="0"/>
            </w:tcBorders>
            <w:vAlign w:val="center"/>
          </w:tcPr>
          <w:p w14:paraId="3546A243">
            <w:pPr>
              <w:spacing w:before="40" w:after="40"/>
              <w:jc w:val="center"/>
              <w:rPr>
                <w:rFonts w:cs="Arial"/>
                <w:sz w:val="20"/>
                <w:szCs w:val="20"/>
              </w:rPr>
            </w:pPr>
            <w:r>
              <w:rPr>
                <w:rFonts w:cs="Arial"/>
                <w:sz w:val="20"/>
                <w:szCs w:val="20"/>
              </w:rPr>
              <w:t> </w:t>
            </w:r>
          </w:p>
        </w:tc>
        <w:tc>
          <w:tcPr>
            <w:tcW w:w="753" w:type="dxa"/>
            <w:tcBorders>
              <w:left w:val="single" w:color="auto" w:sz="4" w:space="0"/>
              <w:right w:val="single" w:color="auto" w:sz="4" w:space="0"/>
            </w:tcBorders>
            <w:vAlign w:val="center"/>
          </w:tcPr>
          <w:p w14:paraId="71CBB2B6">
            <w:pPr>
              <w:spacing w:before="40" w:after="40"/>
              <w:jc w:val="center"/>
              <w:rPr>
                <w:rFonts w:cs="Arial"/>
                <w:sz w:val="20"/>
                <w:szCs w:val="20"/>
              </w:rPr>
            </w:pPr>
            <w:r>
              <w:rPr>
                <w:rFonts w:cs="Arial"/>
                <w:sz w:val="20"/>
                <w:szCs w:val="20"/>
              </w:rPr>
              <w:t> </w:t>
            </w:r>
          </w:p>
        </w:tc>
        <w:tc>
          <w:tcPr>
            <w:tcW w:w="753" w:type="dxa"/>
            <w:tcBorders>
              <w:left w:val="single" w:color="auto" w:sz="4" w:space="0"/>
              <w:right w:val="single" w:color="auto" w:sz="4" w:space="0"/>
            </w:tcBorders>
            <w:vAlign w:val="center"/>
          </w:tcPr>
          <w:p w14:paraId="2E93F02C">
            <w:pPr>
              <w:spacing w:before="40" w:after="40"/>
              <w:jc w:val="center"/>
              <w:rPr>
                <w:rFonts w:cs="Arial"/>
                <w:sz w:val="20"/>
                <w:szCs w:val="20"/>
              </w:rPr>
            </w:pPr>
            <w:r>
              <w:rPr>
                <w:rFonts w:cs="Arial"/>
                <w:sz w:val="20"/>
                <w:szCs w:val="20"/>
              </w:rPr>
              <w:t> </w:t>
            </w:r>
          </w:p>
        </w:tc>
        <w:tc>
          <w:tcPr>
            <w:tcW w:w="753" w:type="dxa"/>
            <w:tcBorders>
              <w:left w:val="single" w:color="auto" w:sz="4" w:space="0"/>
              <w:right w:val="single" w:color="auto" w:sz="4" w:space="0"/>
            </w:tcBorders>
            <w:vAlign w:val="center"/>
          </w:tcPr>
          <w:p w14:paraId="7C718BCB">
            <w:pPr>
              <w:spacing w:before="40" w:after="40"/>
              <w:jc w:val="center"/>
              <w:rPr>
                <w:rFonts w:cs="Arial"/>
                <w:sz w:val="20"/>
                <w:szCs w:val="20"/>
              </w:rPr>
            </w:pPr>
            <w:r>
              <w:rPr>
                <w:rFonts w:cs="Arial"/>
                <w:sz w:val="20"/>
                <w:szCs w:val="20"/>
              </w:rPr>
              <w:t> </w:t>
            </w:r>
          </w:p>
        </w:tc>
      </w:tr>
      <w:tr w14:paraId="3A8E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Borders>
              <w:left w:val="single" w:color="auto" w:sz="4" w:space="0"/>
            </w:tcBorders>
            <w:vAlign w:val="center"/>
          </w:tcPr>
          <w:p w14:paraId="2614C6B0">
            <w:pPr>
              <w:spacing w:before="40" w:after="40"/>
              <w:jc w:val="center"/>
              <w:rPr>
                <w:rFonts w:cs="Arial"/>
                <w:sz w:val="20"/>
                <w:szCs w:val="20"/>
              </w:rPr>
            </w:pPr>
            <w:r>
              <w:rPr>
                <w:rFonts w:cs="Arial"/>
                <w:sz w:val="20"/>
                <w:szCs w:val="20"/>
              </w:rPr>
              <w:t>6144</w:t>
            </w:r>
          </w:p>
        </w:tc>
        <w:tc>
          <w:tcPr>
            <w:tcW w:w="751" w:type="dxa"/>
            <w:tcBorders>
              <w:left w:val="double" w:color="auto" w:sz="4" w:space="0"/>
            </w:tcBorders>
            <w:vAlign w:val="center"/>
          </w:tcPr>
          <w:p w14:paraId="0617211D">
            <w:pPr>
              <w:spacing w:before="40" w:after="40"/>
              <w:jc w:val="center"/>
              <w:rPr>
                <w:rFonts w:cs="Arial"/>
                <w:sz w:val="20"/>
                <w:szCs w:val="20"/>
              </w:rPr>
            </w:pPr>
            <w:r>
              <w:rPr>
                <w:rFonts w:cs="Arial"/>
                <w:sz w:val="20"/>
                <w:szCs w:val="20"/>
              </w:rPr>
              <w:t>6</w:t>
            </w:r>
          </w:p>
        </w:tc>
        <w:tc>
          <w:tcPr>
            <w:tcW w:w="752" w:type="dxa"/>
            <w:vAlign w:val="center"/>
          </w:tcPr>
          <w:p w14:paraId="405DFA7A">
            <w:pPr>
              <w:spacing w:before="40" w:after="40"/>
              <w:jc w:val="center"/>
              <w:rPr>
                <w:rFonts w:cs="Arial"/>
                <w:sz w:val="20"/>
                <w:szCs w:val="20"/>
              </w:rPr>
            </w:pPr>
            <w:r>
              <w:rPr>
                <w:rFonts w:cs="Arial"/>
                <w:sz w:val="20"/>
                <w:szCs w:val="20"/>
              </w:rPr>
              <w:t>256</w:t>
            </w:r>
          </w:p>
        </w:tc>
        <w:tc>
          <w:tcPr>
            <w:tcW w:w="752" w:type="dxa"/>
            <w:vAlign w:val="center"/>
          </w:tcPr>
          <w:p w14:paraId="705EE2D9">
            <w:pPr>
              <w:spacing w:before="40" w:after="40"/>
              <w:jc w:val="center"/>
              <w:rPr>
                <w:rFonts w:cs="Arial"/>
                <w:sz w:val="20"/>
                <w:szCs w:val="20"/>
              </w:rPr>
            </w:pPr>
            <w:r>
              <w:rPr>
                <w:rFonts w:cs="Arial"/>
                <w:sz w:val="20"/>
                <w:szCs w:val="20"/>
              </w:rPr>
              <w:t>256</w:t>
            </w:r>
          </w:p>
        </w:tc>
        <w:tc>
          <w:tcPr>
            <w:tcW w:w="753" w:type="dxa"/>
            <w:tcBorders>
              <w:right w:val="double" w:color="auto" w:sz="4" w:space="0"/>
            </w:tcBorders>
            <w:vAlign w:val="center"/>
          </w:tcPr>
          <w:p w14:paraId="03319872">
            <w:pPr>
              <w:spacing w:before="40" w:after="40"/>
              <w:jc w:val="center"/>
              <w:rPr>
                <w:rFonts w:cs="Arial"/>
                <w:sz w:val="20"/>
                <w:szCs w:val="20"/>
              </w:rPr>
            </w:pPr>
            <w:r>
              <w:rPr>
                <w:rFonts w:cs="Arial"/>
                <w:sz w:val="20"/>
                <w:szCs w:val="20"/>
              </w:rPr>
              <w:t>1.39</w:t>
            </w:r>
          </w:p>
        </w:tc>
        <w:tc>
          <w:tcPr>
            <w:tcW w:w="753" w:type="dxa"/>
            <w:tcBorders>
              <w:right w:val="single" w:color="auto" w:sz="4" w:space="0"/>
            </w:tcBorders>
            <w:vAlign w:val="center"/>
          </w:tcPr>
          <w:p w14:paraId="20B1F966">
            <w:pPr>
              <w:spacing w:before="40" w:after="40"/>
              <w:jc w:val="center"/>
              <w:rPr>
                <w:rFonts w:cs="Arial"/>
                <w:sz w:val="20"/>
                <w:szCs w:val="20"/>
              </w:rPr>
            </w:pPr>
            <w:r>
              <w:rPr>
                <w:rFonts w:cs="Arial"/>
                <w:sz w:val="20"/>
                <w:szCs w:val="20"/>
              </w:rPr>
              <w:t> </w:t>
            </w:r>
          </w:p>
        </w:tc>
        <w:tc>
          <w:tcPr>
            <w:tcW w:w="753" w:type="dxa"/>
            <w:tcBorders>
              <w:left w:val="single" w:color="auto" w:sz="4" w:space="0"/>
              <w:right w:val="single" w:color="auto" w:sz="4" w:space="0"/>
            </w:tcBorders>
            <w:vAlign w:val="center"/>
          </w:tcPr>
          <w:p w14:paraId="66B9896F">
            <w:pPr>
              <w:spacing w:before="40" w:after="40"/>
              <w:jc w:val="center"/>
              <w:rPr>
                <w:rFonts w:cs="Arial"/>
                <w:sz w:val="20"/>
                <w:szCs w:val="20"/>
              </w:rPr>
            </w:pPr>
            <w:r>
              <w:rPr>
                <w:rFonts w:cs="Arial"/>
                <w:sz w:val="20"/>
                <w:szCs w:val="20"/>
              </w:rPr>
              <w:t> </w:t>
            </w:r>
          </w:p>
        </w:tc>
        <w:tc>
          <w:tcPr>
            <w:tcW w:w="753" w:type="dxa"/>
            <w:tcBorders>
              <w:left w:val="single" w:color="auto" w:sz="4" w:space="0"/>
              <w:right w:val="single" w:color="auto" w:sz="4" w:space="0"/>
            </w:tcBorders>
            <w:vAlign w:val="center"/>
          </w:tcPr>
          <w:p w14:paraId="76DA4DD3">
            <w:pPr>
              <w:spacing w:before="40" w:after="40"/>
              <w:jc w:val="center"/>
              <w:rPr>
                <w:rFonts w:cs="Arial"/>
                <w:sz w:val="20"/>
                <w:szCs w:val="20"/>
              </w:rPr>
            </w:pPr>
            <w:r>
              <w:rPr>
                <w:rFonts w:cs="Arial"/>
                <w:sz w:val="20"/>
                <w:szCs w:val="20"/>
              </w:rPr>
              <w:t> </w:t>
            </w:r>
          </w:p>
        </w:tc>
        <w:tc>
          <w:tcPr>
            <w:tcW w:w="753" w:type="dxa"/>
            <w:tcBorders>
              <w:left w:val="single" w:color="auto" w:sz="4" w:space="0"/>
              <w:right w:val="single" w:color="auto" w:sz="4" w:space="0"/>
            </w:tcBorders>
            <w:vAlign w:val="center"/>
          </w:tcPr>
          <w:p w14:paraId="2FE88413">
            <w:pPr>
              <w:spacing w:before="40" w:after="40"/>
              <w:jc w:val="center"/>
              <w:rPr>
                <w:rFonts w:cs="Arial"/>
                <w:sz w:val="20"/>
                <w:szCs w:val="20"/>
              </w:rPr>
            </w:pPr>
            <w:r>
              <w:rPr>
                <w:rFonts w:cs="Arial"/>
                <w:sz w:val="20"/>
                <w:szCs w:val="20"/>
              </w:rPr>
              <w:t> </w:t>
            </w:r>
          </w:p>
        </w:tc>
      </w:tr>
      <w:tr w14:paraId="36E40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 w:type="dxa"/>
            <w:tcBorders>
              <w:left w:val="single" w:color="auto" w:sz="4" w:space="0"/>
            </w:tcBorders>
            <w:vAlign w:val="center"/>
          </w:tcPr>
          <w:p w14:paraId="065B2390">
            <w:pPr>
              <w:spacing w:before="40" w:after="40"/>
              <w:jc w:val="center"/>
              <w:rPr>
                <w:rFonts w:cs="Arial"/>
                <w:sz w:val="20"/>
                <w:szCs w:val="20"/>
              </w:rPr>
            </w:pPr>
            <w:r>
              <w:rPr>
                <w:rFonts w:cs="Arial"/>
                <w:sz w:val="20"/>
                <w:szCs w:val="20"/>
              </w:rPr>
              <w:t>4608</w:t>
            </w:r>
          </w:p>
        </w:tc>
        <w:tc>
          <w:tcPr>
            <w:tcW w:w="751" w:type="dxa"/>
            <w:tcBorders>
              <w:left w:val="double" w:color="auto" w:sz="4" w:space="0"/>
            </w:tcBorders>
            <w:vAlign w:val="center"/>
          </w:tcPr>
          <w:p w14:paraId="716FFF3C">
            <w:pPr>
              <w:spacing w:before="40" w:after="40"/>
              <w:jc w:val="center"/>
              <w:rPr>
                <w:rFonts w:cs="Arial"/>
                <w:sz w:val="20"/>
                <w:szCs w:val="20"/>
              </w:rPr>
            </w:pPr>
            <w:r>
              <w:rPr>
                <w:rFonts w:cs="Arial"/>
                <w:sz w:val="20"/>
                <w:szCs w:val="20"/>
              </w:rPr>
              <w:t> </w:t>
            </w:r>
          </w:p>
        </w:tc>
        <w:tc>
          <w:tcPr>
            <w:tcW w:w="752" w:type="dxa"/>
            <w:vAlign w:val="center"/>
          </w:tcPr>
          <w:p w14:paraId="709F9C47">
            <w:pPr>
              <w:spacing w:before="40" w:after="40"/>
              <w:jc w:val="center"/>
              <w:rPr>
                <w:rFonts w:cs="Arial"/>
                <w:sz w:val="20"/>
                <w:szCs w:val="20"/>
              </w:rPr>
            </w:pPr>
            <w:r>
              <w:rPr>
                <w:rFonts w:cs="Arial"/>
                <w:sz w:val="20"/>
                <w:szCs w:val="20"/>
              </w:rPr>
              <w:t> </w:t>
            </w:r>
          </w:p>
        </w:tc>
        <w:tc>
          <w:tcPr>
            <w:tcW w:w="752" w:type="dxa"/>
            <w:vAlign w:val="center"/>
          </w:tcPr>
          <w:p w14:paraId="363B36D2">
            <w:pPr>
              <w:spacing w:before="40" w:after="40"/>
              <w:jc w:val="center"/>
              <w:rPr>
                <w:rFonts w:cs="Arial"/>
                <w:sz w:val="20"/>
                <w:szCs w:val="20"/>
              </w:rPr>
            </w:pPr>
            <w:r>
              <w:rPr>
                <w:rFonts w:cs="Arial"/>
                <w:sz w:val="20"/>
                <w:szCs w:val="20"/>
              </w:rPr>
              <w:t> </w:t>
            </w:r>
          </w:p>
        </w:tc>
        <w:tc>
          <w:tcPr>
            <w:tcW w:w="753" w:type="dxa"/>
            <w:tcBorders>
              <w:right w:val="double" w:color="auto" w:sz="4" w:space="0"/>
            </w:tcBorders>
            <w:vAlign w:val="center"/>
          </w:tcPr>
          <w:p w14:paraId="18B2E6D7">
            <w:pPr>
              <w:spacing w:before="40" w:after="40"/>
              <w:jc w:val="center"/>
              <w:rPr>
                <w:rFonts w:cs="Arial"/>
                <w:sz w:val="20"/>
                <w:szCs w:val="20"/>
              </w:rPr>
            </w:pPr>
            <w:r>
              <w:rPr>
                <w:rFonts w:cs="Arial"/>
                <w:sz w:val="20"/>
                <w:szCs w:val="20"/>
              </w:rPr>
              <w:t> </w:t>
            </w:r>
          </w:p>
        </w:tc>
        <w:tc>
          <w:tcPr>
            <w:tcW w:w="753" w:type="dxa"/>
            <w:tcBorders>
              <w:right w:val="single" w:color="auto" w:sz="4" w:space="0"/>
            </w:tcBorders>
            <w:vAlign w:val="center"/>
          </w:tcPr>
          <w:p w14:paraId="224E83B3">
            <w:pPr>
              <w:spacing w:before="40" w:after="40"/>
              <w:jc w:val="center"/>
              <w:rPr>
                <w:rFonts w:cs="Arial"/>
                <w:sz w:val="20"/>
                <w:szCs w:val="20"/>
              </w:rPr>
            </w:pPr>
            <w:r>
              <w:rPr>
                <w:rFonts w:cs="Arial"/>
                <w:sz w:val="20"/>
                <w:szCs w:val="20"/>
              </w:rPr>
              <w:t>18</w:t>
            </w:r>
          </w:p>
        </w:tc>
        <w:tc>
          <w:tcPr>
            <w:tcW w:w="753" w:type="dxa"/>
            <w:tcBorders>
              <w:left w:val="single" w:color="auto" w:sz="4" w:space="0"/>
              <w:right w:val="single" w:color="auto" w:sz="4" w:space="0"/>
            </w:tcBorders>
            <w:vAlign w:val="center"/>
          </w:tcPr>
          <w:p w14:paraId="391F2958">
            <w:pPr>
              <w:spacing w:before="40" w:after="40"/>
              <w:jc w:val="center"/>
              <w:rPr>
                <w:rFonts w:cs="Arial"/>
                <w:sz w:val="20"/>
                <w:szCs w:val="20"/>
              </w:rPr>
            </w:pPr>
            <w:r>
              <w:rPr>
                <w:rFonts w:cs="Arial"/>
                <w:sz w:val="20"/>
                <w:szCs w:val="20"/>
              </w:rPr>
              <w:t>256</w:t>
            </w:r>
          </w:p>
        </w:tc>
        <w:tc>
          <w:tcPr>
            <w:tcW w:w="753" w:type="dxa"/>
            <w:tcBorders>
              <w:left w:val="single" w:color="auto" w:sz="4" w:space="0"/>
              <w:right w:val="single" w:color="auto" w:sz="4" w:space="0"/>
            </w:tcBorders>
            <w:vAlign w:val="center"/>
          </w:tcPr>
          <w:p w14:paraId="7B81DB19">
            <w:pPr>
              <w:spacing w:before="40" w:after="40"/>
              <w:jc w:val="center"/>
              <w:rPr>
                <w:rFonts w:cs="Arial"/>
                <w:sz w:val="20"/>
                <w:szCs w:val="20"/>
              </w:rPr>
            </w:pPr>
            <w:r>
              <w:rPr>
                <w:rFonts w:cs="Arial"/>
                <w:sz w:val="20"/>
                <w:szCs w:val="20"/>
              </w:rPr>
              <w:t>256</w:t>
            </w:r>
          </w:p>
        </w:tc>
        <w:tc>
          <w:tcPr>
            <w:tcW w:w="753" w:type="dxa"/>
            <w:tcBorders>
              <w:left w:val="single" w:color="auto" w:sz="4" w:space="0"/>
              <w:right w:val="single" w:color="auto" w:sz="4" w:space="0"/>
            </w:tcBorders>
            <w:vAlign w:val="center"/>
          </w:tcPr>
          <w:p w14:paraId="3FBF4EE2">
            <w:pPr>
              <w:spacing w:before="40" w:after="40"/>
              <w:jc w:val="center"/>
              <w:rPr>
                <w:rFonts w:cs="Arial"/>
                <w:sz w:val="20"/>
                <w:szCs w:val="20"/>
              </w:rPr>
            </w:pPr>
            <w:r>
              <w:rPr>
                <w:rFonts w:cs="Arial"/>
                <w:sz w:val="20"/>
                <w:szCs w:val="20"/>
              </w:rPr>
              <w:t>0.51</w:t>
            </w:r>
          </w:p>
        </w:tc>
      </w:tr>
      <w:tr w14:paraId="60CF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Borders>
              <w:left w:val="single" w:color="auto" w:sz="4" w:space="0"/>
            </w:tcBorders>
            <w:vAlign w:val="center"/>
          </w:tcPr>
          <w:p w14:paraId="6782182F">
            <w:pPr>
              <w:spacing w:before="40" w:after="40"/>
              <w:jc w:val="center"/>
              <w:rPr>
                <w:rFonts w:cs="Arial"/>
                <w:sz w:val="20"/>
                <w:szCs w:val="20"/>
              </w:rPr>
            </w:pPr>
            <w:r>
              <w:rPr>
                <w:rFonts w:cs="Arial"/>
                <w:sz w:val="20"/>
                <w:szCs w:val="20"/>
              </w:rPr>
              <w:t>3072</w:t>
            </w:r>
          </w:p>
        </w:tc>
        <w:tc>
          <w:tcPr>
            <w:tcW w:w="751" w:type="dxa"/>
            <w:tcBorders>
              <w:left w:val="double" w:color="auto" w:sz="4" w:space="0"/>
            </w:tcBorders>
            <w:vAlign w:val="center"/>
          </w:tcPr>
          <w:p w14:paraId="04E6B68B">
            <w:pPr>
              <w:spacing w:before="40" w:after="40"/>
              <w:jc w:val="center"/>
              <w:rPr>
                <w:rFonts w:cs="Arial"/>
                <w:sz w:val="20"/>
                <w:szCs w:val="20"/>
              </w:rPr>
            </w:pPr>
            <w:r>
              <w:rPr>
                <w:rFonts w:cs="Arial"/>
                <w:sz w:val="20"/>
                <w:szCs w:val="20"/>
              </w:rPr>
              <w:t>3</w:t>
            </w:r>
          </w:p>
        </w:tc>
        <w:tc>
          <w:tcPr>
            <w:tcW w:w="752" w:type="dxa"/>
            <w:vAlign w:val="center"/>
          </w:tcPr>
          <w:p w14:paraId="21F5A274">
            <w:pPr>
              <w:spacing w:before="40" w:after="40"/>
              <w:jc w:val="center"/>
              <w:rPr>
                <w:rFonts w:cs="Arial"/>
                <w:sz w:val="20"/>
                <w:szCs w:val="20"/>
              </w:rPr>
            </w:pPr>
            <w:r>
              <w:rPr>
                <w:rFonts w:cs="Arial"/>
                <w:sz w:val="20"/>
                <w:szCs w:val="20"/>
              </w:rPr>
              <w:t>256</w:t>
            </w:r>
          </w:p>
        </w:tc>
        <w:tc>
          <w:tcPr>
            <w:tcW w:w="752" w:type="dxa"/>
            <w:vAlign w:val="center"/>
          </w:tcPr>
          <w:p w14:paraId="6765F935">
            <w:pPr>
              <w:spacing w:before="40" w:after="40"/>
              <w:jc w:val="center"/>
              <w:rPr>
                <w:rFonts w:cs="Arial"/>
                <w:sz w:val="20"/>
                <w:szCs w:val="20"/>
              </w:rPr>
            </w:pPr>
            <w:r>
              <w:rPr>
                <w:rFonts w:cs="Arial"/>
                <w:sz w:val="20"/>
                <w:szCs w:val="20"/>
              </w:rPr>
              <w:t>256</w:t>
            </w:r>
          </w:p>
        </w:tc>
        <w:tc>
          <w:tcPr>
            <w:tcW w:w="753" w:type="dxa"/>
            <w:tcBorders>
              <w:right w:val="double" w:color="auto" w:sz="4" w:space="0"/>
            </w:tcBorders>
            <w:vAlign w:val="center"/>
          </w:tcPr>
          <w:p w14:paraId="4E164184">
            <w:pPr>
              <w:spacing w:before="40" w:after="40"/>
              <w:jc w:val="center"/>
              <w:rPr>
                <w:rFonts w:cs="Arial"/>
                <w:sz w:val="20"/>
                <w:szCs w:val="20"/>
              </w:rPr>
            </w:pPr>
            <w:r>
              <w:rPr>
                <w:rFonts w:cs="Arial"/>
                <w:sz w:val="20"/>
                <w:szCs w:val="20"/>
              </w:rPr>
              <w:t>2.18</w:t>
            </w:r>
          </w:p>
        </w:tc>
        <w:tc>
          <w:tcPr>
            <w:tcW w:w="753" w:type="dxa"/>
            <w:tcBorders>
              <w:right w:val="single" w:color="auto" w:sz="4" w:space="0"/>
            </w:tcBorders>
            <w:vAlign w:val="center"/>
          </w:tcPr>
          <w:p w14:paraId="46DC47EF">
            <w:pPr>
              <w:spacing w:before="40" w:after="40"/>
              <w:jc w:val="center"/>
              <w:rPr>
                <w:rFonts w:cs="Arial"/>
                <w:sz w:val="20"/>
                <w:szCs w:val="20"/>
              </w:rPr>
            </w:pPr>
            <w:r>
              <w:rPr>
                <w:rFonts w:cs="Arial"/>
                <w:sz w:val="20"/>
                <w:szCs w:val="20"/>
              </w:rPr>
              <w:t> </w:t>
            </w:r>
          </w:p>
        </w:tc>
        <w:tc>
          <w:tcPr>
            <w:tcW w:w="753" w:type="dxa"/>
            <w:tcBorders>
              <w:left w:val="single" w:color="auto" w:sz="4" w:space="0"/>
              <w:right w:val="single" w:color="auto" w:sz="4" w:space="0"/>
            </w:tcBorders>
            <w:vAlign w:val="center"/>
          </w:tcPr>
          <w:p w14:paraId="0BC073A5">
            <w:pPr>
              <w:spacing w:before="40" w:after="40"/>
              <w:jc w:val="center"/>
              <w:rPr>
                <w:rFonts w:cs="Arial"/>
                <w:sz w:val="20"/>
                <w:szCs w:val="20"/>
              </w:rPr>
            </w:pPr>
            <w:r>
              <w:rPr>
                <w:rFonts w:cs="Arial"/>
                <w:sz w:val="20"/>
                <w:szCs w:val="20"/>
              </w:rPr>
              <w:t> </w:t>
            </w:r>
          </w:p>
        </w:tc>
        <w:tc>
          <w:tcPr>
            <w:tcW w:w="753" w:type="dxa"/>
            <w:tcBorders>
              <w:left w:val="single" w:color="auto" w:sz="4" w:space="0"/>
              <w:right w:val="single" w:color="auto" w:sz="4" w:space="0"/>
            </w:tcBorders>
            <w:vAlign w:val="center"/>
          </w:tcPr>
          <w:p w14:paraId="71212FEB">
            <w:pPr>
              <w:spacing w:before="40" w:after="40"/>
              <w:jc w:val="center"/>
              <w:rPr>
                <w:rFonts w:cs="Arial"/>
                <w:sz w:val="20"/>
                <w:szCs w:val="20"/>
              </w:rPr>
            </w:pPr>
            <w:r>
              <w:rPr>
                <w:rFonts w:cs="Arial"/>
                <w:sz w:val="20"/>
                <w:szCs w:val="20"/>
              </w:rPr>
              <w:t> </w:t>
            </w:r>
          </w:p>
        </w:tc>
        <w:tc>
          <w:tcPr>
            <w:tcW w:w="753" w:type="dxa"/>
            <w:tcBorders>
              <w:left w:val="single" w:color="auto" w:sz="4" w:space="0"/>
              <w:right w:val="single" w:color="auto" w:sz="4" w:space="0"/>
            </w:tcBorders>
            <w:vAlign w:val="center"/>
          </w:tcPr>
          <w:p w14:paraId="2138464E">
            <w:pPr>
              <w:spacing w:before="40" w:after="40"/>
              <w:jc w:val="center"/>
              <w:rPr>
                <w:rFonts w:cs="Arial"/>
                <w:sz w:val="20"/>
                <w:szCs w:val="20"/>
              </w:rPr>
            </w:pPr>
            <w:r>
              <w:rPr>
                <w:rFonts w:cs="Arial"/>
                <w:sz w:val="20"/>
                <w:szCs w:val="20"/>
              </w:rPr>
              <w:t> </w:t>
            </w:r>
          </w:p>
        </w:tc>
      </w:tr>
      <w:tr w14:paraId="2172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 w:type="dxa"/>
            <w:tcBorders>
              <w:left w:val="single" w:color="auto" w:sz="4" w:space="0"/>
            </w:tcBorders>
            <w:vAlign w:val="center"/>
          </w:tcPr>
          <w:p w14:paraId="6F1ACD43">
            <w:pPr>
              <w:spacing w:before="40" w:after="40"/>
              <w:jc w:val="center"/>
              <w:rPr>
                <w:rFonts w:cs="Arial"/>
                <w:sz w:val="20"/>
                <w:szCs w:val="20"/>
              </w:rPr>
            </w:pPr>
            <w:r>
              <w:rPr>
                <w:rFonts w:cs="Arial"/>
                <w:sz w:val="20"/>
                <w:szCs w:val="20"/>
              </w:rPr>
              <w:t>2304</w:t>
            </w:r>
          </w:p>
        </w:tc>
        <w:tc>
          <w:tcPr>
            <w:tcW w:w="751" w:type="dxa"/>
            <w:tcBorders>
              <w:left w:val="double" w:color="auto" w:sz="4" w:space="0"/>
            </w:tcBorders>
            <w:vAlign w:val="center"/>
          </w:tcPr>
          <w:p w14:paraId="724180B1">
            <w:pPr>
              <w:spacing w:before="40" w:after="40"/>
              <w:jc w:val="center"/>
              <w:rPr>
                <w:rFonts w:cs="Arial"/>
                <w:sz w:val="20"/>
                <w:szCs w:val="20"/>
              </w:rPr>
            </w:pPr>
            <w:r>
              <w:rPr>
                <w:rFonts w:cs="Arial"/>
                <w:sz w:val="20"/>
                <w:szCs w:val="20"/>
              </w:rPr>
              <w:t> </w:t>
            </w:r>
          </w:p>
        </w:tc>
        <w:tc>
          <w:tcPr>
            <w:tcW w:w="752" w:type="dxa"/>
            <w:vAlign w:val="center"/>
          </w:tcPr>
          <w:p w14:paraId="55F30228">
            <w:pPr>
              <w:spacing w:before="40" w:after="40"/>
              <w:jc w:val="center"/>
              <w:rPr>
                <w:rFonts w:cs="Arial"/>
                <w:sz w:val="20"/>
                <w:szCs w:val="20"/>
              </w:rPr>
            </w:pPr>
            <w:r>
              <w:rPr>
                <w:rFonts w:cs="Arial"/>
                <w:sz w:val="20"/>
                <w:szCs w:val="20"/>
              </w:rPr>
              <w:t> </w:t>
            </w:r>
          </w:p>
        </w:tc>
        <w:tc>
          <w:tcPr>
            <w:tcW w:w="752" w:type="dxa"/>
            <w:vAlign w:val="center"/>
          </w:tcPr>
          <w:p w14:paraId="66A69C1C">
            <w:pPr>
              <w:spacing w:before="40" w:after="40"/>
              <w:jc w:val="center"/>
              <w:rPr>
                <w:rFonts w:cs="Arial"/>
                <w:sz w:val="20"/>
                <w:szCs w:val="20"/>
              </w:rPr>
            </w:pPr>
            <w:r>
              <w:rPr>
                <w:rFonts w:cs="Arial"/>
                <w:sz w:val="20"/>
                <w:szCs w:val="20"/>
              </w:rPr>
              <w:t> </w:t>
            </w:r>
          </w:p>
        </w:tc>
        <w:tc>
          <w:tcPr>
            <w:tcW w:w="753" w:type="dxa"/>
            <w:tcBorders>
              <w:right w:val="double" w:color="auto" w:sz="4" w:space="0"/>
            </w:tcBorders>
            <w:vAlign w:val="center"/>
          </w:tcPr>
          <w:p w14:paraId="20BFC760">
            <w:pPr>
              <w:spacing w:before="40" w:after="40"/>
              <w:jc w:val="center"/>
              <w:rPr>
                <w:rFonts w:cs="Arial"/>
                <w:sz w:val="20"/>
                <w:szCs w:val="20"/>
              </w:rPr>
            </w:pPr>
            <w:r>
              <w:rPr>
                <w:rFonts w:cs="Arial"/>
                <w:sz w:val="20"/>
                <w:szCs w:val="20"/>
              </w:rPr>
              <w:t> </w:t>
            </w:r>
          </w:p>
        </w:tc>
        <w:tc>
          <w:tcPr>
            <w:tcW w:w="753" w:type="dxa"/>
            <w:tcBorders>
              <w:right w:val="single" w:color="auto" w:sz="4" w:space="0"/>
            </w:tcBorders>
            <w:vAlign w:val="center"/>
          </w:tcPr>
          <w:p w14:paraId="7850623F">
            <w:pPr>
              <w:spacing w:before="40" w:after="40"/>
              <w:jc w:val="center"/>
              <w:rPr>
                <w:rFonts w:cs="Arial"/>
                <w:sz w:val="20"/>
                <w:szCs w:val="20"/>
              </w:rPr>
            </w:pPr>
            <w:r>
              <w:rPr>
                <w:rFonts w:cs="Arial"/>
                <w:sz w:val="20"/>
                <w:szCs w:val="20"/>
              </w:rPr>
              <w:t>9</w:t>
            </w:r>
          </w:p>
        </w:tc>
        <w:tc>
          <w:tcPr>
            <w:tcW w:w="753" w:type="dxa"/>
            <w:tcBorders>
              <w:left w:val="single" w:color="auto" w:sz="4" w:space="0"/>
              <w:right w:val="single" w:color="auto" w:sz="4" w:space="0"/>
            </w:tcBorders>
            <w:vAlign w:val="center"/>
          </w:tcPr>
          <w:p w14:paraId="3ED609D1">
            <w:pPr>
              <w:spacing w:before="40" w:after="40"/>
              <w:jc w:val="center"/>
              <w:rPr>
                <w:rFonts w:cs="Arial"/>
                <w:sz w:val="20"/>
                <w:szCs w:val="20"/>
              </w:rPr>
            </w:pPr>
            <w:r>
              <w:rPr>
                <w:rFonts w:cs="Arial"/>
                <w:sz w:val="20"/>
                <w:szCs w:val="20"/>
              </w:rPr>
              <w:t>256</w:t>
            </w:r>
          </w:p>
        </w:tc>
        <w:tc>
          <w:tcPr>
            <w:tcW w:w="753" w:type="dxa"/>
            <w:tcBorders>
              <w:left w:val="single" w:color="auto" w:sz="4" w:space="0"/>
              <w:right w:val="single" w:color="auto" w:sz="4" w:space="0"/>
            </w:tcBorders>
            <w:vAlign w:val="center"/>
          </w:tcPr>
          <w:p w14:paraId="34436560">
            <w:pPr>
              <w:spacing w:before="40" w:after="40"/>
              <w:jc w:val="center"/>
              <w:rPr>
                <w:rFonts w:cs="Arial"/>
                <w:sz w:val="20"/>
                <w:szCs w:val="20"/>
              </w:rPr>
            </w:pPr>
            <w:r>
              <w:rPr>
                <w:rFonts w:cs="Arial"/>
                <w:sz w:val="20"/>
                <w:szCs w:val="20"/>
              </w:rPr>
              <w:t>256</w:t>
            </w:r>
          </w:p>
        </w:tc>
        <w:tc>
          <w:tcPr>
            <w:tcW w:w="753" w:type="dxa"/>
            <w:tcBorders>
              <w:left w:val="single" w:color="auto" w:sz="4" w:space="0"/>
              <w:right w:val="single" w:color="auto" w:sz="4" w:space="0"/>
            </w:tcBorders>
            <w:vAlign w:val="center"/>
          </w:tcPr>
          <w:p w14:paraId="1894F489">
            <w:pPr>
              <w:spacing w:before="40" w:after="40"/>
              <w:jc w:val="center"/>
              <w:rPr>
                <w:rFonts w:cs="Arial"/>
                <w:sz w:val="20"/>
                <w:szCs w:val="20"/>
              </w:rPr>
            </w:pPr>
            <w:r>
              <w:rPr>
                <w:rFonts w:cs="Arial"/>
                <w:sz w:val="20"/>
                <w:szCs w:val="20"/>
              </w:rPr>
              <w:t>1.07</w:t>
            </w:r>
          </w:p>
        </w:tc>
      </w:tr>
      <w:tr w14:paraId="51FB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28" w:type="dxa"/>
            <w:tcBorders>
              <w:left w:val="single" w:color="auto" w:sz="4" w:space="0"/>
            </w:tcBorders>
            <w:vAlign w:val="center"/>
          </w:tcPr>
          <w:p w14:paraId="37D3F09C">
            <w:pPr>
              <w:spacing w:before="40" w:after="40"/>
              <w:jc w:val="center"/>
              <w:rPr>
                <w:rFonts w:cs="Arial"/>
                <w:sz w:val="20"/>
                <w:szCs w:val="20"/>
              </w:rPr>
            </w:pPr>
            <w:r>
              <w:rPr>
                <w:rFonts w:cs="Arial"/>
                <w:sz w:val="20"/>
                <w:szCs w:val="20"/>
              </w:rPr>
              <w:t>1536</w:t>
            </w:r>
          </w:p>
        </w:tc>
        <w:tc>
          <w:tcPr>
            <w:tcW w:w="751" w:type="dxa"/>
            <w:tcBorders>
              <w:left w:val="double" w:color="auto" w:sz="4" w:space="0"/>
            </w:tcBorders>
            <w:vAlign w:val="center"/>
          </w:tcPr>
          <w:p w14:paraId="58C25AA0">
            <w:pPr>
              <w:spacing w:before="40" w:after="40"/>
              <w:jc w:val="center"/>
              <w:rPr>
                <w:rFonts w:cs="Arial"/>
                <w:sz w:val="20"/>
                <w:szCs w:val="20"/>
              </w:rPr>
            </w:pPr>
            <w:r>
              <w:rPr>
                <w:rFonts w:cs="Arial"/>
                <w:sz w:val="20"/>
                <w:szCs w:val="20"/>
              </w:rPr>
              <w:t> </w:t>
            </w:r>
          </w:p>
        </w:tc>
        <w:tc>
          <w:tcPr>
            <w:tcW w:w="752" w:type="dxa"/>
            <w:vAlign w:val="center"/>
          </w:tcPr>
          <w:p w14:paraId="331B90AE">
            <w:pPr>
              <w:spacing w:before="40" w:after="40"/>
              <w:jc w:val="center"/>
              <w:rPr>
                <w:rFonts w:cs="Arial"/>
                <w:sz w:val="20"/>
                <w:szCs w:val="20"/>
              </w:rPr>
            </w:pPr>
            <w:r>
              <w:rPr>
                <w:rFonts w:cs="Arial"/>
                <w:sz w:val="20"/>
                <w:szCs w:val="20"/>
              </w:rPr>
              <w:t> </w:t>
            </w:r>
          </w:p>
        </w:tc>
        <w:tc>
          <w:tcPr>
            <w:tcW w:w="752" w:type="dxa"/>
            <w:vAlign w:val="center"/>
          </w:tcPr>
          <w:p w14:paraId="438A33E9">
            <w:pPr>
              <w:spacing w:before="40" w:after="40"/>
              <w:jc w:val="center"/>
              <w:rPr>
                <w:rFonts w:cs="Arial"/>
                <w:sz w:val="20"/>
                <w:szCs w:val="20"/>
              </w:rPr>
            </w:pPr>
            <w:r>
              <w:rPr>
                <w:rFonts w:cs="Arial"/>
                <w:sz w:val="20"/>
                <w:szCs w:val="20"/>
              </w:rPr>
              <w:t> </w:t>
            </w:r>
          </w:p>
        </w:tc>
        <w:tc>
          <w:tcPr>
            <w:tcW w:w="753" w:type="dxa"/>
            <w:tcBorders>
              <w:right w:val="double" w:color="auto" w:sz="4" w:space="0"/>
            </w:tcBorders>
            <w:vAlign w:val="center"/>
          </w:tcPr>
          <w:p w14:paraId="27F63D2D">
            <w:pPr>
              <w:spacing w:before="40" w:after="40"/>
              <w:jc w:val="center"/>
              <w:rPr>
                <w:rFonts w:cs="Arial"/>
                <w:sz w:val="20"/>
                <w:szCs w:val="20"/>
              </w:rPr>
            </w:pPr>
            <w:r>
              <w:rPr>
                <w:rFonts w:cs="Arial"/>
                <w:sz w:val="20"/>
                <w:szCs w:val="20"/>
              </w:rPr>
              <w:t> </w:t>
            </w:r>
          </w:p>
        </w:tc>
        <w:tc>
          <w:tcPr>
            <w:tcW w:w="753" w:type="dxa"/>
            <w:tcBorders>
              <w:right w:val="single" w:color="auto" w:sz="4" w:space="0"/>
            </w:tcBorders>
            <w:vAlign w:val="center"/>
          </w:tcPr>
          <w:p w14:paraId="2C959E6C">
            <w:pPr>
              <w:spacing w:before="40" w:after="40"/>
              <w:jc w:val="center"/>
              <w:rPr>
                <w:rFonts w:cs="Arial"/>
                <w:sz w:val="20"/>
                <w:szCs w:val="20"/>
              </w:rPr>
            </w:pPr>
            <w:r>
              <w:rPr>
                <w:rFonts w:cs="Arial"/>
                <w:sz w:val="20"/>
                <w:szCs w:val="20"/>
              </w:rPr>
              <w:t>6</w:t>
            </w:r>
          </w:p>
        </w:tc>
        <w:tc>
          <w:tcPr>
            <w:tcW w:w="753" w:type="dxa"/>
            <w:tcBorders>
              <w:left w:val="single" w:color="auto" w:sz="4" w:space="0"/>
              <w:right w:val="single" w:color="auto" w:sz="4" w:space="0"/>
            </w:tcBorders>
            <w:vAlign w:val="center"/>
          </w:tcPr>
          <w:p w14:paraId="02EB5C1F">
            <w:pPr>
              <w:spacing w:before="40" w:after="40"/>
              <w:jc w:val="center"/>
              <w:rPr>
                <w:rFonts w:cs="Arial"/>
                <w:sz w:val="20"/>
                <w:szCs w:val="20"/>
              </w:rPr>
            </w:pPr>
            <w:r>
              <w:rPr>
                <w:rFonts w:cs="Arial"/>
                <w:sz w:val="20"/>
                <w:szCs w:val="20"/>
              </w:rPr>
              <w:t>256</w:t>
            </w:r>
          </w:p>
        </w:tc>
        <w:tc>
          <w:tcPr>
            <w:tcW w:w="753" w:type="dxa"/>
            <w:tcBorders>
              <w:left w:val="single" w:color="auto" w:sz="4" w:space="0"/>
              <w:right w:val="single" w:color="auto" w:sz="4" w:space="0"/>
            </w:tcBorders>
            <w:vAlign w:val="center"/>
          </w:tcPr>
          <w:p w14:paraId="1A39BE4C">
            <w:pPr>
              <w:spacing w:before="40" w:after="40"/>
              <w:jc w:val="center"/>
              <w:rPr>
                <w:rFonts w:cs="Arial"/>
                <w:sz w:val="20"/>
                <w:szCs w:val="20"/>
              </w:rPr>
            </w:pPr>
            <w:r>
              <w:rPr>
                <w:rFonts w:cs="Arial"/>
                <w:sz w:val="20"/>
                <w:szCs w:val="20"/>
              </w:rPr>
              <w:t>256</w:t>
            </w:r>
          </w:p>
        </w:tc>
        <w:tc>
          <w:tcPr>
            <w:tcW w:w="753" w:type="dxa"/>
            <w:tcBorders>
              <w:left w:val="single" w:color="auto" w:sz="4" w:space="0"/>
              <w:right w:val="single" w:color="auto" w:sz="4" w:space="0"/>
            </w:tcBorders>
            <w:vAlign w:val="center"/>
          </w:tcPr>
          <w:p w14:paraId="34462375">
            <w:pPr>
              <w:spacing w:before="40" w:after="40"/>
              <w:jc w:val="center"/>
              <w:rPr>
                <w:rFonts w:cs="Arial"/>
                <w:sz w:val="20"/>
                <w:szCs w:val="20"/>
              </w:rPr>
            </w:pPr>
            <w:r>
              <w:rPr>
                <w:rFonts w:cs="Arial"/>
                <w:sz w:val="20"/>
                <w:szCs w:val="20"/>
              </w:rPr>
              <w:t>1.55</w:t>
            </w:r>
          </w:p>
        </w:tc>
      </w:tr>
      <w:tr w14:paraId="7285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tcBorders>
              <w:left w:val="single" w:color="auto" w:sz="4" w:space="0"/>
            </w:tcBorders>
            <w:vAlign w:val="center"/>
          </w:tcPr>
          <w:p w14:paraId="66984226">
            <w:pPr>
              <w:spacing w:before="40" w:after="40"/>
              <w:jc w:val="center"/>
              <w:rPr>
                <w:rFonts w:cs="Arial"/>
                <w:sz w:val="20"/>
                <w:szCs w:val="20"/>
              </w:rPr>
            </w:pPr>
            <w:r>
              <w:rPr>
                <w:rFonts w:cs="Arial"/>
                <w:sz w:val="20"/>
                <w:szCs w:val="20"/>
              </w:rPr>
              <w:t>768</w:t>
            </w:r>
          </w:p>
        </w:tc>
        <w:tc>
          <w:tcPr>
            <w:tcW w:w="751" w:type="dxa"/>
            <w:tcBorders>
              <w:left w:val="double" w:color="auto" w:sz="4" w:space="0"/>
            </w:tcBorders>
            <w:vAlign w:val="center"/>
          </w:tcPr>
          <w:p w14:paraId="7A2E9AB3">
            <w:pPr>
              <w:spacing w:before="40" w:after="40"/>
              <w:jc w:val="center"/>
              <w:rPr>
                <w:rFonts w:cs="Arial"/>
                <w:sz w:val="20"/>
                <w:szCs w:val="20"/>
              </w:rPr>
            </w:pPr>
            <w:r>
              <w:rPr>
                <w:rFonts w:cs="Arial"/>
                <w:sz w:val="20"/>
                <w:szCs w:val="20"/>
              </w:rPr>
              <w:t> </w:t>
            </w:r>
          </w:p>
        </w:tc>
        <w:tc>
          <w:tcPr>
            <w:tcW w:w="752" w:type="dxa"/>
            <w:vAlign w:val="center"/>
          </w:tcPr>
          <w:p w14:paraId="68F1AF46">
            <w:pPr>
              <w:spacing w:before="40" w:after="40"/>
              <w:jc w:val="center"/>
              <w:rPr>
                <w:rFonts w:cs="Arial"/>
                <w:sz w:val="20"/>
                <w:szCs w:val="20"/>
              </w:rPr>
            </w:pPr>
            <w:r>
              <w:rPr>
                <w:rFonts w:cs="Arial"/>
                <w:sz w:val="20"/>
                <w:szCs w:val="20"/>
              </w:rPr>
              <w:t> </w:t>
            </w:r>
          </w:p>
        </w:tc>
        <w:tc>
          <w:tcPr>
            <w:tcW w:w="752" w:type="dxa"/>
            <w:vAlign w:val="center"/>
          </w:tcPr>
          <w:p w14:paraId="1ADE0026">
            <w:pPr>
              <w:spacing w:before="40" w:after="40"/>
              <w:jc w:val="center"/>
              <w:rPr>
                <w:rFonts w:cs="Arial"/>
                <w:sz w:val="20"/>
                <w:szCs w:val="20"/>
              </w:rPr>
            </w:pPr>
            <w:r>
              <w:rPr>
                <w:rFonts w:cs="Arial"/>
                <w:sz w:val="20"/>
                <w:szCs w:val="20"/>
              </w:rPr>
              <w:t> </w:t>
            </w:r>
          </w:p>
        </w:tc>
        <w:tc>
          <w:tcPr>
            <w:tcW w:w="753" w:type="dxa"/>
            <w:tcBorders>
              <w:right w:val="double" w:color="auto" w:sz="4" w:space="0"/>
            </w:tcBorders>
            <w:vAlign w:val="center"/>
          </w:tcPr>
          <w:p w14:paraId="51B884F9">
            <w:pPr>
              <w:spacing w:before="40" w:after="40"/>
              <w:jc w:val="center"/>
              <w:rPr>
                <w:rFonts w:cs="Arial"/>
                <w:sz w:val="20"/>
                <w:szCs w:val="20"/>
              </w:rPr>
            </w:pPr>
            <w:r>
              <w:rPr>
                <w:rFonts w:cs="Arial"/>
                <w:sz w:val="20"/>
                <w:szCs w:val="20"/>
              </w:rPr>
              <w:t> </w:t>
            </w:r>
          </w:p>
        </w:tc>
        <w:tc>
          <w:tcPr>
            <w:tcW w:w="753" w:type="dxa"/>
            <w:tcBorders>
              <w:right w:val="single" w:color="auto" w:sz="4" w:space="0"/>
            </w:tcBorders>
            <w:vAlign w:val="center"/>
          </w:tcPr>
          <w:p w14:paraId="2ED23620">
            <w:pPr>
              <w:spacing w:before="40" w:after="40"/>
              <w:jc w:val="center"/>
              <w:rPr>
                <w:rFonts w:cs="Arial"/>
                <w:sz w:val="20"/>
                <w:szCs w:val="20"/>
              </w:rPr>
            </w:pPr>
            <w:r>
              <w:rPr>
                <w:rFonts w:cs="Arial"/>
                <w:sz w:val="20"/>
                <w:szCs w:val="20"/>
              </w:rPr>
              <w:t>3</w:t>
            </w:r>
          </w:p>
        </w:tc>
        <w:tc>
          <w:tcPr>
            <w:tcW w:w="753" w:type="dxa"/>
            <w:tcBorders>
              <w:left w:val="single" w:color="auto" w:sz="4" w:space="0"/>
              <w:right w:val="single" w:color="auto" w:sz="4" w:space="0"/>
            </w:tcBorders>
            <w:vAlign w:val="center"/>
          </w:tcPr>
          <w:p w14:paraId="51733228">
            <w:pPr>
              <w:spacing w:before="40" w:after="40"/>
              <w:jc w:val="center"/>
              <w:rPr>
                <w:rFonts w:cs="Arial"/>
                <w:sz w:val="20"/>
                <w:szCs w:val="20"/>
              </w:rPr>
            </w:pPr>
            <w:r>
              <w:rPr>
                <w:rFonts w:cs="Arial"/>
                <w:sz w:val="20"/>
                <w:szCs w:val="20"/>
              </w:rPr>
              <w:t>256</w:t>
            </w:r>
          </w:p>
        </w:tc>
        <w:tc>
          <w:tcPr>
            <w:tcW w:w="753" w:type="dxa"/>
            <w:tcBorders>
              <w:left w:val="single" w:color="auto" w:sz="4" w:space="0"/>
              <w:right w:val="single" w:color="auto" w:sz="4" w:space="0"/>
            </w:tcBorders>
            <w:vAlign w:val="center"/>
          </w:tcPr>
          <w:p w14:paraId="4B57FBC7">
            <w:pPr>
              <w:spacing w:before="40" w:after="40"/>
              <w:jc w:val="center"/>
              <w:rPr>
                <w:rFonts w:cs="Arial"/>
                <w:sz w:val="20"/>
                <w:szCs w:val="20"/>
              </w:rPr>
            </w:pPr>
            <w:r>
              <w:rPr>
                <w:rFonts w:cs="Arial"/>
                <w:sz w:val="20"/>
                <w:szCs w:val="20"/>
              </w:rPr>
              <w:t>256</w:t>
            </w:r>
          </w:p>
        </w:tc>
        <w:tc>
          <w:tcPr>
            <w:tcW w:w="753" w:type="dxa"/>
            <w:tcBorders>
              <w:left w:val="single" w:color="auto" w:sz="4" w:space="0"/>
              <w:right w:val="single" w:color="auto" w:sz="4" w:space="0"/>
            </w:tcBorders>
            <w:vAlign w:val="center"/>
          </w:tcPr>
          <w:p w14:paraId="0962D391">
            <w:pPr>
              <w:spacing w:before="40" w:after="40"/>
              <w:jc w:val="center"/>
              <w:rPr>
                <w:rFonts w:cs="Arial"/>
                <w:sz w:val="20"/>
                <w:szCs w:val="20"/>
              </w:rPr>
            </w:pPr>
            <w:r>
              <w:rPr>
                <w:rFonts w:cs="Arial"/>
                <w:sz w:val="20"/>
                <w:szCs w:val="20"/>
              </w:rPr>
              <w:t>2.16</w:t>
            </w:r>
          </w:p>
        </w:tc>
      </w:tr>
    </w:tbl>
    <w:p w14:paraId="56D0ED9C"/>
    <w:p w14:paraId="28386EC9">
      <w:pPr>
        <w:pStyle w:val="29"/>
      </w:pPr>
      <w:bookmarkStart w:id="1505" w:name="_Ref163134465"/>
      <w:r>
        <w:t xml:space="preserve">Table </w:t>
      </w:r>
      <w:r>
        <w:fldChar w:fldCharType="begin"/>
      </w:r>
      <w:r>
        <w:instrText xml:space="preserve"> SEQ Table \* ARABIC </w:instrText>
      </w:r>
      <w:r>
        <w:fldChar w:fldCharType="separate"/>
      </w:r>
      <w:r>
        <w:t>6</w:t>
      </w:r>
      <w:r>
        <w:fldChar w:fldCharType="end"/>
      </w:r>
      <w:bookmarkEnd w:id="1505"/>
      <w:r>
        <w:t xml:space="preserve"> Complexity comparison for models with (1) 2-port CIR, (2) 1-port CIR, and (3) total Rx power (1-port) PDP inputs.</w:t>
      </w:r>
    </w:p>
    <w:tbl>
      <w:tblPr>
        <w:tblStyle w:val="52"/>
        <w:tblW w:w="0" w:type="auto"/>
        <w:tblInd w:w="17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089"/>
        <w:gridCol w:w="1027"/>
        <w:gridCol w:w="1027"/>
        <w:gridCol w:w="1140"/>
        <w:gridCol w:w="1079"/>
      </w:tblGrid>
      <w:tr w14:paraId="067C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3" w:type="dxa"/>
            <w:gridSpan w:val="2"/>
            <w:vAlign w:val="center"/>
          </w:tcPr>
          <w:p w14:paraId="17FEEB31">
            <w:pPr>
              <w:spacing w:before="60" w:after="60"/>
              <w:jc w:val="center"/>
              <w:rPr>
                <w:sz w:val="20"/>
                <w:szCs w:val="20"/>
              </w:rPr>
            </w:pPr>
            <w:r>
              <w:rPr>
                <w:sz w:val="20"/>
                <w:szCs w:val="20"/>
              </w:rPr>
              <w:t>2-port CIR</w:t>
            </w:r>
          </w:p>
        </w:tc>
        <w:tc>
          <w:tcPr>
            <w:tcW w:w="2054" w:type="dxa"/>
            <w:gridSpan w:val="2"/>
            <w:vAlign w:val="center"/>
          </w:tcPr>
          <w:p w14:paraId="299165EF">
            <w:pPr>
              <w:spacing w:before="60" w:after="60"/>
              <w:jc w:val="center"/>
              <w:rPr>
                <w:sz w:val="20"/>
                <w:szCs w:val="20"/>
              </w:rPr>
            </w:pPr>
            <w:r>
              <w:rPr>
                <w:sz w:val="20"/>
                <w:szCs w:val="20"/>
              </w:rPr>
              <w:t>1-port CIR</w:t>
            </w:r>
          </w:p>
        </w:tc>
        <w:tc>
          <w:tcPr>
            <w:tcW w:w="2219" w:type="dxa"/>
            <w:gridSpan w:val="2"/>
            <w:vAlign w:val="center"/>
          </w:tcPr>
          <w:p w14:paraId="4A003EF7">
            <w:pPr>
              <w:spacing w:before="60" w:after="60"/>
              <w:jc w:val="center"/>
              <w:rPr>
                <w:sz w:val="20"/>
                <w:szCs w:val="20"/>
              </w:rPr>
            </w:pPr>
            <w:r>
              <w:rPr>
                <w:sz w:val="20"/>
                <w:szCs w:val="20"/>
              </w:rPr>
              <w:t>(1-port/total) PDP</w:t>
            </w:r>
          </w:p>
        </w:tc>
      </w:tr>
      <w:tr w14:paraId="4D5A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6E469B39">
            <w:pPr>
              <w:spacing w:before="60" w:after="60"/>
              <w:jc w:val="center"/>
              <w:rPr>
                <w:sz w:val="20"/>
                <w:szCs w:val="20"/>
              </w:rPr>
            </w:pPr>
            <w:r>
              <w:rPr>
                <w:sz w:val="20"/>
                <w:szCs w:val="20"/>
              </w:rPr>
              <w:t># paras</w:t>
            </w:r>
          </w:p>
        </w:tc>
        <w:tc>
          <w:tcPr>
            <w:tcW w:w="1089" w:type="dxa"/>
            <w:vAlign w:val="center"/>
          </w:tcPr>
          <w:p w14:paraId="25BDD843">
            <w:pPr>
              <w:spacing w:before="60" w:after="60"/>
              <w:jc w:val="center"/>
              <w:rPr>
                <w:sz w:val="20"/>
                <w:szCs w:val="20"/>
              </w:rPr>
            </w:pPr>
            <w:r>
              <w:rPr>
                <w:sz w:val="20"/>
                <w:szCs w:val="20"/>
              </w:rPr>
              <w:t>FLOPs</w:t>
            </w:r>
          </w:p>
        </w:tc>
        <w:tc>
          <w:tcPr>
            <w:tcW w:w="1027" w:type="dxa"/>
            <w:vAlign w:val="center"/>
          </w:tcPr>
          <w:p w14:paraId="7F1E543C">
            <w:pPr>
              <w:spacing w:before="60" w:after="60"/>
              <w:jc w:val="center"/>
              <w:rPr>
                <w:sz w:val="20"/>
                <w:szCs w:val="20"/>
              </w:rPr>
            </w:pPr>
            <w:r>
              <w:rPr>
                <w:sz w:val="20"/>
                <w:szCs w:val="20"/>
              </w:rPr>
              <w:t># paras</w:t>
            </w:r>
          </w:p>
        </w:tc>
        <w:tc>
          <w:tcPr>
            <w:tcW w:w="1027" w:type="dxa"/>
            <w:vAlign w:val="center"/>
          </w:tcPr>
          <w:p w14:paraId="49927017">
            <w:pPr>
              <w:spacing w:before="60" w:after="60"/>
              <w:jc w:val="center"/>
              <w:rPr>
                <w:sz w:val="20"/>
                <w:szCs w:val="20"/>
              </w:rPr>
            </w:pPr>
            <w:r>
              <w:rPr>
                <w:sz w:val="20"/>
                <w:szCs w:val="20"/>
              </w:rPr>
              <w:t>FLOPs</w:t>
            </w:r>
          </w:p>
        </w:tc>
        <w:tc>
          <w:tcPr>
            <w:tcW w:w="1140" w:type="dxa"/>
            <w:vAlign w:val="center"/>
          </w:tcPr>
          <w:p w14:paraId="11E30A95">
            <w:pPr>
              <w:spacing w:before="60" w:after="60"/>
              <w:jc w:val="center"/>
              <w:rPr>
                <w:sz w:val="20"/>
                <w:szCs w:val="20"/>
              </w:rPr>
            </w:pPr>
            <w:r>
              <w:rPr>
                <w:sz w:val="20"/>
                <w:szCs w:val="20"/>
              </w:rPr>
              <w:t># paras</w:t>
            </w:r>
          </w:p>
        </w:tc>
        <w:tc>
          <w:tcPr>
            <w:tcW w:w="1079" w:type="dxa"/>
            <w:vAlign w:val="center"/>
          </w:tcPr>
          <w:p w14:paraId="4E19C301">
            <w:pPr>
              <w:spacing w:before="60" w:after="60"/>
              <w:jc w:val="center"/>
              <w:rPr>
                <w:sz w:val="20"/>
                <w:szCs w:val="20"/>
              </w:rPr>
            </w:pPr>
            <w:r>
              <w:rPr>
                <w:sz w:val="20"/>
                <w:szCs w:val="20"/>
              </w:rPr>
              <w:t>FLOPs</w:t>
            </w:r>
          </w:p>
        </w:tc>
      </w:tr>
      <w:tr w14:paraId="3230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3155F82">
            <w:pPr>
              <w:spacing w:before="60" w:after="60"/>
              <w:jc w:val="center"/>
              <w:rPr>
                <w:sz w:val="20"/>
                <w:szCs w:val="20"/>
              </w:rPr>
            </w:pPr>
            <w:r>
              <w:rPr>
                <w:sz w:val="20"/>
                <w:szCs w:val="20"/>
              </w:rPr>
              <w:t>0.73 M</w:t>
            </w:r>
          </w:p>
        </w:tc>
        <w:tc>
          <w:tcPr>
            <w:tcW w:w="1089" w:type="dxa"/>
            <w:vAlign w:val="center"/>
          </w:tcPr>
          <w:p w14:paraId="55FDD85D">
            <w:pPr>
              <w:spacing w:before="60" w:after="60"/>
              <w:jc w:val="center"/>
              <w:rPr>
                <w:sz w:val="20"/>
                <w:szCs w:val="20"/>
              </w:rPr>
            </w:pPr>
            <w:r>
              <w:rPr>
                <w:sz w:val="20"/>
                <w:szCs w:val="20"/>
              </w:rPr>
              <w:t>32 M</w:t>
            </w:r>
          </w:p>
        </w:tc>
        <w:tc>
          <w:tcPr>
            <w:tcW w:w="1027" w:type="dxa"/>
          </w:tcPr>
          <w:p w14:paraId="06625556">
            <w:pPr>
              <w:spacing w:before="60" w:after="60"/>
              <w:jc w:val="center"/>
              <w:rPr>
                <w:sz w:val="20"/>
                <w:szCs w:val="20"/>
              </w:rPr>
            </w:pPr>
            <w:r>
              <w:rPr>
                <w:sz w:val="20"/>
                <w:szCs w:val="20"/>
              </w:rPr>
              <w:t>0.52 M</w:t>
            </w:r>
          </w:p>
        </w:tc>
        <w:tc>
          <w:tcPr>
            <w:tcW w:w="1027" w:type="dxa"/>
          </w:tcPr>
          <w:p w14:paraId="057066CA">
            <w:pPr>
              <w:spacing w:before="60" w:after="60"/>
              <w:jc w:val="center"/>
              <w:rPr>
                <w:sz w:val="20"/>
                <w:szCs w:val="20"/>
              </w:rPr>
            </w:pPr>
            <w:r>
              <w:rPr>
                <w:sz w:val="20"/>
                <w:szCs w:val="20"/>
              </w:rPr>
              <w:t>21 M</w:t>
            </w:r>
          </w:p>
        </w:tc>
        <w:tc>
          <w:tcPr>
            <w:tcW w:w="1140" w:type="dxa"/>
            <w:vAlign w:val="center"/>
          </w:tcPr>
          <w:p w14:paraId="4423FCBE">
            <w:pPr>
              <w:spacing w:before="60" w:after="60"/>
              <w:jc w:val="center"/>
              <w:rPr>
                <w:sz w:val="20"/>
                <w:szCs w:val="20"/>
              </w:rPr>
            </w:pPr>
            <w:r>
              <w:rPr>
                <w:sz w:val="20"/>
                <w:szCs w:val="20"/>
              </w:rPr>
              <w:t>0.36 M</w:t>
            </w:r>
          </w:p>
        </w:tc>
        <w:tc>
          <w:tcPr>
            <w:tcW w:w="1079" w:type="dxa"/>
            <w:vAlign w:val="center"/>
          </w:tcPr>
          <w:p w14:paraId="33A3E90E">
            <w:pPr>
              <w:spacing w:before="60" w:after="60"/>
              <w:jc w:val="center"/>
              <w:rPr>
                <w:sz w:val="20"/>
                <w:szCs w:val="20"/>
              </w:rPr>
            </w:pPr>
            <w:r>
              <w:rPr>
                <w:sz w:val="20"/>
                <w:szCs w:val="20"/>
              </w:rPr>
              <w:t>9 M</w:t>
            </w:r>
          </w:p>
        </w:tc>
      </w:tr>
    </w:tbl>
    <w:p w14:paraId="2B2ED97F">
      <w:pPr>
        <w:pStyle w:val="5"/>
        <w:rPr>
          <w:lang w:val="en-US"/>
        </w:rPr>
      </w:pPr>
      <w:bookmarkStart w:id="1506" w:name="_Ref163048709"/>
      <w:bookmarkStart w:id="1507" w:name="_Ref165982714"/>
      <w:bookmarkStart w:id="1508" w:name="_Toc165990992"/>
      <w:bookmarkStart w:id="1509" w:name="_Toc189845021"/>
      <w:r>
        <w:rPr>
          <w:lang w:val="en-US"/>
        </w:rPr>
        <w:t>Signaling sizes based on simple direct sample timing bitmaps</w:t>
      </w:r>
      <w:bookmarkEnd w:id="1506"/>
      <w:bookmarkEnd w:id="1507"/>
      <w:bookmarkEnd w:id="1508"/>
      <w:bookmarkEnd w:id="1509"/>
    </w:p>
    <w:p w14:paraId="3F5A964F">
      <w:r>
        <w:t>The signaling of one TRP link for the DP input type consists of one part:</w:t>
      </w:r>
    </w:p>
    <w:p w14:paraId="11451EE2">
      <w:pPr>
        <w:pStyle w:val="133"/>
        <w:numPr>
          <w:ilvl w:val="0"/>
          <w:numId w:val="36"/>
        </w:numPr>
      </w:pPr>
      <w:r>
        <w:t>Part 1: a bitmap of length N</w:t>
      </w:r>
      <w:r>
        <w:rPr>
          <w:vertAlign w:val="subscript"/>
        </w:rPr>
        <w:t>t</w:t>
      </w:r>
      <w:r>
        <w:t xml:space="preserve"> to indicate locations of non-zero samples</w:t>
      </w:r>
    </w:p>
    <w:p w14:paraId="23BE70D6">
      <w:pPr>
        <w:pStyle w:val="133"/>
        <w:numPr>
          <w:ilvl w:val="1"/>
          <w:numId w:val="36"/>
        </w:numPr>
      </w:pPr>
      <w:r>
        <w:t>This part is to support sub-sampling the TD measurement samples.</w:t>
      </w:r>
    </w:p>
    <w:p w14:paraId="5BFB8613">
      <w:pPr>
        <w:pStyle w:val="133"/>
        <w:numPr>
          <w:ilvl w:val="2"/>
          <w:numId w:val="36"/>
        </w:numPr>
      </w:pPr>
      <w:r>
        <w:t>The number of indicated non-zero samples in this bitmap is denoted by N</w:t>
      </w:r>
      <w:r>
        <w:rPr>
          <w:vertAlign w:val="subscript"/>
        </w:rPr>
        <w:t>t</w:t>
      </w:r>
      <w:r>
        <w:t>'.</w:t>
      </w:r>
    </w:p>
    <w:p w14:paraId="5B5379EA">
      <w:pPr>
        <w:pStyle w:val="133"/>
        <w:numPr>
          <w:ilvl w:val="1"/>
          <w:numId w:val="36"/>
        </w:numPr>
      </w:pPr>
      <w:r>
        <w:t xml:space="preserve">For PDP and CIR, if sub-sampling is not </w:t>
      </w:r>
      <w:r>
        <w:rPr>
          <w:rFonts w:cs="Arial"/>
        </w:rPr>
        <w:t>configured</w:t>
      </w:r>
      <w:r>
        <w:t>, then this part is not needed and N</w:t>
      </w:r>
      <w:r>
        <w:rPr>
          <w:vertAlign w:val="subscript"/>
        </w:rPr>
        <w:t>t</w:t>
      </w:r>
      <w:r>
        <w:t>'= N</w:t>
      </w:r>
      <w:r>
        <w:rPr>
          <w:vertAlign w:val="subscript"/>
        </w:rPr>
        <w:t>t</w:t>
      </w:r>
      <w:r>
        <w:t xml:space="preserve"> in the following.</w:t>
      </w:r>
    </w:p>
    <w:p w14:paraId="2C78FF3E">
      <w:r>
        <w:t>The signaling of one TRP link for the PDP input type consists of Part 1 as defined above and</w:t>
      </w:r>
    </w:p>
    <w:p w14:paraId="38E4C351">
      <w:pPr>
        <w:pStyle w:val="133"/>
        <w:numPr>
          <w:ilvl w:val="0"/>
          <w:numId w:val="36"/>
        </w:numPr>
      </w:pPr>
      <w:r>
        <w:t>Part 2: N</w:t>
      </w:r>
      <w:r>
        <w:rPr>
          <w:vertAlign w:val="subscript"/>
        </w:rPr>
        <w:t>t</w:t>
      </w:r>
      <w:r>
        <w:t>' powers (or magnitudes) of non-zero samples starting from the lowest tap indices.</w:t>
      </w:r>
    </w:p>
    <w:p w14:paraId="3B25D371">
      <w:r>
        <w:t>The signaling of one TRP link for the CIR input type consists of Part 1 and Part 2 as defined above as well as</w:t>
      </w:r>
    </w:p>
    <w:p w14:paraId="352D67CC">
      <w:pPr>
        <w:pStyle w:val="133"/>
        <w:numPr>
          <w:ilvl w:val="0"/>
          <w:numId w:val="36"/>
        </w:numPr>
      </w:pPr>
      <w:r>
        <w:t>Part 3: N</w:t>
      </w:r>
      <w:r>
        <w:rPr>
          <w:vertAlign w:val="subscript"/>
        </w:rPr>
        <w:t>t</w:t>
      </w:r>
      <w:r>
        <w:t>' phase of non-zero samples starting from the lowest tap indices.</w:t>
      </w:r>
    </w:p>
    <w:p w14:paraId="29F3DD78">
      <w:r>
        <w:t>If the signaling contains feedbacks for N</w:t>
      </w:r>
      <w:r>
        <w:rPr>
          <w:vertAlign w:val="subscript"/>
        </w:rPr>
        <w:t>TRP</w:t>
      </w:r>
      <w:r>
        <w:t xml:space="preserve"> links, the number of bits for each part is</w:t>
      </w:r>
    </w:p>
    <w:p w14:paraId="0B840EB4">
      <w:pPr>
        <w:pStyle w:val="133"/>
        <w:numPr>
          <w:ilvl w:val="0"/>
          <w:numId w:val="37"/>
        </w:numPr>
      </w:pPr>
      <w:r>
        <w:t>Part 1: N</w:t>
      </w:r>
      <w:r>
        <w:rPr>
          <w:vertAlign w:val="subscript"/>
        </w:rPr>
        <w:t>TRP</w:t>
      </w:r>
      <w:r>
        <w:t xml:space="preserve"> </w:t>
      </w:r>
      <w:r>
        <w:rPr>
          <w:rFonts w:cs="Arial"/>
        </w:rPr>
        <w:t>×</w:t>
      </w:r>
      <w:r>
        <w:t xml:space="preserve"> N</w:t>
      </w:r>
      <w:r>
        <w:rPr>
          <w:vertAlign w:val="subscript"/>
        </w:rPr>
        <w:t>t</w:t>
      </w:r>
      <w:r>
        <w:t xml:space="preserve"> bits</w:t>
      </w:r>
    </w:p>
    <w:p w14:paraId="6434B527">
      <w:pPr>
        <w:pStyle w:val="133"/>
        <w:numPr>
          <w:ilvl w:val="0"/>
          <w:numId w:val="37"/>
        </w:numPr>
      </w:pPr>
      <w:r>
        <w:t>Part 2: N</w:t>
      </w:r>
      <w:r>
        <w:rPr>
          <w:vertAlign w:val="subscript"/>
        </w:rPr>
        <w:t>TRP</w:t>
      </w:r>
      <w:r>
        <w:t xml:space="preserve"> </w:t>
      </w:r>
      <w:r>
        <w:rPr>
          <w:rFonts w:cs="Arial"/>
        </w:rPr>
        <w:t>×</w:t>
      </w:r>
      <w:r>
        <w:t xml:space="preserve"> N</w:t>
      </w:r>
      <w:r>
        <w:rPr>
          <w:vertAlign w:val="subscript"/>
        </w:rPr>
        <w:t>port</w:t>
      </w:r>
      <w:r>
        <w:t xml:space="preserve"> </w:t>
      </w:r>
      <w:r>
        <w:rPr>
          <w:rFonts w:cs="Arial"/>
        </w:rPr>
        <w:t xml:space="preserve">× </w:t>
      </w:r>
      <w:r>
        <w:t>N</w:t>
      </w:r>
      <w:r>
        <w:rPr>
          <w:vertAlign w:val="subscript"/>
        </w:rPr>
        <w:t>t</w:t>
      </w:r>
      <w:r>
        <w:t>'</w:t>
      </w:r>
      <w:r>
        <w:rPr>
          <w:rFonts w:cs="Arial"/>
        </w:rPr>
        <w:t xml:space="preserve"> × </w:t>
      </w:r>
      <w:r>
        <w:t>B</w:t>
      </w:r>
      <w:r>
        <w:rPr>
          <w:vertAlign w:val="subscript"/>
        </w:rPr>
        <w:t>real</w:t>
      </w:r>
      <w:r>
        <w:t xml:space="preserve"> </w:t>
      </w:r>
      <w:r>
        <w:rPr>
          <w:rFonts w:cs="Arial"/>
        </w:rPr>
        <w:t>bits</w:t>
      </w:r>
    </w:p>
    <w:p w14:paraId="551687FC">
      <w:pPr>
        <w:pStyle w:val="133"/>
        <w:numPr>
          <w:ilvl w:val="0"/>
          <w:numId w:val="37"/>
        </w:numPr>
      </w:pPr>
      <w:r>
        <w:t>Part 3: N</w:t>
      </w:r>
      <w:r>
        <w:rPr>
          <w:vertAlign w:val="subscript"/>
        </w:rPr>
        <w:t>TRP</w:t>
      </w:r>
      <w:r>
        <w:t xml:space="preserve"> </w:t>
      </w:r>
      <w:r>
        <w:rPr>
          <w:rFonts w:cs="Arial"/>
        </w:rPr>
        <w:t>×</w:t>
      </w:r>
      <w:r>
        <w:t xml:space="preserve"> N</w:t>
      </w:r>
      <w:r>
        <w:rPr>
          <w:vertAlign w:val="subscript"/>
        </w:rPr>
        <w:t>port</w:t>
      </w:r>
      <w:r>
        <w:t xml:space="preserve"> </w:t>
      </w:r>
      <w:r>
        <w:rPr>
          <w:rFonts w:cs="Arial"/>
        </w:rPr>
        <w:t xml:space="preserve">× </w:t>
      </w:r>
      <w:r>
        <w:t>N</w:t>
      </w:r>
      <w:r>
        <w:rPr>
          <w:vertAlign w:val="subscript"/>
        </w:rPr>
        <w:t>t</w:t>
      </w:r>
      <w:r>
        <w:t>'</w:t>
      </w:r>
      <w:r>
        <w:rPr>
          <w:rFonts w:cs="Arial"/>
        </w:rPr>
        <w:t xml:space="preserve"> × </w:t>
      </w:r>
      <w:r>
        <w:t>B</w:t>
      </w:r>
      <w:r>
        <w:rPr>
          <w:vertAlign w:val="subscript"/>
        </w:rPr>
        <w:t>real</w:t>
      </w:r>
      <w:r>
        <w:t xml:space="preserve"> </w:t>
      </w:r>
      <w:r>
        <w:rPr>
          <w:rFonts w:cs="Arial"/>
        </w:rPr>
        <w:t>bits</w:t>
      </w:r>
    </w:p>
    <w:p w14:paraId="5C6BC130">
      <w:r>
        <w:t xml:space="preserve">where </w:t>
      </w:r>
    </w:p>
    <w:p w14:paraId="2CDF24D5">
      <w:pPr>
        <w:pStyle w:val="133"/>
        <w:numPr>
          <w:ilvl w:val="0"/>
          <w:numId w:val="38"/>
        </w:numPr>
      </w:pPr>
      <w:r>
        <w:t>N</w:t>
      </w:r>
      <w:r>
        <w:rPr>
          <w:vertAlign w:val="subscript"/>
        </w:rPr>
        <w:t>TRP</w:t>
      </w:r>
      <w:r>
        <w:t xml:space="preserve"> = 18 or dynamic TRP selection to 9, 6, 3 TRPs</w:t>
      </w:r>
    </w:p>
    <w:p w14:paraId="0794C36B">
      <w:pPr>
        <w:pStyle w:val="133"/>
        <w:numPr>
          <w:ilvl w:val="0"/>
          <w:numId w:val="38"/>
        </w:numPr>
      </w:pPr>
      <w:r>
        <w:t>N</w:t>
      </w:r>
      <w:r>
        <w:rPr>
          <w:vertAlign w:val="subscript"/>
        </w:rPr>
        <w:t>port</w:t>
      </w:r>
      <w:r>
        <w:t xml:space="preserve"> = 2 for 2-port CIR and N</w:t>
      </w:r>
      <w:r>
        <w:rPr>
          <w:vertAlign w:val="subscript"/>
        </w:rPr>
        <w:t>port</w:t>
      </w:r>
      <w:r>
        <w:t xml:space="preserve"> = 1 for PDP and 1</w:t>
      </w:r>
      <w:r>
        <w:rPr>
          <w:vertAlign w:val="superscript"/>
        </w:rPr>
        <w:t>st</w:t>
      </w:r>
      <w:r>
        <w:t xml:space="preserve"> PC CIR</w:t>
      </w:r>
    </w:p>
    <w:p w14:paraId="711990A6">
      <w:pPr>
        <w:pStyle w:val="133"/>
        <w:numPr>
          <w:ilvl w:val="0"/>
          <w:numId w:val="37"/>
        </w:numPr>
      </w:pPr>
      <w:r>
        <w:t>B</w:t>
      </w:r>
      <w:r>
        <w:rPr>
          <w:vertAlign w:val="subscript"/>
        </w:rPr>
        <w:t>real</w:t>
      </w:r>
      <w:r>
        <w:t xml:space="preserve"> = 8 bits</w:t>
      </w:r>
    </w:p>
    <w:p w14:paraId="7CCF13A8">
      <w:r>
        <w:t>That is, for one positioning request, the total numbers of feedback bits for reporting measurement are</w:t>
      </w:r>
    </w:p>
    <w:p w14:paraId="2F320ED7">
      <w:pPr>
        <w:pStyle w:val="133"/>
        <w:numPr>
          <w:ilvl w:val="0"/>
          <w:numId w:val="39"/>
        </w:numPr>
        <w:tabs>
          <w:tab w:val="left" w:pos="1260"/>
        </w:tabs>
      </w:pPr>
      <w:r>
        <w:t>DP</w:t>
      </w:r>
    </w:p>
    <w:p w14:paraId="2E701CDB">
      <w:pPr>
        <w:pStyle w:val="133"/>
        <w:numPr>
          <w:ilvl w:val="1"/>
          <w:numId w:val="39"/>
        </w:numPr>
        <w:tabs>
          <w:tab w:val="left" w:pos="1260"/>
        </w:tabs>
      </w:pPr>
      <w:r>
        <w:t>N</w:t>
      </w:r>
      <w:r>
        <w:rPr>
          <w:vertAlign w:val="subscript"/>
        </w:rPr>
        <w:t>TRP</w:t>
      </w:r>
      <w:r>
        <w:t xml:space="preserve"> </w:t>
      </w:r>
      <w:r>
        <w:rPr>
          <w:rFonts w:cs="Arial"/>
        </w:rPr>
        <w:t>×</w:t>
      </w:r>
      <w:r>
        <w:t xml:space="preserve"> N</w:t>
      </w:r>
      <w:r>
        <w:rPr>
          <w:vertAlign w:val="subscript"/>
        </w:rPr>
        <w:t>t</w:t>
      </w:r>
      <w:r>
        <w:t xml:space="preserve"> bits</w:t>
      </w:r>
    </w:p>
    <w:p w14:paraId="1E0FD3BB">
      <w:pPr>
        <w:pStyle w:val="133"/>
        <w:numPr>
          <w:ilvl w:val="1"/>
          <w:numId w:val="39"/>
        </w:numPr>
        <w:tabs>
          <w:tab w:val="left" w:pos="1260"/>
        </w:tabs>
      </w:pPr>
      <w:r>
        <w:t>Optional: N</w:t>
      </w:r>
      <w:r>
        <w:rPr>
          <w:vertAlign w:val="subscript"/>
        </w:rPr>
        <w:t>TRP</w:t>
      </w:r>
      <w:r>
        <w:t xml:space="preserve"> </w:t>
      </w:r>
      <w:r>
        <w:rPr>
          <w:rFonts w:cs="Arial"/>
        </w:rPr>
        <w:t>×</w:t>
      </w:r>
      <w:r>
        <w:t xml:space="preserve"> (N</w:t>
      </w:r>
      <w:r>
        <w:rPr>
          <w:vertAlign w:val="subscript"/>
        </w:rPr>
        <w:t>t</w:t>
      </w:r>
      <w:r>
        <w:t xml:space="preserve"> + B</w:t>
      </w:r>
      <w:r>
        <w:rPr>
          <w:vertAlign w:val="subscript"/>
        </w:rPr>
        <w:t>real</w:t>
      </w:r>
      <w:r>
        <w:t>) bits (including the RS RSRP for the TRP links)</w:t>
      </w:r>
    </w:p>
    <w:p w14:paraId="603A5C10">
      <w:pPr>
        <w:pStyle w:val="133"/>
        <w:numPr>
          <w:ilvl w:val="0"/>
          <w:numId w:val="39"/>
        </w:numPr>
        <w:tabs>
          <w:tab w:val="left" w:pos="1260"/>
        </w:tabs>
      </w:pPr>
      <w:r>
        <w:t>PDP</w:t>
      </w:r>
    </w:p>
    <w:p w14:paraId="39EAB551">
      <w:pPr>
        <w:pStyle w:val="133"/>
        <w:numPr>
          <w:ilvl w:val="1"/>
          <w:numId w:val="39"/>
        </w:numPr>
        <w:tabs>
          <w:tab w:val="left" w:pos="1260"/>
        </w:tabs>
      </w:pPr>
      <w:r>
        <w:t>N</w:t>
      </w:r>
      <w:r>
        <w:rPr>
          <w:vertAlign w:val="subscript"/>
        </w:rPr>
        <w:t>TRP</w:t>
      </w:r>
      <w:r>
        <w:rPr>
          <w:rFonts w:cs="Arial"/>
        </w:rPr>
        <w:t xml:space="preserve"> × </w:t>
      </w:r>
      <w:r>
        <w:t>N</w:t>
      </w:r>
      <w:r>
        <w:rPr>
          <w:vertAlign w:val="subscript"/>
        </w:rPr>
        <w:t>t</w:t>
      </w:r>
      <w:r>
        <w:rPr>
          <w:rFonts w:cs="Arial"/>
        </w:rPr>
        <w:t xml:space="preserve"> × </w:t>
      </w:r>
      <w:r>
        <w:t>B</w:t>
      </w:r>
      <w:r>
        <w:rPr>
          <w:vertAlign w:val="subscript"/>
        </w:rPr>
        <w:t>real</w:t>
      </w:r>
      <w:r>
        <w:t xml:space="preserve"> </w:t>
      </w:r>
      <w:r>
        <w:rPr>
          <w:rFonts w:cs="Arial"/>
        </w:rPr>
        <w:t>bits if sub-sampling is not configured</w:t>
      </w:r>
    </w:p>
    <w:p w14:paraId="7C3AC6A7">
      <w:pPr>
        <w:pStyle w:val="133"/>
        <w:numPr>
          <w:ilvl w:val="1"/>
          <w:numId w:val="39"/>
        </w:numPr>
        <w:tabs>
          <w:tab w:val="left" w:pos="1260"/>
        </w:tabs>
      </w:pPr>
      <w:r>
        <w:t>N</w:t>
      </w:r>
      <w:r>
        <w:rPr>
          <w:vertAlign w:val="subscript"/>
        </w:rPr>
        <w:t>TRP</w:t>
      </w:r>
      <w:r>
        <w:t xml:space="preserve"> </w:t>
      </w:r>
      <w:r>
        <w:rPr>
          <w:rFonts w:cs="Arial"/>
        </w:rPr>
        <w:t>×</w:t>
      </w:r>
      <w:r>
        <w:t xml:space="preserve"> (N</w:t>
      </w:r>
      <w:r>
        <w:rPr>
          <w:vertAlign w:val="subscript"/>
        </w:rPr>
        <w:t>t</w:t>
      </w:r>
      <w:r>
        <w:t xml:space="preserve"> </w:t>
      </w:r>
      <w:r>
        <w:rPr>
          <w:rFonts w:cs="Arial"/>
        </w:rPr>
        <w:t xml:space="preserve">+ </w:t>
      </w:r>
      <w:r>
        <w:t>N</w:t>
      </w:r>
      <w:r>
        <w:rPr>
          <w:vertAlign w:val="subscript"/>
        </w:rPr>
        <w:t>t</w:t>
      </w:r>
      <w:r>
        <w:t>'</w:t>
      </w:r>
      <w:r>
        <w:rPr>
          <w:rFonts w:cs="Arial"/>
        </w:rPr>
        <w:t xml:space="preserve"> × </w:t>
      </w:r>
      <w:r>
        <w:t>B</w:t>
      </w:r>
      <w:r>
        <w:rPr>
          <w:vertAlign w:val="subscript"/>
        </w:rPr>
        <w:t>real</w:t>
      </w:r>
      <w:r>
        <w:t xml:space="preserve">) </w:t>
      </w:r>
      <w:r>
        <w:rPr>
          <w:rFonts w:cs="Arial"/>
        </w:rPr>
        <w:t>bits if sub-sampling is configured</w:t>
      </w:r>
    </w:p>
    <w:p w14:paraId="75E3F9E3">
      <w:pPr>
        <w:pStyle w:val="133"/>
        <w:numPr>
          <w:ilvl w:val="0"/>
          <w:numId w:val="39"/>
        </w:numPr>
        <w:tabs>
          <w:tab w:val="left" w:pos="1260"/>
        </w:tabs>
      </w:pPr>
      <w:r>
        <w:t>2-port CIR</w:t>
      </w:r>
    </w:p>
    <w:p w14:paraId="45F6782B">
      <w:pPr>
        <w:pStyle w:val="133"/>
        <w:numPr>
          <w:ilvl w:val="1"/>
          <w:numId w:val="39"/>
        </w:numPr>
        <w:tabs>
          <w:tab w:val="left" w:pos="1260"/>
        </w:tabs>
      </w:pPr>
      <w:r>
        <w:t>N</w:t>
      </w:r>
      <w:r>
        <w:rPr>
          <w:vertAlign w:val="subscript"/>
        </w:rPr>
        <w:t>TRP</w:t>
      </w:r>
      <w:r>
        <w:rPr>
          <w:rFonts w:cs="Arial"/>
        </w:rPr>
        <w:t xml:space="preserve"> × </w:t>
      </w:r>
      <w:r>
        <w:t xml:space="preserve">4 </w:t>
      </w:r>
      <w:r>
        <w:rPr>
          <w:rFonts w:cs="Arial"/>
        </w:rPr>
        <w:t xml:space="preserve">× </w:t>
      </w:r>
      <w:r>
        <w:t>N</w:t>
      </w:r>
      <w:r>
        <w:rPr>
          <w:vertAlign w:val="subscript"/>
        </w:rPr>
        <w:t>t</w:t>
      </w:r>
      <w:r>
        <w:rPr>
          <w:rFonts w:cs="Arial"/>
        </w:rPr>
        <w:t xml:space="preserve"> × </w:t>
      </w:r>
      <w:r>
        <w:t>B</w:t>
      </w:r>
      <w:r>
        <w:rPr>
          <w:vertAlign w:val="subscript"/>
        </w:rPr>
        <w:t>real</w:t>
      </w:r>
      <w:r>
        <w:t xml:space="preserve"> </w:t>
      </w:r>
      <w:r>
        <w:rPr>
          <w:rFonts w:cs="Arial"/>
        </w:rPr>
        <w:t>bits if sub-sampling is not configured</w:t>
      </w:r>
    </w:p>
    <w:p w14:paraId="1B6CE975">
      <w:pPr>
        <w:pStyle w:val="133"/>
        <w:numPr>
          <w:ilvl w:val="1"/>
          <w:numId w:val="39"/>
        </w:numPr>
        <w:tabs>
          <w:tab w:val="left" w:pos="1260"/>
        </w:tabs>
      </w:pPr>
      <w:r>
        <w:t>N</w:t>
      </w:r>
      <w:r>
        <w:rPr>
          <w:vertAlign w:val="subscript"/>
        </w:rPr>
        <w:t>TRP</w:t>
      </w:r>
      <w:r>
        <w:t xml:space="preserve"> </w:t>
      </w:r>
      <w:r>
        <w:rPr>
          <w:rFonts w:cs="Arial"/>
        </w:rPr>
        <w:t>×</w:t>
      </w:r>
      <w:r>
        <w:t xml:space="preserve"> (N</w:t>
      </w:r>
      <w:r>
        <w:rPr>
          <w:vertAlign w:val="subscript"/>
        </w:rPr>
        <w:t>t</w:t>
      </w:r>
      <w:r>
        <w:t xml:space="preserve"> </w:t>
      </w:r>
      <w:r>
        <w:rPr>
          <w:rFonts w:cs="Arial"/>
        </w:rPr>
        <w:t xml:space="preserve">+ </w:t>
      </w:r>
      <w:r>
        <w:t xml:space="preserve">4 </w:t>
      </w:r>
      <w:r>
        <w:rPr>
          <w:rFonts w:cs="Arial"/>
        </w:rPr>
        <w:t xml:space="preserve">× </w:t>
      </w:r>
      <w:r>
        <w:t>N</w:t>
      </w:r>
      <w:r>
        <w:rPr>
          <w:vertAlign w:val="subscript"/>
        </w:rPr>
        <w:t>t</w:t>
      </w:r>
      <w:r>
        <w:t>'</w:t>
      </w:r>
      <w:r>
        <w:rPr>
          <w:rFonts w:cs="Arial"/>
        </w:rPr>
        <w:t xml:space="preserve"> × </w:t>
      </w:r>
      <w:r>
        <w:t>B</w:t>
      </w:r>
      <w:r>
        <w:rPr>
          <w:vertAlign w:val="subscript"/>
        </w:rPr>
        <w:t>real</w:t>
      </w:r>
      <w:r>
        <w:t xml:space="preserve">) </w:t>
      </w:r>
      <w:r>
        <w:rPr>
          <w:rFonts w:cs="Arial"/>
        </w:rPr>
        <w:t>bits if sub-sampling is configured</w:t>
      </w:r>
    </w:p>
    <w:p w14:paraId="3C44ED32">
      <w:pPr>
        <w:pStyle w:val="133"/>
        <w:numPr>
          <w:ilvl w:val="1"/>
          <w:numId w:val="39"/>
        </w:numPr>
        <w:tabs>
          <w:tab w:val="left" w:pos="1260"/>
        </w:tabs>
      </w:pPr>
      <w:r>
        <w:t>Note: factor 4 is used above since CIR uses 2-port and complex values</w:t>
      </w:r>
    </w:p>
    <w:p w14:paraId="3B4C59C7">
      <w:pPr>
        <w:pStyle w:val="133"/>
        <w:numPr>
          <w:ilvl w:val="0"/>
          <w:numId w:val="39"/>
        </w:numPr>
        <w:tabs>
          <w:tab w:val="left" w:pos="1260"/>
        </w:tabs>
      </w:pPr>
      <w:r>
        <w:t>1</w:t>
      </w:r>
      <w:r>
        <w:rPr>
          <w:vertAlign w:val="superscript"/>
        </w:rPr>
        <w:t>st</w:t>
      </w:r>
      <w:r>
        <w:t xml:space="preserve"> PC CIR</w:t>
      </w:r>
    </w:p>
    <w:p w14:paraId="7B1CED1F">
      <w:pPr>
        <w:pStyle w:val="133"/>
        <w:numPr>
          <w:ilvl w:val="1"/>
          <w:numId w:val="39"/>
        </w:numPr>
        <w:tabs>
          <w:tab w:val="left" w:pos="1260"/>
        </w:tabs>
      </w:pPr>
      <w:r>
        <w:t>N</w:t>
      </w:r>
      <w:r>
        <w:rPr>
          <w:vertAlign w:val="subscript"/>
        </w:rPr>
        <w:t>TRP</w:t>
      </w:r>
      <w:r>
        <w:rPr>
          <w:rFonts w:cs="Arial"/>
        </w:rPr>
        <w:t xml:space="preserve"> × 2</w:t>
      </w:r>
      <w:r>
        <w:t xml:space="preserve"> </w:t>
      </w:r>
      <w:r>
        <w:rPr>
          <w:rFonts w:cs="Arial"/>
        </w:rPr>
        <w:t xml:space="preserve">× </w:t>
      </w:r>
      <w:r>
        <w:t>N</w:t>
      </w:r>
      <w:r>
        <w:rPr>
          <w:vertAlign w:val="subscript"/>
        </w:rPr>
        <w:t>t</w:t>
      </w:r>
      <w:r>
        <w:rPr>
          <w:rFonts w:cs="Arial"/>
        </w:rPr>
        <w:t xml:space="preserve"> × </w:t>
      </w:r>
      <w:r>
        <w:t>B</w:t>
      </w:r>
      <w:r>
        <w:rPr>
          <w:vertAlign w:val="subscript"/>
        </w:rPr>
        <w:t>real</w:t>
      </w:r>
      <w:r>
        <w:t xml:space="preserve"> </w:t>
      </w:r>
      <w:r>
        <w:rPr>
          <w:rFonts w:cs="Arial"/>
        </w:rPr>
        <w:t>bits if sub-sampling is not configured</w:t>
      </w:r>
    </w:p>
    <w:p w14:paraId="1FC1C98E">
      <w:pPr>
        <w:pStyle w:val="133"/>
        <w:numPr>
          <w:ilvl w:val="1"/>
          <w:numId w:val="39"/>
        </w:numPr>
        <w:tabs>
          <w:tab w:val="left" w:pos="1260"/>
        </w:tabs>
      </w:pPr>
      <w:r>
        <w:t>N</w:t>
      </w:r>
      <w:r>
        <w:rPr>
          <w:vertAlign w:val="subscript"/>
        </w:rPr>
        <w:t>TRP</w:t>
      </w:r>
      <w:r>
        <w:t xml:space="preserve"> </w:t>
      </w:r>
      <w:r>
        <w:rPr>
          <w:rFonts w:cs="Arial"/>
        </w:rPr>
        <w:t>×</w:t>
      </w:r>
      <w:r>
        <w:t xml:space="preserve"> (N</w:t>
      </w:r>
      <w:r>
        <w:rPr>
          <w:vertAlign w:val="subscript"/>
        </w:rPr>
        <w:t>t</w:t>
      </w:r>
      <w:r>
        <w:t xml:space="preserve"> </w:t>
      </w:r>
      <w:r>
        <w:rPr>
          <w:rFonts w:cs="Arial"/>
        </w:rPr>
        <w:t>+ 2</w:t>
      </w:r>
      <w:r>
        <w:t xml:space="preserve"> </w:t>
      </w:r>
      <w:r>
        <w:rPr>
          <w:rFonts w:cs="Arial"/>
        </w:rPr>
        <w:t xml:space="preserve">× </w:t>
      </w:r>
      <w:r>
        <w:t>N</w:t>
      </w:r>
      <w:r>
        <w:rPr>
          <w:vertAlign w:val="subscript"/>
        </w:rPr>
        <w:t>t</w:t>
      </w:r>
      <w:r>
        <w:t>'</w:t>
      </w:r>
      <w:r>
        <w:rPr>
          <w:rFonts w:cs="Arial"/>
        </w:rPr>
        <w:t xml:space="preserve"> × </w:t>
      </w:r>
      <w:r>
        <w:t>B</w:t>
      </w:r>
      <w:r>
        <w:rPr>
          <w:vertAlign w:val="subscript"/>
        </w:rPr>
        <w:t>real</w:t>
      </w:r>
      <w:r>
        <w:t xml:space="preserve">) </w:t>
      </w:r>
      <w:r>
        <w:rPr>
          <w:rFonts w:cs="Arial"/>
        </w:rPr>
        <w:t>bits if sub-sampling is configured</w:t>
      </w:r>
    </w:p>
    <w:p w14:paraId="685E19D6">
      <w:pPr>
        <w:pStyle w:val="133"/>
        <w:numPr>
          <w:ilvl w:val="1"/>
          <w:numId w:val="39"/>
        </w:numPr>
        <w:tabs>
          <w:tab w:val="left" w:pos="1260"/>
        </w:tabs>
      </w:pPr>
      <w:r>
        <w:t>Note: factor 2 is used above since CIR uses complex values</w:t>
      </w:r>
    </w:p>
    <w:p w14:paraId="7D120AFE">
      <w:r>
        <w:t xml:space="preserve">In </w:t>
      </w:r>
      <w:r>
        <w:fldChar w:fldCharType="begin"/>
      </w:r>
      <w:r>
        <w:instrText xml:space="preserve"> REF _Ref163134718 </w:instrText>
      </w:r>
      <w:r>
        <w:fldChar w:fldCharType="separate"/>
      </w:r>
      <w:r>
        <w:t>Figure 1</w:t>
      </w:r>
      <w:r>
        <w:fldChar w:fldCharType="end"/>
      </w:r>
      <w:r>
        <w:t xml:space="preserve">, we show the scatter plot of feedback sizes (i.e., number of bits to report measurements) and the achieved 90%tile 2D UE positioning errors for different AI/ML model input types with the following different combinations of lengths, sub-sampling sizes and TRP down-selection </w:t>
      </w:r>
      <w:r>
        <w:fldChar w:fldCharType="begin"/>
      </w:r>
      <w:r>
        <w:instrText xml:space="preserve"> REF _Ref158730650 \r \h </w:instrText>
      </w:r>
      <w:r>
        <w:fldChar w:fldCharType="separate"/>
      </w:r>
      <w:r>
        <w:t>[6]</w:t>
      </w:r>
      <w:r>
        <w:fldChar w:fldCharType="end"/>
      </w:r>
      <w:r>
        <w:t>:</w:t>
      </w:r>
    </w:p>
    <w:p w14:paraId="383CB3D3">
      <w:pPr>
        <w:pStyle w:val="133"/>
        <w:numPr>
          <w:ilvl w:val="0"/>
          <w:numId w:val="40"/>
        </w:numPr>
      </w:pPr>
      <w:r>
        <w:t>CIR/PDP</w:t>
      </w:r>
    </w:p>
    <w:p w14:paraId="0BCB81BE">
      <w:pPr>
        <w:pStyle w:val="133"/>
        <w:numPr>
          <w:ilvl w:val="1"/>
          <w:numId w:val="40"/>
        </w:numPr>
      </w:pPr>
      <w:r>
        <w:t xml:space="preserve">Truncation to </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m:t>
        </m:r>
      </m:oMath>
      <w:r>
        <w:t>256, 128, 64, 32 taps without sub-sampling</w:t>
      </w:r>
    </w:p>
    <w:p w14:paraId="193D1291">
      <w:pPr>
        <w:pStyle w:val="133"/>
        <w:numPr>
          <w:ilvl w:val="1"/>
          <w:numId w:val="40"/>
        </w:numPr>
      </w:pP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oMath>
      <w:r>
        <w:t xml:space="preserve"> 256-sample with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 xml:space="preserve">= </m:t>
        </m:r>
      </m:oMath>
      <w:r>
        <w:t>128, 64, 32, 16, 9 sub-samples</w:t>
      </w:r>
    </w:p>
    <w:p w14:paraId="56FE1586">
      <w:pPr>
        <w:pStyle w:val="133"/>
        <w:numPr>
          <w:ilvl w:val="1"/>
          <w:numId w:val="40"/>
        </w:numPr>
      </w:pP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oMath>
      <w:r>
        <w:t xml:space="preserve"> 128-sample with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oMath>
      <w:r>
        <w:t xml:space="preserve"> 64, 32, 16, 9 sub-samples</w:t>
      </w:r>
    </w:p>
    <w:p w14:paraId="6C8C8F24">
      <w:pPr>
        <w:pStyle w:val="133"/>
        <w:numPr>
          <w:ilvl w:val="1"/>
          <w:numId w:val="40"/>
        </w:numPr>
      </w:pP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oMath>
      <w:r>
        <w:t xml:space="preserve"> 64-sample with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oMath>
      <w:r>
        <w:t xml:space="preserve"> 32, 16, 9 sub-samples</w:t>
      </w:r>
    </w:p>
    <w:p w14:paraId="675C53A2">
      <w:pPr>
        <w:pStyle w:val="133"/>
        <w:numPr>
          <w:ilvl w:val="0"/>
          <w:numId w:val="40"/>
        </w:numPr>
      </w:pPr>
      <w:r>
        <w:t>DP</w:t>
      </w:r>
    </w:p>
    <w:p w14:paraId="5C015BEB">
      <w:pPr>
        <w:pStyle w:val="133"/>
        <w:numPr>
          <w:ilvl w:val="1"/>
          <w:numId w:val="40"/>
        </w:numPr>
      </w:pPr>
      <w:r>
        <w:t xml:space="preserve">Truncation to </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oMath>
      <w:r>
        <w:t xml:space="preserve">256, 128, 64 taps with </w:t>
      </w:r>
      <m:oMath>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oMath>
      <w:r>
        <w:t xml:space="preserve"> non-zero samples</w:t>
      </w:r>
    </w:p>
    <w:p w14:paraId="3B30400E">
      <w:pPr>
        <w:pStyle w:val="133"/>
        <w:numPr>
          <w:ilvl w:val="1"/>
          <w:numId w:val="40"/>
        </w:numPr>
      </w:pPr>
      <w:r>
        <w:t>With magnitude 1 or optionally with RS RSRP</w:t>
      </w:r>
    </w:p>
    <w:p w14:paraId="45163253">
      <w:pPr>
        <w:pStyle w:val="133"/>
        <w:numPr>
          <w:ilvl w:val="0"/>
          <w:numId w:val="40"/>
        </w:numPr>
      </w:pPr>
      <w:r>
        <w:t xml:space="preserve">Dynamic TRP selection to 9, 6, 3 TRPs with </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N</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t>
            </m:r>
            <m:ctrlPr>
              <w:rPr>
                <w:rFonts w:ascii="Cambria Math" w:hAnsi="Cambria Math"/>
                <w:i/>
              </w:rPr>
            </m:ctrlPr>
          </m:sup>
        </m:sSubSup>
        <m:r>
          <m:rPr>
            <m:sty m:val="p"/>
          </m:rPr>
          <w:rPr>
            <w:rFonts w:ascii="Cambria Math"/>
          </w:rPr>
          <m:t xml:space="preserve">= </m:t>
        </m:r>
      </m:oMath>
      <w:r>
        <w:t>256.</w:t>
      </w:r>
    </w:p>
    <w:p w14:paraId="7F9580CD"/>
    <w:p w14:paraId="257B32D5">
      <w:r>
        <w:t>From the figure, we make the following observations:</w:t>
      </w:r>
    </w:p>
    <w:p w14:paraId="0259E0B0">
      <w:pPr>
        <w:pStyle w:val="133"/>
        <w:numPr>
          <w:ilvl w:val="0"/>
          <w:numId w:val="34"/>
        </w:numPr>
      </w:pPr>
      <w:r>
        <w:t>For small or moderate signaling sizes, PDP samples can achieve better positioning accuracy than 2-port CIR samples at the same or smaller signaling sizes. Using PDP samples, a 90%tile 2D positioning error of 0.52 m can be achieved.</w:t>
      </w:r>
    </w:p>
    <w:p w14:paraId="4D0D621B">
      <w:pPr>
        <w:pStyle w:val="133"/>
        <w:numPr>
          <w:ilvl w:val="0"/>
          <w:numId w:val="34"/>
        </w:numPr>
      </w:pPr>
      <w:r>
        <w:t xml:space="preserve">The higher positioning accuracy achieved by 2-port CIR is only possible with very large signaling sizes. </w:t>
      </w:r>
    </w:p>
    <w:p w14:paraId="1579790F">
      <w:pPr>
        <w:pStyle w:val="133"/>
        <w:numPr>
          <w:ilvl w:val="0"/>
          <w:numId w:val="34"/>
        </w:numPr>
      </w:pPr>
      <w:r>
        <w:t>For most given 90%tile 2D UE positioning error requirements, the DP samples requires the smallest signaling sizes.</w:t>
      </w:r>
    </w:p>
    <w:p w14:paraId="7025F75C">
      <w:pPr>
        <w:jc w:val="center"/>
      </w:pPr>
      <w:r>
        <w:drawing>
          <wp:inline distT="0" distB="0" distL="0" distR="0">
            <wp:extent cx="5327650" cy="3995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27650" cy="3995420"/>
                    </a:xfrm>
                    <a:prstGeom prst="rect">
                      <a:avLst/>
                    </a:prstGeom>
                    <a:noFill/>
                    <a:ln>
                      <a:noFill/>
                    </a:ln>
                  </pic:spPr>
                </pic:pic>
              </a:graphicData>
            </a:graphic>
          </wp:inline>
        </w:drawing>
      </w:r>
    </w:p>
    <w:p w14:paraId="02FBB6C2">
      <w:pPr>
        <w:pStyle w:val="29"/>
      </w:pPr>
      <w:bookmarkStart w:id="1510" w:name="_Ref163134718"/>
      <w:r>
        <w:t xml:space="preserve">Figure </w:t>
      </w:r>
      <w:r>
        <w:fldChar w:fldCharType="begin"/>
      </w:r>
      <w:r>
        <w:instrText xml:space="preserve"> SEQ Figure \* ARABIC </w:instrText>
      </w:r>
      <w:r>
        <w:fldChar w:fldCharType="separate"/>
      </w:r>
      <w:r>
        <w:t>1</w:t>
      </w:r>
      <w:r>
        <w:fldChar w:fldCharType="end"/>
      </w:r>
      <w:bookmarkEnd w:id="1510"/>
      <w:r>
        <w:t xml:space="preserve"> Scatter plot of feedback sizes and the achieved 90%tile 2D UE positioning errors in the </w:t>
      </w:r>
      <w:r>
        <w:rPr>
          <w:lang w:eastAsia="ja-JP"/>
        </w:rPr>
        <w:t>{60%, 6m, 2m} InF-DH scenario</w:t>
      </w:r>
      <w:r>
        <w:t xml:space="preserve"> for different AI/ML model input types with different combinations of lengths, sub-sampling sizes and TRP down-selection using the regular sampling grid signaling approach. The positioning accuracy is for the “small model” for centralized direct positioning trained with 40,000 samples </w:t>
      </w:r>
      <w:r>
        <w:fldChar w:fldCharType="begin"/>
      </w:r>
      <w:r>
        <w:instrText xml:space="preserve"> REF _Ref158730650 \r \h </w:instrText>
      </w:r>
      <w:r>
        <w:fldChar w:fldCharType="separate"/>
      </w:r>
      <w:r>
        <w:t>[6]</w:t>
      </w:r>
      <w:r>
        <w:fldChar w:fldCharType="end"/>
      </w:r>
      <w:r>
        <w:t>.</w:t>
      </w:r>
    </w:p>
    <w:p w14:paraId="4F104AC5">
      <w:pPr>
        <w:pStyle w:val="3"/>
        <w:rPr>
          <w:lang w:val="en-US"/>
        </w:rPr>
      </w:pPr>
      <w:bookmarkStart w:id="1511" w:name="_Toc158978326"/>
      <w:bookmarkEnd w:id="1511"/>
      <w:bookmarkStart w:id="1512" w:name="_Toc158978371"/>
      <w:bookmarkEnd w:id="1512"/>
      <w:bookmarkStart w:id="1513" w:name="_Toc189042827"/>
      <w:bookmarkEnd w:id="1513"/>
      <w:bookmarkStart w:id="1514" w:name="_Toc187677962"/>
      <w:bookmarkEnd w:id="1514"/>
      <w:bookmarkStart w:id="1515" w:name="_Toc187677963"/>
      <w:bookmarkEnd w:id="1515"/>
      <w:bookmarkStart w:id="1516" w:name="_Toc159073353"/>
      <w:bookmarkEnd w:id="1516"/>
      <w:bookmarkStart w:id="1517" w:name="_Toc187677955"/>
      <w:bookmarkEnd w:id="1517"/>
      <w:bookmarkStart w:id="1518" w:name="_Toc189042834"/>
      <w:bookmarkEnd w:id="1518"/>
      <w:bookmarkStart w:id="1519" w:name="_Toc187677964"/>
      <w:bookmarkEnd w:id="1519"/>
      <w:bookmarkStart w:id="1520" w:name="_Toc187677965"/>
      <w:bookmarkEnd w:id="1520"/>
      <w:bookmarkStart w:id="1521" w:name="_Toc189042836"/>
      <w:bookmarkEnd w:id="1521"/>
      <w:bookmarkStart w:id="1522" w:name="_Toc189042826"/>
      <w:bookmarkEnd w:id="1522"/>
      <w:bookmarkStart w:id="1523" w:name="_Toc187677966"/>
      <w:bookmarkEnd w:id="1523"/>
      <w:bookmarkStart w:id="1524" w:name="_Toc189042837"/>
      <w:bookmarkEnd w:id="1524"/>
      <w:bookmarkStart w:id="1525" w:name="_Toc187677967"/>
      <w:bookmarkEnd w:id="1525"/>
      <w:bookmarkStart w:id="1526" w:name="_Toc189042833"/>
      <w:bookmarkEnd w:id="1526"/>
      <w:bookmarkStart w:id="1527" w:name="_Toc189042835"/>
      <w:bookmarkEnd w:id="1527"/>
      <w:bookmarkStart w:id="1528" w:name="_Toc187677957"/>
      <w:bookmarkEnd w:id="1528"/>
      <w:bookmarkStart w:id="1529" w:name="_Toc187677956"/>
      <w:bookmarkEnd w:id="1529"/>
      <w:bookmarkStart w:id="1530" w:name="_Toc189042828"/>
      <w:bookmarkEnd w:id="1530"/>
      <w:bookmarkStart w:id="1531" w:name="_Toc178706079"/>
      <w:bookmarkEnd w:id="1531"/>
      <w:bookmarkStart w:id="1532" w:name="_Toc178709058"/>
      <w:bookmarkEnd w:id="1532"/>
      <w:bookmarkStart w:id="1533" w:name="_Toc178705179"/>
      <w:bookmarkEnd w:id="1533"/>
      <w:bookmarkStart w:id="1534" w:name="_Toc178706070"/>
      <w:bookmarkEnd w:id="1534"/>
      <w:bookmarkStart w:id="1535" w:name="_Toc178705180"/>
      <w:bookmarkEnd w:id="1535"/>
      <w:bookmarkStart w:id="1536" w:name="_Toc178706082"/>
      <w:bookmarkEnd w:id="1536"/>
      <w:bookmarkStart w:id="1537" w:name="_Toc178772770"/>
      <w:bookmarkEnd w:id="1537"/>
      <w:bookmarkStart w:id="1538" w:name="_Toc178705176"/>
      <w:bookmarkEnd w:id="1538"/>
      <w:bookmarkStart w:id="1539" w:name="_Toc178772779"/>
      <w:bookmarkEnd w:id="1539"/>
      <w:bookmarkStart w:id="1540" w:name="_Toc178706081"/>
      <w:bookmarkEnd w:id="1540"/>
      <w:bookmarkStart w:id="1541" w:name="_Toc178709059"/>
      <w:bookmarkEnd w:id="1541"/>
      <w:bookmarkStart w:id="1542" w:name="_Toc178772780"/>
      <w:bookmarkEnd w:id="1542"/>
      <w:bookmarkStart w:id="1543" w:name="_Toc178772781"/>
      <w:bookmarkEnd w:id="1543"/>
      <w:bookmarkStart w:id="1544" w:name="_Toc178709060"/>
      <w:bookmarkEnd w:id="1544"/>
      <w:bookmarkStart w:id="1545" w:name="_Toc178772782"/>
      <w:bookmarkEnd w:id="1545"/>
      <w:bookmarkStart w:id="1546" w:name="_Toc178705181"/>
      <w:bookmarkEnd w:id="1546"/>
      <w:bookmarkStart w:id="1547" w:name="_Toc189042839"/>
      <w:bookmarkEnd w:id="1547"/>
      <w:bookmarkStart w:id="1548" w:name="_Toc178706078"/>
      <w:bookmarkEnd w:id="1548"/>
      <w:bookmarkStart w:id="1549" w:name="_Toc178709055"/>
      <w:bookmarkEnd w:id="1549"/>
      <w:bookmarkStart w:id="1550" w:name="_Toc178709057"/>
      <w:bookmarkEnd w:id="1550"/>
      <w:bookmarkStart w:id="1551" w:name="_Toc178705175"/>
      <w:bookmarkEnd w:id="1551"/>
      <w:bookmarkStart w:id="1552" w:name="_Toc178705178"/>
      <w:bookmarkEnd w:id="1552"/>
      <w:bookmarkStart w:id="1553" w:name="_Toc178706080"/>
      <w:bookmarkEnd w:id="1553"/>
      <w:bookmarkStart w:id="1554" w:name="_Toc178709056"/>
      <w:bookmarkEnd w:id="1554"/>
      <w:bookmarkStart w:id="1555" w:name="_Toc178705168"/>
      <w:bookmarkEnd w:id="1555"/>
      <w:bookmarkStart w:id="1556" w:name="_Toc189042838"/>
      <w:bookmarkEnd w:id="1556"/>
      <w:bookmarkStart w:id="1557" w:name="_Toc178709048"/>
      <w:bookmarkEnd w:id="1557"/>
      <w:bookmarkStart w:id="1558" w:name="_Toc178772778"/>
      <w:bookmarkEnd w:id="1558"/>
      <w:bookmarkStart w:id="1559" w:name="_Toc178772777"/>
      <w:bookmarkEnd w:id="1559"/>
      <w:bookmarkStart w:id="1560" w:name="_Toc187677968"/>
      <w:bookmarkEnd w:id="1560"/>
      <w:bookmarkStart w:id="1561" w:name="_Toc178706077"/>
      <w:bookmarkEnd w:id="1561"/>
      <w:bookmarkStart w:id="1562" w:name="_Toc178705177"/>
      <w:bookmarkEnd w:id="1562"/>
      <w:bookmarkStart w:id="1563" w:name="_Toc178706083"/>
      <w:bookmarkEnd w:id="1563"/>
      <w:bookmarkStart w:id="1564" w:name="_Toc173850929"/>
      <w:bookmarkEnd w:id="1564"/>
      <w:bookmarkStart w:id="1565" w:name="_Toc178705186"/>
      <w:bookmarkEnd w:id="1565"/>
      <w:bookmarkStart w:id="1566" w:name="_Toc178705187"/>
      <w:bookmarkEnd w:id="1566"/>
      <w:bookmarkStart w:id="1567" w:name="_Toc178709063"/>
      <w:bookmarkEnd w:id="1567"/>
      <w:bookmarkStart w:id="1568" w:name="_Toc178705184"/>
      <w:bookmarkEnd w:id="1568"/>
      <w:bookmarkStart w:id="1569" w:name="_Toc178709062"/>
      <w:bookmarkEnd w:id="1569"/>
      <w:bookmarkStart w:id="1570" w:name="_Toc178705182"/>
      <w:bookmarkEnd w:id="1570"/>
      <w:bookmarkStart w:id="1571" w:name="_Toc178709064"/>
      <w:bookmarkEnd w:id="1571"/>
      <w:bookmarkStart w:id="1572" w:name="_Toc178706086"/>
      <w:bookmarkEnd w:id="1572"/>
      <w:bookmarkStart w:id="1573" w:name="_Toc178772786"/>
      <w:bookmarkEnd w:id="1573"/>
      <w:bookmarkStart w:id="1574" w:name="_Toc173940681"/>
      <w:bookmarkEnd w:id="1574"/>
      <w:bookmarkStart w:id="1575" w:name="_Toc178709066"/>
      <w:bookmarkEnd w:id="1575"/>
      <w:bookmarkStart w:id="1576" w:name="_Toc178706089"/>
      <w:bookmarkEnd w:id="1576"/>
      <w:bookmarkStart w:id="1577" w:name="_Toc178709065"/>
      <w:bookmarkEnd w:id="1577"/>
      <w:bookmarkStart w:id="1578" w:name="_Toc178772787"/>
      <w:bookmarkEnd w:id="1578"/>
      <w:bookmarkStart w:id="1579" w:name="_Toc178706084"/>
      <w:bookmarkEnd w:id="1579"/>
      <w:bookmarkStart w:id="1580" w:name="_Toc178709067"/>
      <w:bookmarkEnd w:id="1580"/>
      <w:bookmarkStart w:id="1581" w:name="_Toc178705188"/>
      <w:bookmarkEnd w:id="1581"/>
      <w:bookmarkStart w:id="1582" w:name="_Toc178706088"/>
      <w:bookmarkEnd w:id="1582"/>
      <w:bookmarkStart w:id="1583" w:name="_Toc178706087"/>
      <w:bookmarkEnd w:id="1583"/>
      <w:bookmarkStart w:id="1584" w:name="_Toc178772784"/>
      <w:bookmarkEnd w:id="1584"/>
      <w:bookmarkStart w:id="1585" w:name="_Toc178772785"/>
      <w:bookmarkEnd w:id="1585"/>
      <w:bookmarkStart w:id="1586" w:name="_Toc173850930"/>
      <w:bookmarkEnd w:id="1586"/>
      <w:bookmarkStart w:id="1587" w:name="_Toc178705185"/>
      <w:bookmarkEnd w:id="1587"/>
      <w:bookmarkStart w:id="1588" w:name="_Toc178705183"/>
      <w:bookmarkEnd w:id="1588"/>
      <w:bookmarkStart w:id="1589" w:name="_Toc178709061"/>
      <w:bookmarkEnd w:id="1589"/>
      <w:bookmarkStart w:id="1590" w:name="_Toc178772783"/>
      <w:bookmarkEnd w:id="1590"/>
      <w:bookmarkStart w:id="1591" w:name="_Toc178772789"/>
      <w:bookmarkEnd w:id="1591"/>
      <w:bookmarkStart w:id="1592" w:name="_Toc173940682"/>
      <w:bookmarkEnd w:id="1592"/>
      <w:bookmarkStart w:id="1593" w:name="_Toc178772788"/>
      <w:bookmarkEnd w:id="1593"/>
      <w:bookmarkStart w:id="1594" w:name="_Toc178706085"/>
      <w:bookmarkEnd w:id="1594"/>
      <w:bookmarkStart w:id="1595" w:name="_Toc178706096"/>
      <w:bookmarkEnd w:id="1595"/>
      <w:bookmarkStart w:id="1596" w:name="_Toc178772793"/>
      <w:bookmarkEnd w:id="1596"/>
      <w:bookmarkStart w:id="1597" w:name="_Toc178705191"/>
      <w:bookmarkEnd w:id="1597"/>
      <w:bookmarkStart w:id="1598" w:name="_Toc178709068"/>
      <w:bookmarkEnd w:id="1598"/>
      <w:bookmarkStart w:id="1599" w:name="_Toc178772790"/>
      <w:bookmarkEnd w:id="1599"/>
      <w:bookmarkStart w:id="1600" w:name="_Toc178705190"/>
      <w:bookmarkEnd w:id="1600"/>
      <w:bookmarkStart w:id="1601" w:name="_Toc178705192"/>
      <w:bookmarkEnd w:id="1601"/>
      <w:bookmarkStart w:id="1602" w:name="_Toc178706094"/>
      <w:bookmarkEnd w:id="1602"/>
      <w:bookmarkStart w:id="1603" w:name="_Toc178709073"/>
      <w:bookmarkEnd w:id="1603"/>
      <w:bookmarkStart w:id="1604" w:name="_Toc178705189"/>
      <w:bookmarkEnd w:id="1604"/>
      <w:bookmarkStart w:id="1605" w:name="_Toc178706091"/>
      <w:bookmarkEnd w:id="1605"/>
      <w:bookmarkStart w:id="1606" w:name="_Toc178709072"/>
      <w:bookmarkEnd w:id="1606"/>
      <w:bookmarkStart w:id="1607" w:name="_Toc178706093"/>
      <w:bookmarkEnd w:id="1607"/>
      <w:bookmarkStart w:id="1608" w:name="_Toc178705194"/>
      <w:bookmarkEnd w:id="1608"/>
      <w:bookmarkStart w:id="1609" w:name="_Toc178709069"/>
      <w:bookmarkEnd w:id="1609"/>
      <w:bookmarkStart w:id="1610" w:name="_Toc178706092"/>
      <w:bookmarkEnd w:id="1610"/>
      <w:bookmarkStart w:id="1611" w:name="_Toc178772795"/>
      <w:bookmarkEnd w:id="1611"/>
      <w:bookmarkStart w:id="1612" w:name="_Toc178706095"/>
      <w:bookmarkEnd w:id="1612"/>
      <w:bookmarkStart w:id="1613" w:name="_Toc178772794"/>
      <w:bookmarkEnd w:id="1613"/>
      <w:bookmarkStart w:id="1614" w:name="_Toc178772791"/>
      <w:bookmarkEnd w:id="1614"/>
      <w:bookmarkStart w:id="1615" w:name="_Toc178705195"/>
      <w:bookmarkEnd w:id="1615"/>
      <w:bookmarkStart w:id="1616" w:name="_Toc178709075"/>
      <w:bookmarkEnd w:id="1616"/>
      <w:bookmarkStart w:id="1617" w:name="_Toc178772797"/>
      <w:bookmarkEnd w:id="1617"/>
      <w:bookmarkStart w:id="1618" w:name="_Toc178772792"/>
      <w:bookmarkEnd w:id="1618"/>
      <w:bookmarkStart w:id="1619" w:name="_Toc178709070"/>
      <w:bookmarkEnd w:id="1619"/>
      <w:bookmarkStart w:id="1620" w:name="_Toc178705193"/>
      <w:bookmarkEnd w:id="1620"/>
      <w:bookmarkStart w:id="1621" w:name="_Toc178709074"/>
      <w:bookmarkEnd w:id="1621"/>
      <w:bookmarkStart w:id="1622" w:name="_Toc178709071"/>
      <w:bookmarkEnd w:id="1622"/>
      <w:bookmarkStart w:id="1623" w:name="_Toc178706097"/>
      <w:bookmarkEnd w:id="1623"/>
      <w:bookmarkStart w:id="1624" w:name="_Toc178706090"/>
      <w:bookmarkEnd w:id="1624"/>
      <w:bookmarkStart w:id="1625" w:name="_Toc178705205"/>
      <w:bookmarkEnd w:id="1625"/>
      <w:bookmarkStart w:id="1626" w:name="_Toc178772796"/>
      <w:bookmarkEnd w:id="1626"/>
      <w:bookmarkStart w:id="1627" w:name="_Toc178705208"/>
      <w:bookmarkEnd w:id="1627"/>
      <w:bookmarkStart w:id="1628" w:name="_Toc178705206"/>
      <w:bookmarkEnd w:id="1628"/>
      <w:bookmarkStart w:id="1629" w:name="_Toc178705210"/>
      <w:bookmarkEnd w:id="1629"/>
      <w:bookmarkStart w:id="1630" w:name="_Toc178706108"/>
      <w:bookmarkEnd w:id="1630"/>
      <w:bookmarkStart w:id="1631" w:name="_Toc178772812"/>
      <w:bookmarkEnd w:id="1631"/>
      <w:bookmarkStart w:id="1632" w:name="_Toc178706110"/>
      <w:bookmarkEnd w:id="1632"/>
      <w:bookmarkStart w:id="1633" w:name="_Toc178705209"/>
      <w:bookmarkEnd w:id="1633"/>
      <w:bookmarkStart w:id="1634" w:name="_Toc178709091"/>
      <w:bookmarkEnd w:id="1634"/>
      <w:bookmarkStart w:id="1635" w:name="_Toc178772809"/>
      <w:bookmarkEnd w:id="1635"/>
      <w:bookmarkStart w:id="1636" w:name="_Toc178709092"/>
      <w:bookmarkEnd w:id="1636"/>
      <w:bookmarkStart w:id="1637" w:name="_Toc178709085"/>
      <w:bookmarkEnd w:id="1637"/>
      <w:bookmarkStart w:id="1638" w:name="_Toc178772814"/>
      <w:bookmarkEnd w:id="1638"/>
      <w:bookmarkStart w:id="1639" w:name="_Toc178706112"/>
      <w:bookmarkEnd w:id="1639"/>
      <w:bookmarkStart w:id="1640" w:name="_Toc178706113"/>
      <w:bookmarkEnd w:id="1640"/>
      <w:bookmarkStart w:id="1641" w:name="_Toc178709088"/>
      <w:bookmarkEnd w:id="1641"/>
      <w:bookmarkStart w:id="1642" w:name="_Toc178706111"/>
      <w:bookmarkEnd w:id="1642"/>
      <w:bookmarkStart w:id="1643" w:name="_Toc178772813"/>
      <w:bookmarkEnd w:id="1643"/>
      <w:bookmarkStart w:id="1644" w:name="_Toc178709087"/>
      <w:bookmarkEnd w:id="1644"/>
      <w:bookmarkStart w:id="1645" w:name="_Toc178709086"/>
      <w:bookmarkEnd w:id="1645"/>
      <w:bookmarkStart w:id="1646" w:name="_Toc178772810"/>
      <w:bookmarkEnd w:id="1646"/>
      <w:bookmarkStart w:id="1647" w:name="_Toc178705212"/>
      <w:bookmarkEnd w:id="1647"/>
      <w:bookmarkStart w:id="1648" w:name="_Toc178706114"/>
      <w:bookmarkEnd w:id="1648"/>
      <w:bookmarkStart w:id="1649" w:name="_Toc178705213"/>
      <w:bookmarkEnd w:id="1649"/>
      <w:bookmarkStart w:id="1650" w:name="_Toc178772811"/>
      <w:bookmarkEnd w:id="1650"/>
      <w:bookmarkStart w:id="1651" w:name="_Toc178709089"/>
      <w:bookmarkEnd w:id="1651"/>
      <w:bookmarkStart w:id="1652" w:name="_Toc178772808"/>
      <w:bookmarkEnd w:id="1652"/>
      <w:bookmarkStart w:id="1653" w:name="_Toc178705211"/>
      <w:bookmarkEnd w:id="1653"/>
      <w:bookmarkStart w:id="1654" w:name="_Toc178705207"/>
      <w:bookmarkEnd w:id="1654"/>
      <w:bookmarkStart w:id="1655" w:name="_Toc178772807"/>
      <w:bookmarkEnd w:id="1655"/>
      <w:bookmarkStart w:id="1656" w:name="_Toc178706109"/>
      <w:bookmarkEnd w:id="1656"/>
      <w:bookmarkStart w:id="1657" w:name="_Toc178709090"/>
      <w:bookmarkEnd w:id="1657"/>
      <w:bookmarkStart w:id="1658" w:name="_Toc178706107"/>
      <w:bookmarkEnd w:id="1658"/>
      <w:bookmarkStart w:id="1659" w:name="_Toc178709096"/>
      <w:bookmarkEnd w:id="1659"/>
      <w:bookmarkStart w:id="1660" w:name="_Toc178709099"/>
      <w:bookmarkEnd w:id="1660"/>
      <w:bookmarkStart w:id="1661" w:name="_Toc178706121"/>
      <w:bookmarkEnd w:id="1661"/>
      <w:bookmarkStart w:id="1662" w:name="_Toc178709093"/>
      <w:bookmarkEnd w:id="1662"/>
      <w:bookmarkStart w:id="1663" w:name="_Toc178705220"/>
      <w:bookmarkEnd w:id="1663"/>
      <w:bookmarkStart w:id="1664" w:name="_Toc178706122"/>
      <w:bookmarkEnd w:id="1664"/>
      <w:bookmarkStart w:id="1665" w:name="_Toc178705214"/>
      <w:bookmarkEnd w:id="1665"/>
      <w:bookmarkStart w:id="1666" w:name="_Toc178706117"/>
      <w:bookmarkEnd w:id="1666"/>
      <w:bookmarkStart w:id="1667" w:name="_Toc178705217"/>
      <w:bookmarkEnd w:id="1667"/>
      <w:bookmarkStart w:id="1668" w:name="_Toc178709098"/>
      <w:bookmarkEnd w:id="1668"/>
      <w:bookmarkStart w:id="1669" w:name="_Toc178772820"/>
      <w:bookmarkEnd w:id="1669"/>
      <w:bookmarkStart w:id="1670" w:name="_Toc178705218"/>
      <w:bookmarkEnd w:id="1670"/>
      <w:bookmarkStart w:id="1671" w:name="_Toc178705219"/>
      <w:bookmarkEnd w:id="1671"/>
      <w:bookmarkStart w:id="1672" w:name="_Toc178772821"/>
      <w:bookmarkEnd w:id="1672"/>
      <w:bookmarkStart w:id="1673" w:name="_Toc178709100"/>
      <w:bookmarkEnd w:id="1673"/>
      <w:bookmarkStart w:id="1674" w:name="_Toc178772822"/>
      <w:bookmarkEnd w:id="1674"/>
      <w:bookmarkStart w:id="1675" w:name="_Toc178705221"/>
      <w:bookmarkEnd w:id="1675"/>
      <w:bookmarkStart w:id="1676" w:name="_Toc178709095"/>
      <w:bookmarkEnd w:id="1676"/>
      <w:bookmarkStart w:id="1677" w:name="_Toc178772816"/>
      <w:bookmarkEnd w:id="1677"/>
      <w:bookmarkStart w:id="1678" w:name="_Toc178772818"/>
      <w:bookmarkEnd w:id="1678"/>
      <w:bookmarkStart w:id="1679" w:name="_Toc178706116"/>
      <w:bookmarkEnd w:id="1679"/>
      <w:bookmarkStart w:id="1680" w:name="_Toc178706119"/>
      <w:bookmarkEnd w:id="1680"/>
      <w:bookmarkStart w:id="1681" w:name="_Toc178709097"/>
      <w:bookmarkEnd w:id="1681"/>
      <w:bookmarkStart w:id="1682" w:name="_Toc178772817"/>
      <w:bookmarkEnd w:id="1682"/>
      <w:bookmarkStart w:id="1683" w:name="_Toc178706115"/>
      <w:bookmarkEnd w:id="1683"/>
      <w:bookmarkStart w:id="1684" w:name="_Toc178772815"/>
      <w:bookmarkEnd w:id="1684"/>
      <w:bookmarkStart w:id="1685" w:name="_Toc178706118"/>
      <w:bookmarkEnd w:id="1685"/>
      <w:bookmarkStart w:id="1686" w:name="_Toc178705216"/>
      <w:bookmarkEnd w:id="1686"/>
      <w:bookmarkStart w:id="1687" w:name="_Toc178705215"/>
      <w:bookmarkEnd w:id="1687"/>
      <w:bookmarkStart w:id="1688" w:name="_Toc178772819"/>
      <w:bookmarkEnd w:id="1688"/>
      <w:bookmarkStart w:id="1689" w:name="_Toc178709094"/>
      <w:bookmarkEnd w:id="1689"/>
      <w:bookmarkStart w:id="1690" w:name="_Toc178706120"/>
      <w:bookmarkEnd w:id="1690"/>
      <w:bookmarkStart w:id="1691" w:name="_Toc178706123"/>
      <w:bookmarkEnd w:id="1691"/>
      <w:bookmarkStart w:id="1692" w:name="_Toc178706125"/>
      <w:bookmarkEnd w:id="1692"/>
      <w:bookmarkStart w:id="1693" w:name="_Toc178706138"/>
      <w:bookmarkEnd w:id="1693"/>
      <w:bookmarkStart w:id="1694" w:name="_Toc178705246"/>
      <w:bookmarkEnd w:id="1694"/>
      <w:bookmarkStart w:id="1695" w:name="_Toc178772849"/>
      <w:bookmarkEnd w:id="1695"/>
      <w:bookmarkStart w:id="1696" w:name="_Toc178709103"/>
      <w:bookmarkEnd w:id="1696"/>
      <w:bookmarkStart w:id="1697" w:name="_Toc178706126"/>
      <w:bookmarkEnd w:id="1697"/>
      <w:bookmarkStart w:id="1698" w:name="_Toc178705248"/>
      <w:bookmarkEnd w:id="1698"/>
      <w:bookmarkStart w:id="1699" w:name="_Toc178705223"/>
      <w:bookmarkEnd w:id="1699"/>
      <w:bookmarkStart w:id="1700" w:name="_Toc178709128"/>
      <w:bookmarkEnd w:id="1700"/>
      <w:bookmarkStart w:id="1701" w:name="_Toc178772850"/>
      <w:bookmarkEnd w:id="1701"/>
      <w:bookmarkStart w:id="1702" w:name="_Toc178709101"/>
      <w:bookmarkEnd w:id="1702"/>
      <w:bookmarkStart w:id="1703" w:name="_Toc178709116"/>
      <w:bookmarkEnd w:id="1703"/>
      <w:bookmarkStart w:id="1704" w:name="_Toc178709126"/>
      <w:bookmarkEnd w:id="1704"/>
      <w:bookmarkStart w:id="1705" w:name="_Toc178772825"/>
      <w:bookmarkEnd w:id="1705"/>
      <w:bookmarkStart w:id="1706" w:name="_Toc178709104"/>
      <w:bookmarkEnd w:id="1706"/>
      <w:bookmarkStart w:id="1707" w:name="_Toc178705247"/>
      <w:bookmarkEnd w:id="1707"/>
      <w:bookmarkStart w:id="1708" w:name="_Toc178772824"/>
      <w:bookmarkEnd w:id="1708"/>
      <w:bookmarkStart w:id="1709" w:name="_Toc178709127"/>
      <w:bookmarkEnd w:id="1709"/>
      <w:bookmarkStart w:id="1710" w:name="_Toc178705224"/>
      <w:bookmarkEnd w:id="1710"/>
      <w:bookmarkStart w:id="1711" w:name="_Toc178706149"/>
      <w:bookmarkEnd w:id="1711"/>
      <w:bookmarkStart w:id="1712" w:name="_Toc178706150"/>
      <w:bookmarkEnd w:id="1712"/>
      <w:bookmarkStart w:id="1713" w:name="_Toc178705249"/>
      <w:bookmarkEnd w:id="1713"/>
      <w:bookmarkStart w:id="1714" w:name="_Toc178772823"/>
      <w:bookmarkEnd w:id="1714"/>
      <w:bookmarkStart w:id="1715" w:name="_Toc178772826"/>
      <w:bookmarkEnd w:id="1715"/>
      <w:bookmarkStart w:id="1716" w:name="_Toc178705222"/>
      <w:bookmarkEnd w:id="1716"/>
      <w:bookmarkStart w:id="1717" w:name="_Toc178705236"/>
      <w:bookmarkEnd w:id="1717"/>
      <w:bookmarkStart w:id="1718" w:name="_Toc178706124"/>
      <w:bookmarkEnd w:id="1718"/>
      <w:bookmarkStart w:id="1719" w:name="_Toc178709102"/>
      <w:bookmarkEnd w:id="1719"/>
      <w:bookmarkStart w:id="1720" w:name="_Toc178772838"/>
      <w:bookmarkEnd w:id="1720"/>
      <w:bookmarkStart w:id="1721" w:name="_Toc178706148"/>
      <w:bookmarkEnd w:id="1721"/>
      <w:bookmarkStart w:id="1722" w:name="_Toc178772848"/>
      <w:bookmarkEnd w:id="1722"/>
      <w:bookmarkStart w:id="1723" w:name="_Toc178772853"/>
      <w:bookmarkEnd w:id="1723"/>
      <w:bookmarkStart w:id="1724" w:name="_Toc178709151"/>
      <w:bookmarkEnd w:id="1724"/>
      <w:bookmarkStart w:id="1725" w:name="_Toc178709134"/>
      <w:bookmarkEnd w:id="1725"/>
      <w:bookmarkStart w:id="1726" w:name="_Toc178772873"/>
      <w:bookmarkEnd w:id="1726"/>
      <w:bookmarkStart w:id="1727" w:name="_Toc178705272"/>
      <w:bookmarkEnd w:id="1727"/>
      <w:bookmarkStart w:id="1728" w:name="_Toc178706174"/>
      <w:bookmarkEnd w:id="1728"/>
      <w:bookmarkStart w:id="1729" w:name="_Toc178706151"/>
      <w:bookmarkEnd w:id="1729"/>
      <w:bookmarkStart w:id="1730" w:name="_Toc178709130"/>
      <w:bookmarkEnd w:id="1730"/>
      <w:bookmarkStart w:id="1731" w:name="_Toc178706154"/>
      <w:bookmarkEnd w:id="1731"/>
      <w:bookmarkStart w:id="1732" w:name="_Toc178772855"/>
      <w:bookmarkEnd w:id="1732"/>
      <w:bookmarkStart w:id="1733" w:name="_Toc178705254"/>
      <w:bookmarkEnd w:id="1733"/>
      <w:bookmarkStart w:id="1734" w:name="_Toc178706155"/>
      <w:bookmarkEnd w:id="1734"/>
      <w:bookmarkStart w:id="1735" w:name="_Toc178706156"/>
      <w:bookmarkEnd w:id="1735"/>
      <w:bookmarkStart w:id="1736" w:name="_Toc178705271"/>
      <w:bookmarkEnd w:id="1736"/>
      <w:bookmarkStart w:id="1737" w:name="_Toc178709152"/>
      <w:bookmarkEnd w:id="1737"/>
      <w:bookmarkStart w:id="1738" w:name="_Toc178772874"/>
      <w:bookmarkEnd w:id="1738"/>
      <w:bookmarkStart w:id="1739" w:name="_Toc178705273"/>
      <w:bookmarkEnd w:id="1739"/>
      <w:bookmarkStart w:id="1740" w:name="_Toc178772852"/>
      <w:bookmarkEnd w:id="1740"/>
      <w:bookmarkStart w:id="1741" w:name="_Toc178705250"/>
      <w:bookmarkEnd w:id="1741"/>
      <w:bookmarkStart w:id="1742" w:name="_Toc178705252"/>
      <w:bookmarkEnd w:id="1742"/>
      <w:bookmarkStart w:id="1743" w:name="_Toc178709129"/>
      <w:bookmarkEnd w:id="1743"/>
      <w:bookmarkStart w:id="1744" w:name="_Toc178709132"/>
      <w:bookmarkEnd w:id="1744"/>
      <w:bookmarkStart w:id="1745" w:name="_Toc178772854"/>
      <w:bookmarkEnd w:id="1745"/>
      <w:bookmarkStart w:id="1746" w:name="_Toc178705251"/>
      <w:bookmarkEnd w:id="1746"/>
      <w:bookmarkStart w:id="1747" w:name="_Toc178709133"/>
      <w:bookmarkEnd w:id="1747"/>
      <w:bookmarkStart w:id="1748" w:name="_Toc178709131"/>
      <w:bookmarkEnd w:id="1748"/>
      <w:bookmarkStart w:id="1749" w:name="_Toc178705253"/>
      <w:bookmarkEnd w:id="1749"/>
      <w:bookmarkStart w:id="1750" w:name="_Toc178706153"/>
      <w:bookmarkEnd w:id="1750"/>
      <w:bookmarkStart w:id="1751" w:name="_Toc178706152"/>
      <w:bookmarkEnd w:id="1751"/>
      <w:bookmarkStart w:id="1752" w:name="_Toc178772856"/>
      <w:bookmarkEnd w:id="1752"/>
      <w:bookmarkStart w:id="1753" w:name="_Toc178772851"/>
      <w:bookmarkEnd w:id="1753"/>
      <w:bookmarkStart w:id="1754" w:name="_Toc178706173"/>
      <w:bookmarkEnd w:id="1754"/>
      <w:bookmarkStart w:id="1755" w:name="_Toc178709158"/>
      <w:bookmarkEnd w:id="1755"/>
      <w:bookmarkStart w:id="1756" w:name="_Toc178709157"/>
      <w:bookmarkEnd w:id="1756"/>
      <w:bookmarkStart w:id="1757" w:name="_Toc178705279"/>
      <w:bookmarkEnd w:id="1757"/>
      <w:bookmarkStart w:id="1758" w:name="_Toc178709159"/>
      <w:bookmarkEnd w:id="1758"/>
      <w:bookmarkStart w:id="1759" w:name="_Toc178705275"/>
      <w:bookmarkEnd w:id="1759"/>
      <w:bookmarkStart w:id="1760" w:name="_Toc178709155"/>
      <w:bookmarkEnd w:id="1760"/>
      <w:bookmarkStart w:id="1761" w:name="_Toc178705274"/>
      <w:bookmarkEnd w:id="1761"/>
      <w:bookmarkStart w:id="1762" w:name="_Toc178709153"/>
      <w:bookmarkEnd w:id="1762"/>
      <w:bookmarkStart w:id="1763" w:name="_Toc178705276"/>
      <w:bookmarkEnd w:id="1763"/>
      <w:bookmarkStart w:id="1764" w:name="_Toc178772877"/>
      <w:bookmarkEnd w:id="1764"/>
      <w:bookmarkStart w:id="1765" w:name="_Toc178706178"/>
      <w:bookmarkEnd w:id="1765"/>
      <w:bookmarkStart w:id="1766" w:name="_Toc178705278"/>
      <w:bookmarkEnd w:id="1766"/>
      <w:bookmarkStart w:id="1767" w:name="_Toc178772880"/>
      <w:bookmarkEnd w:id="1767"/>
      <w:bookmarkStart w:id="1768" w:name="_Toc178772881"/>
      <w:bookmarkEnd w:id="1768"/>
      <w:bookmarkStart w:id="1769" w:name="_Toc178705277"/>
      <w:bookmarkEnd w:id="1769"/>
      <w:bookmarkStart w:id="1770" w:name="_Toc178706179"/>
      <w:bookmarkEnd w:id="1770"/>
      <w:bookmarkStart w:id="1771" w:name="_Toc178772875"/>
      <w:bookmarkEnd w:id="1771"/>
      <w:bookmarkStart w:id="1772" w:name="_Toc178705280"/>
      <w:bookmarkEnd w:id="1772"/>
      <w:bookmarkStart w:id="1773" w:name="_Toc178706182"/>
      <w:bookmarkEnd w:id="1773"/>
      <w:bookmarkStart w:id="1774" w:name="_Toc178772879"/>
      <w:bookmarkEnd w:id="1774"/>
      <w:bookmarkStart w:id="1775" w:name="_Toc178772878"/>
      <w:bookmarkEnd w:id="1775"/>
      <w:bookmarkStart w:id="1776" w:name="_Toc178706176"/>
      <w:bookmarkEnd w:id="1776"/>
      <w:bookmarkStart w:id="1777" w:name="_Toc178706177"/>
      <w:bookmarkEnd w:id="1777"/>
      <w:bookmarkStart w:id="1778" w:name="_Toc178709156"/>
      <w:bookmarkEnd w:id="1778"/>
      <w:bookmarkStart w:id="1779" w:name="_Toc178709160"/>
      <w:bookmarkEnd w:id="1779"/>
      <w:bookmarkStart w:id="1780" w:name="_Toc178709154"/>
      <w:bookmarkEnd w:id="1780"/>
      <w:bookmarkStart w:id="1781" w:name="_Toc178706181"/>
      <w:bookmarkEnd w:id="1781"/>
      <w:bookmarkStart w:id="1782" w:name="_Toc178772882"/>
      <w:bookmarkEnd w:id="1782"/>
      <w:bookmarkStart w:id="1783" w:name="_Toc178705296"/>
      <w:bookmarkEnd w:id="1783"/>
      <w:bookmarkStart w:id="1784" w:name="_Toc178706175"/>
      <w:bookmarkEnd w:id="1784"/>
      <w:bookmarkStart w:id="1785" w:name="_Toc178706180"/>
      <w:bookmarkEnd w:id="1785"/>
      <w:bookmarkStart w:id="1786" w:name="_Toc178772876"/>
      <w:bookmarkEnd w:id="1786"/>
      <w:bookmarkStart w:id="1787" w:name="_Toc178709180"/>
      <w:bookmarkEnd w:id="1787"/>
      <w:bookmarkStart w:id="1788" w:name="_Toc178705298"/>
      <w:bookmarkEnd w:id="1788"/>
      <w:bookmarkStart w:id="1789" w:name="_Toc178709177"/>
      <w:bookmarkEnd w:id="1789"/>
      <w:bookmarkStart w:id="1790" w:name="_Toc178706200"/>
      <w:bookmarkEnd w:id="1790"/>
      <w:bookmarkStart w:id="1791" w:name="_Toc178709178"/>
      <w:bookmarkEnd w:id="1791"/>
      <w:bookmarkStart w:id="1792" w:name="_Toc178706202"/>
      <w:bookmarkEnd w:id="1792"/>
      <w:bookmarkStart w:id="1793" w:name="_Toc178772901"/>
      <w:bookmarkEnd w:id="1793"/>
      <w:bookmarkStart w:id="1794" w:name="_Toc178705302"/>
      <w:bookmarkEnd w:id="1794"/>
      <w:bookmarkStart w:id="1795" w:name="_Toc178706198"/>
      <w:bookmarkEnd w:id="1795"/>
      <w:bookmarkStart w:id="1796" w:name="_Toc178706204"/>
      <w:bookmarkEnd w:id="1796"/>
      <w:bookmarkStart w:id="1797" w:name="_Toc178772900"/>
      <w:bookmarkEnd w:id="1797"/>
      <w:bookmarkStart w:id="1798" w:name="_Toc178709182"/>
      <w:bookmarkEnd w:id="1798"/>
      <w:bookmarkStart w:id="1799" w:name="_Toc178772904"/>
      <w:bookmarkEnd w:id="1799"/>
      <w:bookmarkStart w:id="1800" w:name="_Toc178706205"/>
      <w:bookmarkEnd w:id="1800"/>
      <w:bookmarkStart w:id="1801" w:name="_Toc178709183"/>
      <w:bookmarkEnd w:id="1801"/>
      <w:bookmarkStart w:id="1802" w:name="_Toc178706199"/>
      <w:bookmarkEnd w:id="1802"/>
      <w:bookmarkStart w:id="1803" w:name="_Toc178705300"/>
      <w:bookmarkEnd w:id="1803"/>
      <w:bookmarkStart w:id="1804" w:name="_Toc178772899"/>
      <w:bookmarkEnd w:id="1804"/>
      <w:bookmarkStart w:id="1805" w:name="_Toc178709176"/>
      <w:bookmarkEnd w:id="1805"/>
      <w:bookmarkStart w:id="1806" w:name="_Toc178705297"/>
      <w:bookmarkEnd w:id="1806"/>
      <w:bookmarkStart w:id="1807" w:name="_Toc178772898"/>
      <w:bookmarkEnd w:id="1807"/>
      <w:bookmarkStart w:id="1808" w:name="_Toc178705299"/>
      <w:bookmarkEnd w:id="1808"/>
      <w:bookmarkStart w:id="1809" w:name="_Toc178709179"/>
      <w:bookmarkEnd w:id="1809"/>
      <w:bookmarkStart w:id="1810" w:name="_Toc178706201"/>
      <w:bookmarkEnd w:id="1810"/>
      <w:bookmarkStart w:id="1811" w:name="_Toc178772902"/>
      <w:bookmarkEnd w:id="1811"/>
      <w:bookmarkStart w:id="1812" w:name="_Toc178706203"/>
      <w:bookmarkEnd w:id="1812"/>
      <w:bookmarkStart w:id="1813" w:name="_Toc178709181"/>
      <w:bookmarkEnd w:id="1813"/>
      <w:bookmarkStart w:id="1814" w:name="_Toc178772903"/>
      <w:bookmarkEnd w:id="1814"/>
      <w:bookmarkStart w:id="1815" w:name="_Toc178705303"/>
      <w:bookmarkEnd w:id="1815"/>
      <w:bookmarkStart w:id="1816" w:name="_Toc178772905"/>
      <w:bookmarkEnd w:id="1816"/>
      <w:bookmarkStart w:id="1817" w:name="_Toc178705304"/>
      <w:bookmarkEnd w:id="1817"/>
      <w:bookmarkStart w:id="1818" w:name="_Toc178705301"/>
      <w:bookmarkEnd w:id="1818"/>
      <w:bookmarkStart w:id="1819" w:name="_Toc178706207"/>
      <w:bookmarkEnd w:id="1819"/>
      <w:bookmarkStart w:id="1820" w:name="_Toc178705308"/>
      <w:bookmarkEnd w:id="1820"/>
      <w:bookmarkStart w:id="1821" w:name="_Toc178706209"/>
      <w:bookmarkEnd w:id="1821"/>
      <w:bookmarkStart w:id="1822" w:name="_Toc178709210"/>
      <w:bookmarkEnd w:id="1822"/>
      <w:bookmarkStart w:id="1823" w:name="_Toc178772932"/>
      <w:bookmarkEnd w:id="1823"/>
      <w:bookmarkStart w:id="1824" w:name="_Toc178709185"/>
      <w:bookmarkEnd w:id="1824"/>
      <w:bookmarkStart w:id="1825" w:name="_Toc178706208"/>
      <w:bookmarkEnd w:id="1825"/>
      <w:bookmarkStart w:id="1826" w:name="_Toc178705331"/>
      <w:bookmarkEnd w:id="1826"/>
      <w:bookmarkStart w:id="1827" w:name="_Toc178705305"/>
      <w:bookmarkEnd w:id="1827"/>
      <w:bookmarkStart w:id="1828" w:name="_Toc178706233"/>
      <w:bookmarkEnd w:id="1828"/>
      <w:bookmarkStart w:id="1829" w:name="_Toc178772933"/>
      <w:bookmarkEnd w:id="1829"/>
      <w:bookmarkStart w:id="1830" w:name="_Toc173850935"/>
      <w:bookmarkEnd w:id="1830"/>
      <w:bookmarkStart w:id="1831" w:name="_Toc178709187"/>
      <w:bookmarkEnd w:id="1831"/>
      <w:bookmarkStart w:id="1832" w:name="_Toc178709188"/>
      <w:bookmarkEnd w:id="1832"/>
      <w:bookmarkStart w:id="1833" w:name="_Toc178772907"/>
      <w:bookmarkEnd w:id="1833"/>
      <w:bookmarkStart w:id="1834" w:name="_Toc178709186"/>
      <w:bookmarkEnd w:id="1834"/>
      <w:bookmarkStart w:id="1835" w:name="_Toc178705329"/>
      <w:bookmarkEnd w:id="1835"/>
      <w:bookmarkStart w:id="1836" w:name="_Toc178772906"/>
      <w:bookmarkEnd w:id="1836"/>
      <w:bookmarkStart w:id="1837" w:name="_Toc178709209"/>
      <w:bookmarkEnd w:id="1837"/>
      <w:bookmarkStart w:id="1838" w:name="_Toc178705306"/>
      <w:bookmarkEnd w:id="1838"/>
      <w:bookmarkStart w:id="1839" w:name="_Toc178706231"/>
      <w:bookmarkEnd w:id="1839"/>
      <w:bookmarkStart w:id="1840" w:name="_Toc178706232"/>
      <w:bookmarkEnd w:id="1840"/>
      <w:bookmarkStart w:id="1841" w:name="_Toc178709211"/>
      <w:bookmarkEnd w:id="1841"/>
      <w:bookmarkStart w:id="1842" w:name="_Toc178705307"/>
      <w:bookmarkEnd w:id="1842"/>
      <w:bookmarkStart w:id="1843" w:name="_Toc178772908"/>
      <w:bookmarkEnd w:id="1843"/>
      <w:bookmarkStart w:id="1844" w:name="_Toc178772910"/>
      <w:bookmarkEnd w:id="1844"/>
      <w:bookmarkStart w:id="1845" w:name="_Toc178706210"/>
      <w:bookmarkEnd w:id="1845"/>
      <w:bookmarkStart w:id="1846" w:name="_Toc178706206"/>
      <w:bookmarkEnd w:id="1846"/>
      <w:bookmarkStart w:id="1847" w:name="_Toc178709184"/>
      <w:bookmarkEnd w:id="1847"/>
      <w:bookmarkStart w:id="1848" w:name="_Toc178772909"/>
      <w:bookmarkEnd w:id="1848"/>
      <w:bookmarkStart w:id="1849" w:name="_Toc178772931"/>
      <w:bookmarkEnd w:id="1849"/>
      <w:bookmarkStart w:id="1850" w:name="_Toc178705330"/>
      <w:bookmarkEnd w:id="1850"/>
      <w:bookmarkStart w:id="1851" w:name="_Toc173940701"/>
      <w:bookmarkEnd w:id="1851"/>
      <w:bookmarkStart w:id="1852" w:name="_Toc173940708"/>
      <w:bookmarkEnd w:id="1852"/>
      <w:bookmarkStart w:id="1853" w:name="_Toc173850956"/>
      <w:bookmarkEnd w:id="1853"/>
      <w:bookmarkStart w:id="1854" w:name="_Toc173850957"/>
      <w:bookmarkEnd w:id="1854"/>
      <w:bookmarkStart w:id="1855" w:name="_Toc173940706"/>
      <w:bookmarkEnd w:id="1855"/>
      <w:bookmarkStart w:id="1856" w:name="_Toc173940710"/>
      <w:bookmarkEnd w:id="1856"/>
      <w:bookmarkStart w:id="1857" w:name="_Toc173940702"/>
      <w:bookmarkEnd w:id="1857"/>
      <w:bookmarkStart w:id="1858" w:name="_Toc173850936"/>
      <w:bookmarkEnd w:id="1858"/>
      <w:bookmarkStart w:id="1859" w:name="_Toc173850954"/>
      <w:bookmarkEnd w:id="1859"/>
      <w:bookmarkStart w:id="1860" w:name="_Toc173850958"/>
      <w:bookmarkEnd w:id="1860"/>
      <w:bookmarkStart w:id="1861" w:name="_Toc173850959"/>
      <w:bookmarkEnd w:id="1861"/>
      <w:bookmarkStart w:id="1862" w:name="_Toc173940704"/>
      <w:bookmarkEnd w:id="1862"/>
      <w:bookmarkStart w:id="1863" w:name="_Toc173940711"/>
      <w:bookmarkEnd w:id="1863"/>
      <w:bookmarkStart w:id="1864" w:name="_Toc173850960"/>
      <w:bookmarkEnd w:id="1864"/>
      <w:bookmarkStart w:id="1865" w:name="_Toc173940712"/>
      <w:bookmarkEnd w:id="1865"/>
      <w:bookmarkStart w:id="1866" w:name="_Toc173850961"/>
      <w:bookmarkEnd w:id="1866"/>
      <w:bookmarkStart w:id="1867" w:name="_Toc173940713"/>
      <w:bookmarkEnd w:id="1867"/>
      <w:bookmarkStart w:id="1868" w:name="_Toc173940688"/>
      <w:bookmarkEnd w:id="1868"/>
      <w:bookmarkStart w:id="1869" w:name="_Toc173850951"/>
      <w:bookmarkEnd w:id="1869"/>
      <w:bookmarkStart w:id="1870" w:name="_Toc173850950"/>
      <w:bookmarkEnd w:id="1870"/>
      <w:bookmarkStart w:id="1871" w:name="_Toc173940703"/>
      <w:bookmarkEnd w:id="1871"/>
      <w:bookmarkStart w:id="1872" w:name="_Toc173940709"/>
      <w:bookmarkEnd w:id="1872"/>
      <w:bookmarkStart w:id="1873" w:name="_Toc173850962"/>
      <w:bookmarkEnd w:id="1873"/>
      <w:bookmarkStart w:id="1874" w:name="_Toc173850937"/>
      <w:bookmarkEnd w:id="1874"/>
      <w:bookmarkStart w:id="1875" w:name="_Toc173850953"/>
      <w:bookmarkEnd w:id="1875"/>
      <w:bookmarkStart w:id="1876" w:name="_Toc173850949"/>
      <w:bookmarkEnd w:id="1876"/>
      <w:bookmarkStart w:id="1877" w:name="_Toc173850952"/>
      <w:bookmarkEnd w:id="1877"/>
      <w:bookmarkStart w:id="1878" w:name="_Toc173940689"/>
      <w:bookmarkEnd w:id="1878"/>
      <w:bookmarkStart w:id="1879" w:name="_Toc173940687"/>
      <w:bookmarkEnd w:id="1879"/>
      <w:bookmarkStart w:id="1880" w:name="_Toc173940707"/>
      <w:bookmarkEnd w:id="1880"/>
      <w:bookmarkStart w:id="1881" w:name="_Toc173850955"/>
      <w:bookmarkEnd w:id="1881"/>
      <w:bookmarkStart w:id="1882" w:name="_Toc173940705"/>
      <w:bookmarkEnd w:id="1882"/>
      <w:bookmarkStart w:id="1883" w:name="_Toc173940725"/>
      <w:bookmarkEnd w:id="1883"/>
      <w:bookmarkStart w:id="1884" w:name="_Toc173940716"/>
      <w:bookmarkEnd w:id="1884"/>
      <w:bookmarkStart w:id="1885" w:name="_Toc173940715"/>
      <w:bookmarkEnd w:id="1885"/>
      <w:bookmarkStart w:id="1886" w:name="_Toc173940719"/>
      <w:bookmarkEnd w:id="1886"/>
      <w:bookmarkStart w:id="1887" w:name="_Toc173940720"/>
      <w:bookmarkEnd w:id="1887"/>
      <w:bookmarkStart w:id="1888" w:name="_Toc173850969"/>
      <w:bookmarkEnd w:id="1888"/>
      <w:bookmarkStart w:id="1889" w:name="_Toc173940714"/>
      <w:bookmarkEnd w:id="1889"/>
      <w:bookmarkStart w:id="1890" w:name="_Toc173940721"/>
      <w:bookmarkEnd w:id="1890"/>
      <w:bookmarkStart w:id="1891" w:name="_Toc173850965"/>
      <w:bookmarkEnd w:id="1891"/>
      <w:bookmarkStart w:id="1892" w:name="_Toc173850972"/>
      <w:bookmarkEnd w:id="1892"/>
      <w:bookmarkStart w:id="1893" w:name="_Toc173850963"/>
      <w:bookmarkEnd w:id="1893"/>
      <w:bookmarkStart w:id="1894" w:name="_Toc173850970"/>
      <w:bookmarkEnd w:id="1894"/>
      <w:bookmarkStart w:id="1895" w:name="_Toc173850973"/>
      <w:bookmarkEnd w:id="1895"/>
      <w:bookmarkStart w:id="1896" w:name="_Toc173940728"/>
      <w:bookmarkEnd w:id="1896"/>
      <w:bookmarkStart w:id="1897" w:name="_Toc173850977"/>
      <w:bookmarkEnd w:id="1897"/>
      <w:bookmarkStart w:id="1898" w:name="_Toc173850967"/>
      <w:bookmarkEnd w:id="1898"/>
      <w:bookmarkStart w:id="1899" w:name="_Toc173940724"/>
      <w:bookmarkEnd w:id="1899"/>
      <w:bookmarkStart w:id="1900" w:name="_Toc173850968"/>
      <w:bookmarkEnd w:id="1900"/>
      <w:bookmarkStart w:id="1901" w:name="_Toc173940717"/>
      <w:bookmarkEnd w:id="1901"/>
      <w:bookmarkStart w:id="1902" w:name="_Toc173940718"/>
      <w:bookmarkEnd w:id="1902"/>
      <w:bookmarkStart w:id="1903" w:name="_Toc173850966"/>
      <w:bookmarkEnd w:id="1903"/>
      <w:bookmarkStart w:id="1904" w:name="_Toc173940722"/>
      <w:bookmarkEnd w:id="1904"/>
      <w:bookmarkStart w:id="1905" w:name="_Toc173940723"/>
      <w:bookmarkEnd w:id="1905"/>
      <w:bookmarkStart w:id="1906" w:name="_Toc173850971"/>
      <w:bookmarkEnd w:id="1906"/>
      <w:bookmarkStart w:id="1907" w:name="_Toc173850974"/>
      <w:bookmarkEnd w:id="1907"/>
      <w:bookmarkStart w:id="1908" w:name="_Toc173850975"/>
      <w:bookmarkEnd w:id="1908"/>
      <w:bookmarkStart w:id="1909" w:name="_Toc173850964"/>
      <w:bookmarkEnd w:id="1909"/>
      <w:bookmarkStart w:id="1910" w:name="_Toc173940727"/>
      <w:bookmarkEnd w:id="1910"/>
      <w:bookmarkStart w:id="1911" w:name="_Toc173850976"/>
      <w:bookmarkEnd w:id="1911"/>
      <w:bookmarkStart w:id="1912" w:name="_Toc173940729"/>
      <w:bookmarkEnd w:id="1912"/>
      <w:bookmarkStart w:id="1913" w:name="_Toc173850978"/>
      <w:bookmarkEnd w:id="1913"/>
      <w:bookmarkStart w:id="1914" w:name="_Toc173940726"/>
      <w:bookmarkEnd w:id="1914"/>
      <w:bookmarkStart w:id="1915" w:name="_Toc173850983"/>
      <w:bookmarkEnd w:id="1915"/>
      <w:bookmarkStart w:id="1916" w:name="_Toc173850979"/>
      <w:bookmarkEnd w:id="1916"/>
      <w:bookmarkStart w:id="1917" w:name="_Toc173940738"/>
      <w:bookmarkEnd w:id="1917"/>
      <w:bookmarkStart w:id="1918" w:name="_Toc173940731"/>
      <w:bookmarkEnd w:id="1918"/>
      <w:bookmarkStart w:id="1919" w:name="_Toc173850988"/>
      <w:bookmarkEnd w:id="1919"/>
      <w:bookmarkStart w:id="1920" w:name="_Toc173940735"/>
      <w:bookmarkEnd w:id="1920"/>
      <w:bookmarkStart w:id="1921" w:name="_Toc173940736"/>
      <w:bookmarkEnd w:id="1921"/>
      <w:bookmarkStart w:id="1922" w:name="_Toc173940743"/>
      <w:bookmarkEnd w:id="1922"/>
      <w:bookmarkStart w:id="1923" w:name="_Toc173940734"/>
      <w:bookmarkEnd w:id="1923"/>
      <w:bookmarkStart w:id="1924" w:name="_Toc173851011"/>
      <w:bookmarkEnd w:id="1924"/>
      <w:bookmarkStart w:id="1925" w:name="_Toc173851012"/>
      <w:bookmarkEnd w:id="1925"/>
      <w:bookmarkStart w:id="1926" w:name="_Toc173940764"/>
      <w:bookmarkEnd w:id="1926"/>
      <w:bookmarkStart w:id="1927" w:name="_Toc173850987"/>
      <w:bookmarkEnd w:id="1927"/>
      <w:bookmarkStart w:id="1928" w:name="_Toc173850989"/>
      <w:bookmarkEnd w:id="1928"/>
      <w:bookmarkStart w:id="1929" w:name="_Toc158978328"/>
      <w:bookmarkEnd w:id="1929"/>
      <w:bookmarkStart w:id="1930" w:name="_Toc173850985"/>
      <w:bookmarkEnd w:id="1930"/>
      <w:bookmarkStart w:id="1931" w:name="_Toc173850990"/>
      <w:bookmarkEnd w:id="1931"/>
      <w:bookmarkStart w:id="1932" w:name="_Toc173850982"/>
      <w:bookmarkEnd w:id="1932"/>
      <w:bookmarkStart w:id="1933" w:name="_Toc173850980"/>
      <w:bookmarkEnd w:id="1933"/>
      <w:bookmarkStart w:id="1934" w:name="_Toc173850984"/>
      <w:bookmarkEnd w:id="1934"/>
      <w:bookmarkStart w:id="1935" w:name="_Toc173940742"/>
      <w:bookmarkEnd w:id="1935"/>
      <w:bookmarkStart w:id="1936" w:name="_Toc173850991"/>
      <w:bookmarkEnd w:id="1936"/>
      <w:bookmarkStart w:id="1937" w:name="_Toc173940763"/>
      <w:bookmarkEnd w:id="1937"/>
      <w:bookmarkStart w:id="1938" w:name="_Toc173850986"/>
      <w:bookmarkEnd w:id="1938"/>
      <w:bookmarkStart w:id="1939" w:name="_Toc173940737"/>
      <w:bookmarkEnd w:id="1939"/>
      <w:bookmarkStart w:id="1940" w:name="_Toc173940732"/>
      <w:bookmarkEnd w:id="1940"/>
      <w:bookmarkStart w:id="1941" w:name="_Toc173940740"/>
      <w:bookmarkEnd w:id="1941"/>
      <w:bookmarkStart w:id="1942" w:name="_Toc173850981"/>
      <w:bookmarkEnd w:id="1942"/>
      <w:bookmarkStart w:id="1943" w:name="_Toc173940730"/>
      <w:bookmarkEnd w:id="1943"/>
      <w:bookmarkStart w:id="1944" w:name="_Toc173940733"/>
      <w:bookmarkEnd w:id="1944"/>
      <w:bookmarkStart w:id="1945" w:name="_Toc173940739"/>
      <w:bookmarkEnd w:id="1945"/>
      <w:bookmarkStart w:id="1946" w:name="_Toc173940741"/>
      <w:bookmarkEnd w:id="1946"/>
      <w:bookmarkStart w:id="1947" w:name="_Toc173940772"/>
      <w:bookmarkEnd w:id="1947"/>
      <w:bookmarkStart w:id="1948" w:name="_Toc173940767"/>
      <w:bookmarkEnd w:id="1948"/>
      <w:bookmarkStart w:id="1949" w:name="_Toc173940766"/>
      <w:bookmarkEnd w:id="1949"/>
      <w:bookmarkStart w:id="1950" w:name="_Toc173851016"/>
      <w:bookmarkEnd w:id="1950"/>
      <w:bookmarkStart w:id="1951" w:name="_Toc173940768"/>
      <w:bookmarkEnd w:id="1951"/>
      <w:bookmarkStart w:id="1952" w:name="_Toc173851020"/>
      <w:bookmarkEnd w:id="1952"/>
      <w:bookmarkStart w:id="1953" w:name="_Toc173940765"/>
      <w:bookmarkEnd w:id="1953"/>
      <w:bookmarkStart w:id="1954" w:name="_Toc173851019"/>
      <w:bookmarkEnd w:id="1954"/>
      <w:bookmarkStart w:id="1955" w:name="_Toc173940775"/>
      <w:bookmarkEnd w:id="1955"/>
      <w:bookmarkStart w:id="1956" w:name="_Toc173851017"/>
      <w:bookmarkEnd w:id="1956"/>
      <w:bookmarkStart w:id="1957" w:name="_Toc173940771"/>
      <w:bookmarkEnd w:id="1957"/>
      <w:bookmarkStart w:id="1958" w:name="_Toc173851015"/>
      <w:bookmarkEnd w:id="1958"/>
      <w:bookmarkStart w:id="1959" w:name="_Toc173940769"/>
      <w:bookmarkEnd w:id="1959"/>
      <w:bookmarkStart w:id="1960" w:name="_Toc173940770"/>
      <w:bookmarkEnd w:id="1960"/>
      <w:bookmarkStart w:id="1961" w:name="_Toc173851014"/>
      <w:bookmarkEnd w:id="1961"/>
      <w:bookmarkStart w:id="1962" w:name="_Toc173851022"/>
      <w:bookmarkEnd w:id="1962"/>
      <w:bookmarkStart w:id="1963" w:name="_Toc173851023"/>
      <w:bookmarkEnd w:id="1963"/>
      <w:bookmarkStart w:id="1964" w:name="_Toc173851018"/>
      <w:bookmarkEnd w:id="1964"/>
      <w:bookmarkStart w:id="1965" w:name="_Toc173851013"/>
      <w:bookmarkEnd w:id="1965"/>
      <w:bookmarkStart w:id="1966" w:name="_Toc173851021"/>
      <w:bookmarkEnd w:id="1966"/>
      <w:bookmarkStart w:id="1967" w:name="_Toc173940774"/>
      <w:bookmarkEnd w:id="1967"/>
      <w:bookmarkStart w:id="1968" w:name="_Toc173940773"/>
      <w:bookmarkEnd w:id="1968"/>
      <w:bookmarkStart w:id="1969" w:name="_Toc165991000"/>
      <w:bookmarkStart w:id="1970" w:name="_Toc189845022"/>
      <w:r>
        <w:rPr>
          <w:lang w:val="en-US"/>
        </w:rPr>
        <w:t>Impact of AI/ML model location for Case 3a</w:t>
      </w:r>
      <w:bookmarkEnd w:id="1969"/>
      <w:bookmarkEnd w:id="1970"/>
    </w:p>
    <w:p w14:paraId="3F113A10">
      <w:r>
        <w:t>For Case 3a, the location of the AI/ML model will impact whether there is a need for a new measurement to be introduced. Between the LMF and the gNB, the model output generated by the NG-RAN model can be forwarded using the legacy measurement report format (e.g., RTOA). However, depending on whether the ML model is deployed at the gNB-DU or the gNB-CU, the SRS measurement entity may or may not be the same entity hosting model inference.</w:t>
      </w:r>
    </w:p>
    <w:p w14:paraId="12ED5121">
      <w:pPr>
        <w:pStyle w:val="133"/>
        <w:numPr>
          <w:ilvl w:val="0"/>
          <w:numId w:val="39"/>
        </w:numPr>
      </w:pPr>
      <w:r>
        <w:t xml:space="preserve">If SRS measurement entity = model inference entity, then model input does not need to be specified. This is similar to Case 1 and 2a. </w:t>
      </w:r>
    </w:p>
    <w:p w14:paraId="354E263F">
      <w:pPr>
        <w:pStyle w:val="133"/>
        <w:numPr>
          <w:ilvl w:val="0"/>
          <w:numId w:val="39"/>
        </w:numPr>
      </w:pPr>
      <w:r>
        <w:t xml:space="preserve">If SRS measurement entity </w:t>
      </w:r>
      <w:r>
        <w:rPr>
          <w:rFonts w:ascii="Symbol" w:hAnsi="Symbol" w:eastAsia="Symbol" w:cs="Symbol"/>
        </w:rPr>
        <w:t>¹</w:t>
      </w:r>
      <w:r>
        <w:t xml:space="preserve"> model inference entity, the input to the model (i.e., SRS measurements) may need to be specified for F1-AP. </w:t>
      </w:r>
    </w:p>
    <w:p w14:paraId="121E0EC3"/>
    <w:p w14:paraId="26291A72">
      <w:pPr>
        <w:pStyle w:val="97"/>
      </w:pPr>
      <w:bookmarkStart w:id="1971" w:name="_Toc189845079"/>
      <w:bookmarkStart w:id="1972" w:name="_Toc161827825"/>
      <w:r>
        <w:t>For Case 3a, the location of the AI/ML model (e.g., gNB-DU vs gNB-CU) impacts the need to specify new measurements for model input.</w:t>
      </w:r>
      <w:bookmarkEnd w:id="1971"/>
      <w:bookmarkEnd w:id="1972"/>
      <w:r>
        <w:t xml:space="preserve"> </w:t>
      </w:r>
    </w:p>
    <w:p w14:paraId="61346999">
      <w:pPr>
        <w:pStyle w:val="73"/>
      </w:pPr>
      <w:bookmarkStart w:id="1973" w:name="_Toc189845117"/>
      <w:r>
        <w:t>Send an LS to RAN3 to request feedback on whether the input to the AI/ML model for case 3a need to be specified.</w:t>
      </w:r>
      <w:bookmarkEnd w:id="1973"/>
      <w:r>
        <w:t xml:space="preserve">  </w:t>
      </w:r>
    </w:p>
    <w:p w14:paraId="621B0E41">
      <w:pPr>
        <w:pStyle w:val="2"/>
        <w:rPr>
          <w:lang w:val="en-US"/>
        </w:rPr>
      </w:pPr>
      <w:bookmarkStart w:id="1974" w:name="_Toc189845023"/>
      <w:bookmarkStart w:id="1975" w:name="_Toc165991001"/>
      <w:r>
        <w:rPr>
          <w:lang w:val="en-US"/>
        </w:rPr>
        <w:t>Model output of AI/ML assisted positioning</w:t>
      </w:r>
      <w:bookmarkEnd w:id="1974"/>
      <w:bookmarkEnd w:id="1975"/>
    </w:p>
    <w:p w14:paraId="3F269512">
      <w:r>
        <w:t>The study of model input is commonly applicable to direct and assisted AI/ML positioning, and the same design choices can be made for model input regardless of the AI/ML approach. This is not the case for model output. While the model output is predefined (i.e., target UE location) for direct AI/ML positioning, the design choices of model output need to be considered carefully for AI/ML assisted positioning.</w:t>
      </w:r>
    </w:p>
    <w:p w14:paraId="132358D8">
      <w:r>
        <w:t>As discussed in section 1, we assume case 3a is an AI-extended UL-TDOA or multi RTT positioning method, while case 2a is an AI-extended DL-TDOA or multi RTT positioning method. In this section, we discuss the different aspects specific to AI/ML assisted cases (case 2a and 3a). For these cases, the following issues should be addressed:</w:t>
      </w:r>
    </w:p>
    <w:p w14:paraId="6F85BC6C">
      <w:pPr>
        <w:pStyle w:val="133"/>
        <w:numPr>
          <w:ilvl w:val="0"/>
          <w:numId w:val="30"/>
        </w:numPr>
      </w:pPr>
      <w:r>
        <w:t>In order to support data collection and inference, what are the assumed model output(s)?</w:t>
      </w:r>
    </w:p>
    <w:p w14:paraId="798CBC38">
      <w:pPr>
        <w:pStyle w:val="133"/>
        <w:numPr>
          <w:ilvl w:val="0"/>
          <w:numId w:val="30"/>
        </w:numPr>
      </w:pPr>
      <w:r>
        <w:t xml:space="preserve">What modifications to legacy measurement reporting (to the LMF) are necessary when transmitting the model output to the LMF? </w:t>
      </w:r>
    </w:p>
    <w:p w14:paraId="20124FD1">
      <w:pPr>
        <w:pStyle w:val="3"/>
        <w:rPr>
          <w:rFonts w:cs="Arial"/>
          <w:lang w:val="en-US"/>
        </w:rPr>
      </w:pPr>
      <w:bookmarkStart w:id="1976" w:name="_Toc165991003"/>
      <w:bookmarkStart w:id="1977" w:name="_Toc189845024"/>
      <w:r>
        <w:rPr>
          <w:rFonts w:cs="Arial"/>
          <w:lang w:val="en-US"/>
        </w:rPr>
        <w:t>Details for reporting model output of AI/ML assisted positioning</w:t>
      </w:r>
      <w:bookmarkEnd w:id="1976"/>
      <w:bookmarkEnd w:id="1977"/>
    </w:p>
    <w:p w14:paraId="2A8FB98C">
      <w:r>
        <w:t xml:space="preserve">As discussed, RAN1 has agreed to support two types of model output: (a) LOS/NLOS indicator; (b) timing information. In the following, we investigate in detail how they can be specified in Rel-19. </w:t>
      </w:r>
    </w:p>
    <w:p w14:paraId="12A1485F">
      <w:pPr>
        <w:pStyle w:val="4"/>
        <w:rPr>
          <w:lang w:val="en-US"/>
        </w:rPr>
      </w:pPr>
      <w:bookmarkStart w:id="1978" w:name="_Toc189845025"/>
      <w:bookmarkStart w:id="1979" w:name="_Toc165991004"/>
      <w:bookmarkStart w:id="1980" w:name="_Ref181959984"/>
      <w:r>
        <w:rPr>
          <w:lang w:val="en-US"/>
        </w:rPr>
        <w:t>LOS/NLOS indicator</w:t>
      </w:r>
      <w:bookmarkEnd w:id="1978"/>
      <w:bookmarkEnd w:id="1979"/>
      <w:bookmarkEnd w:id="1980"/>
    </w:p>
    <w:p w14:paraId="7CCB9AFC">
      <w:r>
        <w:t>The following was concluded during RAN1#119.</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4279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7459E659">
            <w:pPr>
              <w:rPr>
                <w:rFonts w:eastAsia="等线"/>
                <w:lang w:eastAsia="zh-CN"/>
              </w:rPr>
            </w:pPr>
            <w:r>
              <w:rPr>
                <w:rFonts w:hint="eastAsia" w:eastAsia="等线"/>
                <w:lang w:eastAsia="zh-CN"/>
              </w:rPr>
              <w:t>Conclusion</w:t>
            </w:r>
          </w:p>
          <w:p w14:paraId="37E6CFB5">
            <w:r>
              <w:t xml:space="preserve">For measurement report of AI/ML assisted positioning Case 3a, regarding the report of LOS/NLOS indicator, </w:t>
            </w:r>
          </w:p>
          <w:p w14:paraId="571457CD">
            <w:pPr>
              <w:pStyle w:val="133"/>
              <w:widowControl w:val="0"/>
              <w:numPr>
                <w:ilvl w:val="0"/>
                <w:numId w:val="41"/>
              </w:numPr>
              <w:tabs>
                <w:tab w:val="left" w:pos="284"/>
              </w:tabs>
              <w:spacing w:after="160" w:line="276" w:lineRule="auto"/>
              <w:ind w:left="284" w:hanging="284"/>
            </w:pPr>
            <w:r>
              <w:t>LOS/NLOS indicator</w:t>
            </w:r>
            <w:r>
              <w:rPr>
                <w:rFonts w:hint="eastAsia" w:eastAsia="等线"/>
              </w:rPr>
              <w:t xml:space="preserve"> can</w:t>
            </w:r>
            <w:r>
              <w:rPr>
                <w:rFonts w:eastAsia="等线"/>
              </w:rPr>
              <w:t>’</w:t>
            </w:r>
            <w:r>
              <w:rPr>
                <w:rFonts w:hint="eastAsia" w:eastAsia="等线"/>
              </w:rPr>
              <w:t>t be reported independently from other measurements</w:t>
            </w:r>
          </w:p>
        </w:tc>
      </w:tr>
    </w:tbl>
    <w:p w14:paraId="43583B42"/>
    <w:p w14:paraId="2594B189">
      <w:r>
        <w:t xml:space="preserve">We also discussed without agreeing on whether to differentiate indication of LOS / timing reported with AI/ML from legacy reporting from previous releases. </w:t>
      </w:r>
    </w:p>
    <w:p w14:paraId="56A259DF">
      <w:r>
        <w:t>In this section we discuss the following issues:</w:t>
      </w:r>
    </w:p>
    <w:p w14:paraId="4031B1BD">
      <w:pPr>
        <w:pStyle w:val="133"/>
        <w:numPr>
          <w:ilvl w:val="1"/>
          <w:numId w:val="11"/>
        </w:numPr>
        <w:rPr>
          <w:lang w:eastAsia="ja-JP"/>
        </w:rPr>
      </w:pPr>
      <w:r>
        <w:rPr>
          <w:lang w:eastAsia="ja-JP"/>
        </w:rPr>
        <w:t>What is the meaning of the LOS/NLOS indicator when reported in case 3a</w:t>
      </w:r>
    </w:p>
    <w:p w14:paraId="48EEB984">
      <w:pPr>
        <w:pStyle w:val="133"/>
        <w:numPr>
          <w:ilvl w:val="1"/>
          <w:numId w:val="11"/>
        </w:numPr>
      </w:pPr>
      <w:r>
        <w:rPr>
          <w:lang w:eastAsia="ja-JP"/>
        </w:rPr>
        <w:t xml:space="preserve">Should the LMF be able to differentiate whether the reported LOS/NLOS indicator is based on a model inference  </w:t>
      </w:r>
    </w:p>
    <w:p w14:paraId="2460C36D">
      <w:pPr>
        <w:pStyle w:val="5"/>
        <w:rPr>
          <w:lang w:val="en-US"/>
        </w:rPr>
      </w:pPr>
      <w:bookmarkStart w:id="1981" w:name="_Toc189845026"/>
      <w:r>
        <w:rPr>
          <w:lang w:val="en-US"/>
        </w:rPr>
        <w:t>Interpretation of LOS/NLOS indicator and associated timing information</w:t>
      </w:r>
      <w:bookmarkEnd w:id="1981"/>
    </w:p>
    <w:p w14:paraId="1D5521F9">
      <w:r>
        <w:t>In legacy positioning methods, the LOS indicator can take either a binary value (LOS, NLOS) or a soft value that provides a confidence index of the LOS estimate reported by the UE or gNB. The purpose of this LOS indicator is to inform the LMF so that measurements can be grouped according to their LOS status, and measurements which are non-line-of-sight are typically excluded from the location estimation algorithm. The LOS/NLOS indicator and the measurements (e.g., RTOA) are all about the physical, observable propagation path of the radio link.</w:t>
      </w:r>
    </w:p>
    <w:p w14:paraId="717A3573">
      <w:r>
        <w:t>In contrast, when AI/ML assisted positioning is used, two types of LOS paths are addressed by the AI/ML model considering the two types of model output:</w:t>
      </w:r>
    </w:p>
    <w:p w14:paraId="67B2F44D">
      <w:pPr>
        <w:pStyle w:val="133"/>
        <w:numPr>
          <w:ilvl w:val="0"/>
          <w:numId w:val="42"/>
        </w:numPr>
      </w:pPr>
      <w:r>
        <w:t xml:space="preserve">LOS/NLOS indicator. As in legacy report, this model output provides </w:t>
      </w:r>
      <w:r>
        <w:rPr>
          <w:snapToGrid w:val="0"/>
        </w:rPr>
        <w:t xml:space="preserve">information on the likelihood of a line-of-sight propagation path, i.e., a physical LOS path. For example, for </w:t>
      </w:r>
      <w:r>
        <w:rPr>
          <w:snapToGrid w:val="0"/>
        </w:rPr>
        <w:fldChar w:fldCharType="begin"/>
      </w:r>
      <w:r>
        <w:rPr>
          <w:snapToGrid w:val="0"/>
        </w:rPr>
        <w:instrText xml:space="preserve"> REF _Ref158978805  \* MERGEFORMAT </w:instrText>
      </w:r>
      <w:r>
        <w:rPr>
          <w:snapToGrid w:val="0"/>
        </w:rPr>
        <w:fldChar w:fldCharType="separate"/>
      </w:r>
      <w:r>
        <w:t>Figure 2</w:t>
      </w:r>
      <w:r>
        <w:rPr>
          <w:snapToGrid w:val="0"/>
        </w:rPr>
        <w:fldChar w:fldCharType="end"/>
      </w:r>
      <w:r>
        <w:rPr>
          <w:snapToGrid w:val="0"/>
        </w:rPr>
        <w:t xml:space="preserve">(a), LOS/NLOS indicator='TRUE' (i.e., physical LOS path exists); for </w:t>
      </w:r>
      <w:r>
        <w:rPr>
          <w:snapToGrid w:val="0"/>
        </w:rPr>
        <w:fldChar w:fldCharType="begin"/>
      </w:r>
      <w:r>
        <w:rPr>
          <w:snapToGrid w:val="0"/>
        </w:rPr>
        <w:instrText xml:space="preserve"> REF _Ref158978805  \* MERGEFORMAT </w:instrText>
      </w:r>
      <w:r>
        <w:rPr>
          <w:snapToGrid w:val="0"/>
        </w:rPr>
        <w:fldChar w:fldCharType="separate"/>
      </w:r>
      <w:r>
        <w:t>Figure 2</w:t>
      </w:r>
      <w:r>
        <w:rPr>
          <w:snapToGrid w:val="0"/>
        </w:rPr>
        <w:fldChar w:fldCharType="end"/>
      </w:r>
      <w:r>
        <w:rPr>
          <w:snapToGrid w:val="0"/>
        </w:rPr>
        <w:t>(b), LOS/NLOS indicator='FALSE' (i.e., no physical LOS path).</w:t>
      </w:r>
    </w:p>
    <w:p w14:paraId="478285CF">
      <w:pPr>
        <w:pStyle w:val="133"/>
        <w:numPr>
          <w:ilvl w:val="1"/>
          <w:numId w:val="42"/>
        </w:numPr>
      </w:pPr>
      <w:r>
        <w:rPr>
          <w:snapToGrid w:val="0"/>
        </w:rPr>
        <w:t>Thus: the meaning of LOS/NLOS indicator is unchanged when AI/ML is introduced to generate it.</w:t>
      </w:r>
    </w:p>
    <w:p w14:paraId="062D16F5">
      <w:pPr>
        <w:pStyle w:val="133"/>
        <w:numPr>
          <w:ilvl w:val="0"/>
          <w:numId w:val="42"/>
        </w:numPr>
      </w:pPr>
      <w:r>
        <w:rPr>
          <w:snapToGrid w:val="0"/>
        </w:rPr>
        <w:t xml:space="preserve">Time information (e.g., RTOA). The timing information generated by the model depends on the model design. For some models, the output TOA is  the direct path between TRP and UE, regardless of LOS/NLOS status of the physical link. For example, for </w:t>
      </w:r>
      <w:r>
        <w:rPr>
          <w:snapToGrid w:val="0"/>
        </w:rPr>
        <w:fldChar w:fldCharType="begin"/>
      </w:r>
      <w:r>
        <w:rPr>
          <w:snapToGrid w:val="0"/>
        </w:rPr>
        <w:instrText xml:space="preserve"> REF _Ref158978805  \* MERGEFORMAT </w:instrText>
      </w:r>
      <w:r>
        <w:rPr>
          <w:snapToGrid w:val="0"/>
        </w:rPr>
        <w:fldChar w:fldCharType="separate"/>
      </w:r>
      <w:r>
        <w:t>Figure 2</w:t>
      </w:r>
      <w:r>
        <w:rPr>
          <w:snapToGrid w:val="0"/>
        </w:rPr>
        <w:fldChar w:fldCharType="end"/>
      </w:r>
      <w:r>
        <w:rPr>
          <w:snapToGrid w:val="0"/>
        </w:rPr>
        <w:t xml:space="preserve">(a), the timing information is for the physical LOS path (=virtual LOS path); for </w:t>
      </w:r>
      <w:r>
        <w:rPr>
          <w:snapToGrid w:val="0"/>
        </w:rPr>
        <w:fldChar w:fldCharType="begin"/>
      </w:r>
      <w:r>
        <w:rPr>
          <w:snapToGrid w:val="0"/>
        </w:rPr>
        <w:instrText xml:space="preserve"> REF _Ref158978805  \* MERGEFORMAT </w:instrText>
      </w:r>
      <w:r>
        <w:rPr>
          <w:snapToGrid w:val="0"/>
        </w:rPr>
        <w:fldChar w:fldCharType="separate"/>
      </w:r>
      <w:r>
        <w:t>Figure 2</w:t>
      </w:r>
      <w:r>
        <w:rPr>
          <w:snapToGrid w:val="0"/>
        </w:rPr>
        <w:fldChar w:fldCharType="end"/>
      </w:r>
      <w:r>
        <w:rPr>
          <w:snapToGrid w:val="0"/>
        </w:rPr>
        <w:t>(b), the timing information is for the virtual LOS path. However, these “virtual LOS” models are typically very large. Another, comparatively simpler model could produce the legacy “physical LOS” type TOA.</w:t>
      </w:r>
    </w:p>
    <w:p w14:paraId="2EB5C476">
      <w:pPr>
        <w:pStyle w:val="133"/>
        <w:numPr>
          <w:ilvl w:val="1"/>
          <w:numId w:val="42"/>
        </w:numPr>
      </w:pPr>
      <w:r>
        <w:rPr>
          <w:snapToGrid w:val="0"/>
        </w:rPr>
        <w:t>Thus: the meaning of timing information is conditioned to the model implementation when AI/ML is introduced to generate it. In legacy report, the timing information is for the observed physical path arrival. In AI/ML report, the timing information can be for the direct path (i.e., virtual LOS path).</w:t>
      </w:r>
    </w:p>
    <w:p w14:paraId="1D435E2E">
      <w:r>
        <w:t xml:space="preserve">In summary, it can be understood that the LOS/NLOS indicator addresses the physical LOS path, while </w:t>
      </w:r>
      <w:r>
        <w:rPr>
          <w:snapToGrid w:val="0"/>
        </w:rPr>
        <w:t>time information (e.g., RTOA) may address the virtual LOS path. Here the virtual LOS path is the direct path regardless of LOS/NLOS status.</w:t>
      </w:r>
      <w:r>
        <w:t xml:space="preserve"> In legacy DL-TDOA and DL-RTOA reports, LOS/NLOS indication is always associated with a physical TOA measurement. For AI/ML measurements, this association cannot always be assumed, and it should be possible for the TOA measurement to  be decoupled from the LOS indication. </w:t>
      </w:r>
    </w:p>
    <w:p w14:paraId="35FDFA17"/>
    <w:tbl>
      <w:tblPr>
        <w:tblStyle w:val="5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81"/>
        <w:gridCol w:w="4981"/>
      </w:tblGrid>
      <w:tr w14:paraId="75164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1" w:type="dxa"/>
          </w:tcPr>
          <w:p w14:paraId="70BD84BA">
            <w:pPr>
              <w:jc w:val="center"/>
            </w:pPr>
            <w:r>
              <w:drawing>
                <wp:inline distT="0" distB="0" distL="0" distR="0">
                  <wp:extent cx="2139315" cy="2157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139696" cy="2157984"/>
                          </a:xfrm>
                          <a:prstGeom prst="rect">
                            <a:avLst/>
                          </a:prstGeom>
                          <a:noFill/>
                        </pic:spPr>
                      </pic:pic>
                    </a:graphicData>
                  </a:graphic>
                </wp:inline>
              </w:drawing>
            </w:r>
          </w:p>
        </w:tc>
        <w:tc>
          <w:tcPr>
            <w:tcW w:w="4981" w:type="dxa"/>
          </w:tcPr>
          <w:p w14:paraId="3199D1E7">
            <w:pPr>
              <w:jc w:val="center"/>
            </w:pPr>
            <w:r>
              <w:drawing>
                <wp:inline distT="0" distB="0" distL="0" distR="0">
                  <wp:extent cx="2139315" cy="2157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39696" cy="2157984"/>
                          </a:xfrm>
                          <a:prstGeom prst="rect">
                            <a:avLst/>
                          </a:prstGeom>
                          <a:noFill/>
                        </pic:spPr>
                      </pic:pic>
                    </a:graphicData>
                  </a:graphic>
                </wp:inline>
              </w:drawing>
            </w:r>
          </w:p>
        </w:tc>
      </w:tr>
      <w:tr w14:paraId="554B4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1" w:type="dxa"/>
          </w:tcPr>
          <w:p w14:paraId="245127B1">
            <w:pPr>
              <w:pStyle w:val="133"/>
              <w:numPr>
                <w:ilvl w:val="0"/>
                <w:numId w:val="43"/>
              </w:numPr>
              <w:jc w:val="center"/>
            </w:pPr>
            <w:r>
              <w:t>Physical LoS path exist</w:t>
            </w:r>
          </w:p>
        </w:tc>
        <w:tc>
          <w:tcPr>
            <w:tcW w:w="4981" w:type="dxa"/>
          </w:tcPr>
          <w:p w14:paraId="586C7EDA">
            <w:pPr>
              <w:pStyle w:val="133"/>
              <w:numPr>
                <w:ilvl w:val="0"/>
                <w:numId w:val="43"/>
              </w:numPr>
              <w:jc w:val="center"/>
            </w:pPr>
            <w:r>
              <w:t>No physical LoS path</w:t>
            </w:r>
          </w:p>
        </w:tc>
      </w:tr>
    </w:tbl>
    <w:p w14:paraId="4A3E36F2">
      <w:pPr>
        <w:jc w:val="center"/>
        <w:rPr>
          <w:b/>
          <w:bCs/>
        </w:rPr>
      </w:pPr>
      <w:bookmarkStart w:id="1982" w:name="_Ref158978805"/>
      <w:r>
        <w:rPr>
          <w:b/>
          <w:bCs/>
        </w:rPr>
        <w:t xml:space="preserve">Figure </w:t>
      </w:r>
      <w:r>
        <w:rPr>
          <w:b/>
          <w:bCs/>
        </w:rPr>
        <w:fldChar w:fldCharType="begin"/>
      </w:r>
      <w:r>
        <w:rPr>
          <w:b/>
          <w:bCs/>
        </w:rPr>
        <w:instrText xml:space="preserve"> SEQ Figure \* ARABIC </w:instrText>
      </w:r>
      <w:r>
        <w:rPr>
          <w:b/>
          <w:bCs/>
        </w:rPr>
        <w:fldChar w:fldCharType="separate"/>
      </w:r>
      <w:r>
        <w:rPr>
          <w:b/>
          <w:bCs/>
        </w:rPr>
        <w:t>2</w:t>
      </w:r>
      <w:r>
        <w:rPr>
          <w:b/>
          <w:bCs/>
        </w:rPr>
        <w:fldChar w:fldCharType="end"/>
      </w:r>
      <w:bookmarkEnd w:id="1982"/>
      <w:r>
        <w:rPr>
          <w:b/>
          <w:bCs/>
        </w:rPr>
        <w:t>. Two types of LoS paths are addressed by the assisted AI/ML model.</w:t>
      </w:r>
    </w:p>
    <w:p w14:paraId="2DDCD8D2"/>
    <w:p w14:paraId="51535368">
      <w:r>
        <w:t xml:space="preserve">Thus, when AI/ML assisted positioning is applied (Case 2a, 3a), the measurement report needs to clearly indicate to LMF whether the timing information should be interpreted in a new way, i.e., LMF should not blindly reuse the meaning in the legacy report. Conversely, if this is not clearly indicated, then the LMF may run the legacy positioning methods the same as before, i.e., exclude links that are marked with LOS/NLOS indicator = 'FALSE'. This would completely defeat the purpose of generating virtual LOS based enhanced timing information by AI/ML. </w:t>
      </w:r>
    </w:p>
    <w:p w14:paraId="2320A03D">
      <w:r>
        <w:t xml:space="preserve">To indicate that the timing information for case 2a/3a is always based on LOS TOA, regardless of the true physical LOS state of the channel, it would be sufficient to add an indicator to the report, such as a “made with AI” flag, or a “virtual LOS TOA” flag.  Alternatively, the UE or gNB may be “forced” to produce an AI-based, virtual line of sight  measurement as demanded in the measurement request from LMF. In that case the indication is not needed.  During RAN1#118bis, a common understanding was reached that a differentiation between a Rel19 report and a Rel18 (and before) report would be enough, without the need of identifying a model output explicitly, as reflected in the agreement on the report of timing information. In this case, </w:t>
      </w:r>
    </w:p>
    <w:p w14:paraId="07BDD411">
      <w:pPr>
        <w:pStyle w:val="133"/>
        <w:numPr>
          <w:ilvl w:val="0"/>
          <w:numId w:val="42"/>
        </w:numPr>
      </w:pPr>
      <w:r>
        <w:t>A Rel-18 (and before) timing report provides TOA for physical path, where the TOA can be generated by legacy method or AI/ML.</w:t>
      </w:r>
    </w:p>
    <w:p w14:paraId="7E1D246C">
      <w:pPr>
        <w:pStyle w:val="133"/>
        <w:numPr>
          <w:ilvl w:val="0"/>
          <w:numId w:val="42"/>
        </w:numPr>
      </w:pPr>
      <w:r>
        <w:t>A Rel-19 timing report provides TOA for virtual path, where the TOA is generated by AI/ML only.</w:t>
      </w:r>
    </w:p>
    <w:p w14:paraId="12E60C72"/>
    <w:p w14:paraId="5CEB067B">
      <w:r>
        <w:t>In RAN1#119, the issue was discussed but did not converge, with one proposal updated as follow:</w:t>
      </w:r>
    </w:p>
    <w:p w14:paraId="19B4548E"/>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74E3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49CEE435">
            <w:pPr>
              <w:rPr>
                <w:b/>
                <w:bCs/>
                <w:u w:val="single"/>
              </w:rPr>
            </w:pPr>
            <w:r>
              <w:rPr>
                <w:b/>
                <w:bCs/>
                <w:u w:val="single"/>
              </w:rPr>
              <w:t>Proposal 3.1.5-1</w:t>
            </w:r>
          </w:p>
          <w:p w14:paraId="2115A0BE">
            <w:r>
              <w:t xml:space="preserve">For measurement report of AI/ML assisted positioning Case 3a, when timing information is reported from gNB to LMF, LMF </w:t>
            </w:r>
            <w:r>
              <w:rPr>
                <w:color w:val="FF0000"/>
              </w:rPr>
              <w:t xml:space="preserve">shall be able to distinguish </w:t>
            </w:r>
            <w:r>
              <w:t xml:space="preserve">whether the timing information is obtained by legacy method or by </w:t>
            </w:r>
            <w:r>
              <w:rPr>
                <w:color w:val="FF0000"/>
              </w:rPr>
              <w:t>Rel-19</w:t>
            </w:r>
            <w:r>
              <w:t xml:space="preserve">. </w:t>
            </w:r>
          </w:p>
          <w:p w14:paraId="046369EB">
            <w:pPr>
              <w:rPr>
                <w:color w:val="FF0000"/>
              </w:rPr>
            </w:pPr>
            <w:r>
              <w:rPr>
                <w:color w:val="FF0000"/>
              </w:rPr>
              <w:t>FFS: how to ensure that LMF can distinguish</w:t>
            </w:r>
          </w:p>
        </w:tc>
      </w:tr>
    </w:tbl>
    <w:p w14:paraId="3562CF67">
      <w:r>
        <w:t>Moreover, RAN3 also discussed the interpretation with the following understanding captured in the chair’s notes at RAN3#126:</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552E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18D813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eastAsia="MS Mincho" w:cs="Helvetica Neue"/>
                <w:color w:val="000000"/>
                <w:kern w:val="0"/>
                <w:sz w:val="21"/>
                <w:szCs w:val="21"/>
                <w:lang w:eastAsia="en-GB"/>
                <w14:ligatures w14:val="none"/>
              </w:rPr>
            </w:pPr>
            <w:r>
              <w:rPr>
                <w:rFonts w:ascii="Helvetica Neue" w:hAnsi="Helvetica Neue" w:eastAsia="MS Mincho" w:cs="Helvetica Neue"/>
                <w:color w:val="000000"/>
                <w:kern w:val="0"/>
                <w:sz w:val="21"/>
                <w:szCs w:val="21"/>
                <w:lang w:eastAsia="en-GB"/>
                <w14:ligatures w14:val="none"/>
              </w:rPr>
              <w:t>RAN3 agreed that the mechanisms and IEs can be reused:</w:t>
            </w:r>
          </w:p>
          <w:p w14:paraId="3467B6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eastAsia="MS Mincho" w:cs="Helvetica Neue"/>
                <w:color w:val="000000"/>
                <w:kern w:val="0"/>
                <w:sz w:val="21"/>
                <w:szCs w:val="21"/>
                <w:lang w:eastAsia="en-GB"/>
                <w14:ligatures w14:val="none"/>
              </w:rPr>
            </w:pPr>
          </w:p>
          <w:p w14:paraId="09CE39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eastAsia="MS Mincho" w:cs="Helvetica Neue"/>
                <w:color w:val="000000"/>
                <w:kern w:val="0"/>
                <w:sz w:val="21"/>
                <w:szCs w:val="21"/>
                <w:lang w:eastAsia="en-GB"/>
                <w14:ligatures w14:val="none"/>
              </w:rPr>
            </w:pPr>
            <w:r>
              <w:rPr>
                <w:rFonts w:ascii="Helvetica Neue" w:hAnsi="Helvetica Neue" w:eastAsia="MS Mincho" w:cs="Helvetica Neue"/>
                <w:color w:val="000000"/>
                <w:kern w:val="0"/>
                <w:sz w:val="21"/>
                <w:szCs w:val="21"/>
                <w:lang w:eastAsia="en-GB"/>
                <w14:ligatures w14:val="none"/>
              </w:rPr>
              <w:t>-</w:t>
            </w:r>
            <w:r>
              <w:rPr>
                <w:rFonts w:ascii="Helvetica Neue" w:hAnsi="Helvetica Neue" w:eastAsia="MS Mincho" w:cs="Helvetica Neue"/>
                <w:b/>
                <w:bCs/>
                <w:color w:val="0F6F01"/>
                <w:kern w:val="0"/>
                <w:sz w:val="21"/>
                <w:szCs w:val="21"/>
                <w:lang w:eastAsia="en-GB"/>
                <w14:ligatures w14:val="none"/>
              </w:rPr>
              <w:t>Signalling of measurements as the inference output for case 3a can re-use the existing procedures for positioning measurement specified over NRPPa.</w:t>
            </w:r>
          </w:p>
          <w:p w14:paraId="283D4D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eastAsia="MS Mincho" w:cs="Helvetica Neue"/>
                <w:color w:val="000000"/>
                <w:kern w:val="0"/>
                <w:sz w:val="21"/>
                <w:szCs w:val="21"/>
                <w:lang w:eastAsia="en-GB"/>
                <w14:ligatures w14:val="none"/>
              </w:rPr>
            </w:pPr>
          </w:p>
          <w:p w14:paraId="287D63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eastAsia="MS Mincho" w:cs="Helvetica Neue"/>
                <w:color w:val="000000"/>
                <w:kern w:val="0"/>
                <w:sz w:val="21"/>
                <w:szCs w:val="21"/>
                <w:lang w:eastAsia="en-GB"/>
                <w14:ligatures w14:val="none"/>
              </w:rPr>
            </w:pPr>
            <w:r>
              <w:rPr>
                <w:rFonts w:ascii="Helvetica Neue" w:hAnsi="Helvetica Neue" w:eastAsia="MS Mincho" w:cs="Helvetica Neue"/>
                <w:color w:val="149FEC"/>
                <w:kern w:val="0"/>
                <w:sz w:val="21"/>
                <w:szCs w:val="21"/>
                <w:lang w:eastAsia="en-GB"/>
                <w14:ligatures w14:val="none"/>
              </w:rPr>
              <w:t>›</w:t>
            </w:r>
            <w:r>
              <w:rPr>
                <w:rFonts w:ascii="Helvetica Neue" w:hAnsi="Helvetica Neue" w:eastAsia="MS Mincho" w:cs="Helvetica Neue"/>
                <w:color w:val="474747"/>
                <w:kern w:val="0"/>
                <w:sz w:val="21"/>
                <w:szCs w:val="21"/>
                <w:lang w:eastAsia="en-GB"/>
                <w14:ligatures w14:val="none"/>
              </w:rPr>
              <w:t>One open point on the procedures for the LMF to request positioning data for case 3a is the following:</w:t>
            </w:r>
          </w:p>
          <w:p w14:paraId="0CD7FDBF">
            <w:pPr>
              <w:rPr>
                <w:sz w:val="21"/>
                <w:szCs w:val="21"/>
              </w:rPr>
            </w:pPr>
            <w:r>
              <w:rPr>
                <w:rFonts w:ascii="Helvetica Neue" w:hAnsi="Helvetica Neue" w:eastAsia="MS Mincho" w:cs="Helvetica Neue"/>
                <w:b/>
                <w:bCs/>
                <w:color w:val="0000FF"/>
                <w:kern w:val="0"/>
                <w:sz w:val="21"/>
                <w:szCs w:val="21"/>
                <w:lang w:eastAsia="en-GB"/>
                <w14:ligatures w14:val="none"/>
              </w:rPr>
              <w:t>FFS if LMF should be aware that the reported measurements are AI/ML generated.</w:t>
            </w:r>
          </w:p>
        </w:tc>
      </w:tr>
    </w:tbl>
    <w:p w14:paraId="611050F1"/>
    <w:p w14:paraId="26D50E38">
      <w:r>
        <w:t xml:space="preserve">Hence, for RAN3 to progress, RAN1 should conclude on whether LMF need some awareness to distinguish Rel-19 timing measurement from legacy.  Our view is that Proposal 3.1.5-1 from RAN1#119 can be updated to addresses the issue, and allows to support Case 3a where depending on the model design choice, the model output can be both the timing information for a virtual LOS path, but can also be backward compatible with the timing info of Rel18 physical LOS path. We propose to clarify what is implied by Rel-19 report, which is that the timing information and LOS information are decoupled, and that timing information is reported for virtual LOS.  </w:t>
      </w:r>
    </w:p>
    <w:p w14:paraId="7D37F191">
      <w:pPr>
        <w:pStyle w:val="97"/>
      </w:pPr>
      <w:bookmarkStart w:id="1983" w:name="_Toc158978331"/>
      <w:bookmarkStart w:id="1984" w:name="_Toc161827827"/>
      <w:bookmarkStart w:id="1985" w:name="_Toc189845080"/>
      <w:r>
        <w:t>The LOS/NLOS indicator in legacy positioning report is a measure of the reliability of the measurement report</w:t>
      </w:r>
      <w:bookmarkEnd w:id="1983"/>
      <w:r>
        <w:t>.</w:t>
      </w:r>
      <w:bookmarkEnd w:id="1984"/>
      <w:bookmarkEnd w:id="1985"/>
    </w:p>
    <w:p w14:paraId="40ACFABD">
      <w:pPr>
        <w:pStyle w:val="97"/>
      </w:pPr>
      <w:bookmarkStart w:id="1986" w:name="_Toc158978332"/>
      <w:bookmarkStart w:id="1987" w:name="_Toc161827828"/>
      <w:bookmarkStart w:id="1988" w:name="_Toc189845081"/>
      <w:r>
        <w:t>AI/ML assisted positioning can provide measurement report of the NLOS channel with high confidence</w:t>
      </w:r>
      <w:bookmarkEnd w:id="1986"/>
      <w:r>
        <w:t>.</w:t>
      </w:r>
      <w:bookmarkEnd w:id="1987"/>
      <w:bookmarkEnd w:id="1988"/>
      <w:bookmarkStart w:id="1989" w:name="_Toc185245531"/>
      <w:bookmarkEnd w:id="1989"/>
      <w:bookmarkStart w:id="1990" w:name="_Toc189125098"/>
      <w:bookmarkEnd w:id="1990"/>
      <w:bookmarkStart w:id="1991" w:name="_Toc189835381"/>
      <w:bookmarkEnd w:id="1991"/>
    </w:p>
    <w:p w14:paraId="7EB6B717">
      <w:pPr>
        <w:pStyle w:val="73"/>
      </w:pPr>
      <w:bookmarkStart w:id="1992" w:name="_Toc189845118"/>
      <w:r>
        <w:t>For measurement report of AI/ML assisted positioning Case 3a, when timing information is reported from gNB to LMF, the timing information is for virtual LOS link if carried in a new Rel-19 measurement report, and the timing information is for physical LOS link if carried in a legacy measurement report (Rel-18 or prior).</w:t>
      </w:r>
      <w:bookmarkEnd w:id="1992"/>
      <w:r>
        <w:t xml:space="preserve"> </w:t>
      </w:r>
    </w:p>
    <w:p w14:paraId="5438A507">
      <w:pPr>
        <w:pStyle w:val="73"/>
      </w:pPr>
      <w:bookmarkStart w:id="1993" w:name="_Toc189845119"/>
      <w:r>
        <w:t>For Rel-19 measurement report, the LOS/NLOS indicator (for physical LOS link) is decoupled from the timing information reporting (for virtual LOS link).</w:t>
      </w:r>
      <w:bookmarkEnd w:id="1993"/>
    </w:p>
    <w:p w14:paraId="0F98D3FC">
      <w:pPr>
        <w:pStyle w:val="73"/>
      </w:pPr>
      <w:bookmarkStart w:id="1994" w:name="_Toc189845120"/>
      <w:r>
        <w:t>Support reporting (optionally) a LOS/NLOS indicator when timing information is reported for Rel-19</w:t>
      </w:r>
      <w:r>
        <w:rPr>
          <w:rFonts w:hint="eastAsia" w:eastAsia="等线"/>
          <w:lang w:eastAsia="zh-CN"/>
        </w:rPr>
        <w:t xml:space="preserve"> </w:t>
      </w:r>
      <w:r>
        <w:t>AI/ML positioning Case 3a.</w:t>
      </w:r>
      <w:bookmarkEnd w:id="1994"/>
    </w:p>
    <w:p w14:paraId="744275A0">
      <w:bookmarkStart w:id="1995" w:name="_Toc178786081"/>
      <w:bookmarkEnd w:id="1995"/>
      <w:bookmarkStart w:id="1996" w:name="_Toc163145247"/>
      <w:bookmarkEnd w:id="1996"/>
      <w:bookmarkStart w:id="1997" w:name="_Toc178929433"/>
      <w:bookmarkEnd w:id="1997"/>
      <w:bookmarkStart w:id="1998" w:name="_Toc178786082"/>
      <w:bookmarkEnd w:id="1998"/>
      <w:bookmarkStart w:id="1999" w:name="_Toc178929434"/>
      <w:bookmarkEnd w:id="1999"/>
      <w:bookmarkStart w:id="2000" w:name="_Toc163145476"/>
      <w:bookmarkEnd w:id="2000"/>
      <w:bookmarkStart w:id="2001" w:name="_Toc163148021"/>
      <w:bookmarkEnd w:id="2001"/>
      <w:bookmarkStart w:id="2002" w:name="_Toc159172944"/>
      <w:bookmarkEnd w:id="2002"/>
      <w:bookmarkStart w:id="2003" w:name="_Toc163145249"/>
      <w:bookmarkEnd w:id="2003"/>
      <w:bookmarkStart w:id="2004" w:name="_Toc163148023"/>
      <w:bookmarkEnd w:id="2004"/>
      <w:bookmarkStart w:id="2005" w:name="_Toc163145478"/>
      <w:bookmarkEnd w:id="2005"/>
      <w:bookmarkStart w:id="2006" w:name="_Toc159161192"/>
      <w:bookmarkEnd w:id="2006"/>
      <w:bookmarkStart w:id="2007" w:name="_Toc159161193"/>
      <w:bookmarkEnd w:id="2007"/>
      <w:bookmarkStart w:id="2008" w:name="_Toc159073371"/>
      <w:bookmarkEnd w:id="2008"/>
      <w:bookmarkStart w:id="2009" w:name="_Toc158978390"/>
      <w:bookmarkEnd w:id="2009"/>
      <w:bookmarkStart w:id="2010" w:name="_Toc159073374"/>
      <w:bookmarkEnd w:id="2010"/>
      <w:bookmarkStart w:id="2011" w:name="_Toc159157564"/>
      <w:bookmarkEnd w:id="2011"/>
      <w:bookmarkStart w:id="2012" w:name="_Toc163145250"/>
      <w:bookmarkEnd w:id="2012"/>
      <w:bookmarkStart w:id="2013" w:name="_Toc159161194"/>
      <w:bookmarkEnd w:id="2013"/>
      <w:bookmarkStart w:id="2014" w:name="_Toc159161195"/>
      <w:bookmarkEnd w:id="2014"/>
      <w:bookmarkStart w:id="2015" w:name="_Toc159172945"/>
      <w:bookmarkEnd w:id="2015"/>
      <w:bookmarkStart w:id="2016" w:name="_Toc159172947"/>
      <w:bookmarkEnd w:id="2016"/>
      <w:bookmarkStart w:id="2017" w:name="_Toc159157565"/>
      <w:bookmarkEnd w:id="2017"/>
      <w:bookmarkStart w:id="2018" w:name="_Toc159157561"/>
      <w:bookmarkEnd w:id="2018"/>
      <w:bookmarkStart w:id="2019" w:name="_Toc158978388"/>
      <w:bookmarkEnd w:id="2019"/>
      <w:bookmarkStart w:id="2020" w:name="_Toc163145479"/>
      <w:bookmarkEnd w:id="2020"/>
      <w:bookmarkStart w:id="2021" w:name="_Toc159157562"/>
      <w:bookmarkEnd w:id="2021"/>
      <w:bookmarkStart w:id="2022" w:name="_Toc158978391"/>
      <w:bookmarkEnd w:id="2022"/>
      <w:bookmarkStart w:id="2023" w:name="_Toc158978392"/>
      <w:bookmarkEnd w:id="2023"/>
      <w:bookmarkStart w:id="2024" w:name="_Toc159161196"/>
      <w:bookmarkEnd w:id="2024"/>
      <w:bookmarkStart w:id="2025" w:name="_Toc163148024"/>
      <w:bookmarkEnd w:id="2025"/>
      <w:bookmarkStart w:id="2026" w:name="_Toc158978389"/>
      <w:bookmarkEnd w:id="2026"/>
      <w:bookmarkStart w:id="2027" w:name="_Toc159172946"/>
      <w:bookmarkEnd w:id="2027"/>
      <w:bookmarkStart w:id="2028" w:name="_Toc159172948"/>
      <w:bookmarkEnd w:id="2028"/>
      <w:bookmarkStart w:id="2029" w:name="_Toc173851162"/>
      <w:bookmarkEnd w:id="2029"/>
      <w:bookmarkStart w:id="2030" w:name="_Toc159157563"/>
      <w:bookmarkEnd w:id="2030"/>
      <w:bookmarkStart w:id="2031" w:name="_Toc159073375"/>
      <w:bookmarkEnd w:id="2031"/>
      <w:bookmarkStart w:id="2032" w:name="_Toc159073373"/>
      <w:bookmarkEnd w:id="2032"/>
      <w:bookmarkStart w:id="2033" w:name="_Toc159073372"/>
      <w:bookmarkEnd w:id="2033"/>
      <w:bookmarkStart w:id="2034" w:name="_Toc173940914"/>
      <w:bookmarkEnd w:id="2034"/>
    </w:p>
    <w:p w14:paraId="20291D67">
      <w:pPr>
        <w:pStyle w:val="5"/>
      </w:pPr>
      <w:bookmarkStart w:id="2035" w:name="_Toc189845027"/>
      <w:r>
        <w:t>Reporting of a of LOS/NLOS indicator based on model output</w:t>
      </w:r>
      <w:bookmarkEnd w:id="2035"/>
    </w:p>
    <w:p w14:paraId="32E3FA5C">
      <w:r>
        <w:t xml:space="preserve">As explained in section 4.1.1.1, the LOS information in a case 3a report must be decoupled from a timing measurement. When generated by the AI/ML model, the timing measurement is always a “LOS” measurement, that is to say a time-of-flight measurement, so that the corresponding indicator would always be a “LOS”, and thus be completely meaningless to report. A decoupled LOS estimate, reflecting the physical nature of the channel, would however convey useful information.  </w:t>
      </w:r>
    </w:p>
    <w:p w14:paraId="439A8F21">
      <w:r>
        <w:t>The definition of the LOS indicator should in our view be left unchanged, and reflect the physical nature of the channel as in Rel-18 and prior. What remains to discuss is whether the LOS indicator should be identified based on how it was derived, e.g. based on a model output or pre-Rel19 methods (which does not say anything on how the indicator was computed).  RAN3 has also concluded in the same direction during the November 2024 WG meeting:</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0873D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44B3CB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eastAsia="MS Mincho" w:cs="Helvetica Neue"/>
                <w:color w:val="000000"/>
                <w:kern w:val="0"/>
                <w:sz w:val="21"/>
                <w:szCs w:val="21"/>
                <w:lang w:eastAsia="en-GB"/>
                <w14:ligatures w14:val="none"/>
              </w:rPr>
            </w:pPr>
            <w:r>
              <w:rPr>
                <w:rFonts w:ascii="Helvetica Neue" w:hAnsi="Helvetica Neue" w:eastAsia="MS Mincho" w:cs="Helvetica Neue"/>
                <w:color w:val="000000"/>
                <w:kern w:val="0"/>
                <w:sz w:val="21"/>
                <w:szCs w:val="21"/>
                <w:lang w:eastAsia="en-GB"/>
                <w14:ligatures w14:val="none"/>
              </w:rPr>
              <w:t>RAN3#126:</w:t>
            </w:r>
          </w:p>
          <w:p w14:paraId="40A158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eastAsia="MS Mincho" w:cs="Helvetica Neue"/>
                <w:color w:val="000000"/>
                <w:kern w:val="0"/>
                <w:sz w:val="21"/>
                <w:szCs w:val="21"/>
                <w:lang w:eastAsia="en-GB"/>
                <w14:ligatures w14:val="none"/>
              </w:rPr>
            </w:pPr>
          </w:p>
          <w:p w14:paraId="08DF00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Neue" w:hAnsi="Helvetica Neue" w:eastAsia="MS Mincho" w:cs="Helvetica Neue"/>
                <w:color w:val="000000"/>
                <w:kern w:val="0"/>
                <w:sz w:val="21"/>
                <w:szCs w:val="21"/>
                <w:lang w:eastAsia="en-GB"/>
                <w14:ligatures w14:val="none"/>
              </w:rPr>
            </w:pPr>
            <w:r>
              <w:rPr>
                <w:rFonts w:ascii="Helvetica Neue" w:hAnsi="Helvetica Neue" w:eastAsia="MS Mincho" w:cs="Helvetica Neue"/>
                <w:color w:val="149FEC"/>
                <w:kern w:val="0"/>
                <w:sz w:val="21"/>
                <w:szCs w:val="21"/>
                <w:lang w:eastAsia="en-GB"/>
                <w14:ligatures w14:val="none"/>
              </w:rPr>
              <w:t>›</w:t>
            </w:r>
            <w:r>
              <w:rPr>
                <w:rFonts w:ascii="Helvetica Neue" w:hAnsi="Helvetica Neue" w:eastAsia="MS Mincho" w:cs="Helvetica Neue"/>
                <w:color w:val="474747"/>
                <w:kern w:val="0"/>
                <w:sz w:val="21"/>
                <w:szCs w:val="21"/>
                <w:lang w:eastAsia="en-GB"/>
                <w14:ligatures w14:val="none"/>
              </w:rPr>
              <w:t>Concerning the IEs in the existing measurement request procedure, the following was captured reflecting the common understanding:</w:t>
            </w:r>
          </w:p>
          <w:p w14:paraId="4263C4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pPr>
            <w:r>
              <w:rPr>
                <w:rFonts w:ascii="Helvetica Neue" w:hAnsi="Helvetica Neue" w:eastAsia="MS Mincho" w:cs="Helvetica Neue"/>
                <w:color w:val="000000"/>
                <w:kern w:val="0"/>
                <w:sz w:val="21"/>
                <w:szCs w:val="21"/>
                <w:lang w:eastAsia="en-GB"/>
                <w14:ligatures w14:val="none"/>
              </w:rPr>
              <w:t>-</w:t>
            </w:r>
            <w:r>
              <w:rPr>
                <w:rFonts w:ascii="Helvetica Neue" w:hAnsi="Helvetica Neue" w:eastAsia="MS Mincho" w:cs="Helvetica Neue"/>
                <w:b/>
                <w:bCs/>
                <w:color w:val="FB0007"/>
                <w:kern w:val="0"/>
                <w:sz w:val="21"/>
                <w:szCs w:val="21"/>
                <w:lang w:eastAsia="en-GB"/>
                <w14:ligatures w14:val="none"/>
              </w:rPr>
              <w:t>Common understanding is that the existing Time Stamp IE, Measurement Quality IE and LoS/NLoS indicator IE in the TRP measurement result can be re-used.</w:t>
            </w:r>
          </w:p>
        </w:tc>
      </w:tr>
    </w:tbl>
    <w:p w14:paraId="2EA33BA5">
      <w:r>
        <w:t xml:space="preserve"> </w:t>
      </w:r>
    </w:p>
    <w:p w14:paraId="0204BBD6">
      <w:r>
        <w:t>If RAN1 wants to support the LCM for a model generating LOS NLOS beyond self-monitoring, there may be a need for identifying the LOS indicator as model output, so that e.g. the LMF may feedback to the gNB that the LOS estimate is not correct based on other information the LMF may have. Otherwise, the motivation for identifying the LOS output (legacy vs AI-generated) is not clear, since the information carried by the indicator is not changed from pre-Rel-19.</w:t>
      </w:r>
    </w:p>
    <w:p w14:paraId="099E6709">
      <w:pPr>
        <w:pStyle w:val="97"/>
      </w:pPr>
      <w:bookmarkStart w:id="2036" w:name="_Toc189845082"/>
      <w:r>
        <w:t>The interpretation of a LOS indicator as reflecting the physical nature of the channel should be the same in Release 19 and legacy.</w:t>
      </w:r>
      <w:bookmarkEnd w:id="2036"/>
    </w:p>
    <w:p w14:paraId="1EA7279D">
      <w:pPr>
        <w:pStyle w:val="97"/>
      </w:pPr>
      <w:bookmarkStart w:id="2037" w:name="_Toc189845083"/>
      <w:r>
        <w:t>If the LMF is not involved in the model monitoring of the model generating the LOS indicator, the need for identifying a LOS indicator as generated by a model output is not clear.</w:t>
      </w:r>
      <w:bookmarkEnd w:id="2037"/>
      <w:bookmarkStart w:id="2038" w:name="_Toc189835385"/>
      <w:bookmarkEnd w:id="2038"/>
      <w:bookmarkStart w:id="2039" w:name="_Toc189125102"/>
      <w:bookmarkEnd w:id="2039"/>
    </w:p>
    <w:p w14:paraId="18D318AB"/>
    <w:p w14:paraId="0D8BAB30">
      <w:pPr>
        <w:pStyle w:val="5"/>
      </w:pPr>
      <w:bookmarkStart w:id="2040" w:name="_Toc189845028"/>
      <w:r>
        <w:t>Summary of LOS/NLOS indicator reporting</w:t>
      </w:r>
      <w:bookmarkEnd w:id="2040"/>
    </w:p>
    <w:p w14:paraId="2013E9CB">
      <w:r>
        <w:t xml:space="preserve">In </w:t>
      </w:r>
      <w:r>
        <w:fldChar w:fldCharType="begin"/>
      </w:r>
      <w:r>
        <w:instrText xml:space="preserve"> REF _Ref181916917 </w:instrText>
      </w:r>
      <w:r>
        <w:fldChar w:fldCharType="separate"/>
      </w:r>
      <w:r>
        <w:t>Table 7</w:t>
      </w:r>
      <w:r>
        <w:fldChar w:fldCharType="end"/>
      </w:r>
      <w:r>
        <w:t>, the possible combinations of timing measurement and LOS/NLOS indicator are listed, together with their support, if applicable.</w:t>
      </w:r>
    </w:p>
    <w:p w14:paraId="6EBDB101"/>
    <w:p w14:paraId="698AD89F">
      <w:pPr>
        <w:pStyle w:val="29"/>
        <w:jc w:val="center"/>
      </w:pPr>
      <w:bookmarkStart w:id="2041" w:name="_Ref181916917"/>
      <w:bookmarkStart w:id="2042" w:name="_Hlk181976863"/>
      <w:r>
        <w:t xml:space="preserve">Table </w:t>
      </w:r>
      <w:r>
        <w:fldChar w:fldCharType="begin"/>
      </w:r>
      <w:r>
        <w:instrText xml:space="preserve"> SEQ Table \* ARABIC </w:instrText>
      </w:r>
      <w:r>
        <w:fldChar w:fldCharType="separate"/>
      </w:r>
      <w:r>
        <w:t>7</w:t>
      </w:r>
      <w:r>
        <w:fldChar w:fldCharType="end"/>
      </w:r>
      <w:bookmarkEnd w:id="2041"/>
      <w:r>
        <w:t>. The possible combinations of timing measurement and LOS/NLOS indicator</w:t>
      </w:r>
      <w:bookmarkEnd w:id="2042"/>
    </w:p>
    <w:tbl>
      <w:tblPr>
        <w:tblStyle w:val="52"/>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8"/>
        <w:gridCol w:w="1530"/>
        <w:gridCol w:w="2341"/>
        <w:gridCol w:w="2234"/>
        <w:gridCol w:w="2267"/>
      </w:tblGrid>
      <w:tr w14:paraId="1DAB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Borders>
              <w:top w:val="nil"/>
              <w:left w:val="nil"/>
              <w:bottom w:val="nil"/>
              <w:right w:val="nil"/>
            </w:tcBorders>
          </w:tcPr>
          <w:p w14:paraId="67C673D3">
            <w:pPr>
              <w:rPr>
                <w:sz w:val="20"/>
                <w:szCs w:val="20"/>
              </w:rPr>
            </w:pPr>
          </w:p>
        </w:tc>
        <w:tc>
          <w:tcPr>
            <w:tcW w:w="1530" w:type="dxa"/>
            <w:tcBorders>
              <w:top w:val="nil"/>
              <w:left w:val="nil"/>
              <w:bottom w:val="nil"/>
            </w:tcBorders>
          </w:tcPr>
          <w:p w14:paraId="4356590B">
            <w:pPr>
              <w:rPr>
                <w:sz w:val="20"/>
                <w:szCs w:val="20"/>
              </w:rPr>
            </w:pPr>
          </w:p>
        </w:tc>
        <w:tc>
          <w:tcPr>
            <w:tcW w:w="6842" w:type="dxa"/>
            <w:gridSpan w:val="3"/>
          </w:tcPr>
          <w:p w14:paraId="62A2E159">
            <w:pPr>
              <w:jc w:val="center"/>
              <w:rPr>
                <w:b/>
                <w:sz w:val="20"/>
                <w:szCs w:val="20"/>
              </w:rPr>
            </w:pPr>
            <w:r>
              <w:rPr>
                <w:rFonts w:eastAsia="Calibri"/>
                <w:b/>
                <w:sz w:val="20"/>
                <w:szCs w:val="20"/>
              </w:rPr>
              <w:t>Associated measurement (e.g., timing)</w:t>
            </w:r>
          </w:p>
        </w:tc>
      </w:tr>
      <w:tr w14:paraId="5933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Borders>
              <w:top w:val="nil"/>
              <w:left w:val="nil"/>
              <w:right w:val="nil"/>
            </w:tcBorders>
          </w:tcPr>
          <w:p w14:paraId="6868BAA3">
            <w:pPr>
              <w:rPr>
                <w:b/>
                <w:bCs/>
                <w:sz w:val="20"/>
                <w:szCs w:val="20"/>
              </w:rPr>
            </w:pPr>
          </w:p>
        </w:tc>
        <w:tc>
          <w:tcPr>
            <w:tcW w:w="1530" w:type="dxa"/>
            <w:tcBorders>
              <w:top w:val="nil"/>
              <w:left w:val="nil"/>
            </w:tcBorders>
          </w:tcPr>
          <w:p w14:paraId="14CCE5A5">
            <w:pPr>
              <w:rPr>
                <w:b/>
                <w:sz w:val="20"/>
                <w:szCs w:val="20"/>
              </w:rPr>
            </w:pPr>
          </w:p>
        </w:tc>
        <w:tc>
          <w:tcPr>
            <w:tcW w:w="2341" w:type="dxa"/>
          </w:tcPr>
          <w:p w14:paraId="1392AA09">
            <w:pPr>
              <w:rPr>
                <w:sz w:val="20"/>
                <w:szCs w:val="20"/>
              </w:rPr>
            </w:pPr>
            <w:r>
              <w:rPr>
                <w:rFonts w:eastAsia="Calibri"/>
                <w:sz w:val="20"/>
                <w:szCs w:val="20"/>
              </w:rPr>
              <w:t>Absent</w:t>
            </w:r>
          </w:p>
        </w:tc>
        <w:tc>
          <w:tcPr>
            <w:tcW w:w="2234" w:type="dxa"/>
          </w:tcPr>
          <w:p w14:paraId="7C91CC7E">
            <w:pPr>
              <w:rPr>
                <w:sz w:val="20"/>
                <w:szCs w:val="20"/>
              </w:rPr>
            </w:pPr>
            <w:r>
              <w:rPr>
                <w:rFonts w:eastAsia="Calibri"/>
                <w:sz w:val="20"/>
                <w:szCs w:val="20"/>
              </w:rPr>
              <w:t>Legacy measurement</w:t>
            </w:r>
            <w:r>
              <w:rPr>
                <w:rFonts w:eastAsia="Calibri"/>
                <w:color w:val="0070C0"/>
                <w:sz w:val="20"/>
                <w:szCs w:val="20"/>
              </w:rPr>
              <w:t>*</w:t>
            </w:r>
          </w:p>
        </w:tc>
        <w:tc>
          <w:tcPr>
            <w:tcW w:w="2267" w:type="dxa"/>
            <w:shd w:val="clear" w:color="auto" w:fill="auto"/>
          </w:tcPr>
          <w:p w14:paraId="005F0AF1">
            <w:pPr>
              <w:rPr>
                <w:sz w:val="20"/>
                <w:szCs w:val="20"/>
              </w:rPr>
            </w:pPr>
            <w:r>
              <w:rPr>
                <w:rFonts w:eastAsia="Calibri"/>
                <w:sz w:val="20"/>
                <w:szCs w:val="20"/>
              </w:rPr>
              <w:t>Timing measurement generated by AI/ML</w:t>
            </w:r>
          </w:p>
        </w:tc>
      </w:tr>
      <w:tr w14:paraId="2576E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restart"/>
          </w:tcPr>
          <w:p w14:paraId="27071740">
            <w:pPr>
              <w:rPr>
                <w:b/>
                <w:sz w:val="20"/>
                <w:szCs w:val="20"/>
              </w:rPr>
            </w:pPr>
            <w:r>
              <w:rPr>
                <w:rFonts w:eastAsia="Calibri"/>
                <w:b/>
                <w:sz w:val="20"/>
                <w:szCs w:val="20"/>
              </w:rPr>
              <w:t>LOS/NLOS indicator</w:t>
            </w:r>
          </w:p>
        </w:tc>
        <w:tc>
          <w:tcPr>
            <w:tcW w:w="1530" w:type="dxa"/>
          </w:tcPr>
          <w:p w14:paraId="5613C2F2">
            <w:pPr>
              <w:rPr>
                <w:sz w:val="20"/>
                <w:szCs w:val="20"/>
              </w:rPr>
            </w:pPr>
            <w:r>
              <w:rPr>
                <w:rFonts w:eastAsia="Calibri"/>
                <w:sz w:val="20"/>
                <w:szCs w:val="20"/>
              </w:rPr>
              <w:t>Absent</w:t>
            </w:r>
          </w:p>
        </w:tc>
        <w:tc>
          <w:tcPr>
            <w:tcW w:w="2341" w:type="dxa"/>
            <w:shd w:val="clear" w:color="auto" w:fill="D8D8D8" w:themeFill="background1" w:themeFillShade="D9"/>
          </w:tcPr>
          <w:p w14:paraId="4F2AAFCE">
            <w:pPr>
              <w:rPr>
                <w:sz w:val="20"/>
                <w:szCs w:val="20"/>
              </w:rPr>
            </w:pPr>
            <w:r>
              <w:rPr>
                <w:rFonts w:eastAsia="Calibri"/>
                <w:sz w:val="20"/>
                <w:szCs w:val="20"/>
              </w:rPr>
              <w:t>N/A</w:t>
            </w:r>
          </w:p>
        </w:tc>
        <w:tc>
          <w:tcPr>
            <w:tcW w:w="2234" w:type="dxa"/>
          </w:tcPr>
          <w:p w14:paraId="33A74F46">
            <w:pPr>
              <w:rPr>
                <w:sz w:val="20"/>
                <w:szCs w:val="20"/>
              </w:rPr>
            </w:pPr>
            <w:r>
              <w:rPr>
                <w:rFonts w:eastAsia="Calibri"/>
                <w:sz w:val="20"/>
                <w:szCs w:val="20"/>
              </w:rPr>
              <w:t>Support</w:t>
            </w:r>
          </w:p>
          <w:p w14:paraId="3498F750">
            <w:pPr>
              <w:rPr>
                <w:sz w:val="20"/>
                <w:szCs w:val="20"/>
              </w:rPr>
            </w:pPr>
            <w:r>
              <w:rPr>
                <w:rFonts w:eastAsia="Calibri"/>
                <w:sz w:val="20"/>
                <w:szCs w:val="20"/>
              </w:rPr>
              <w:t>(Existing specification)</w:t>
            </w:r>
          </w:p>
        </w:tc>
        <w:tc>
          <w:tcPr>
            <w:tcW w:w="2267" w:type="dxa"/>
            <w:shd w:val="clear" w:color="auto" w:fill="92D050"/>
          </w:tcPr>
          <w:p w14:paraId="6B548B75">
            <w:pPr>
              <w:rPr>
                <w:sz w:val="20"/>
                <w:szCs w:val="20"/>
              </w:rPr>
            </w:pPr>
            <w:r>
              <w:rPr>
                <w:rFonts w:eastAsia="Calibri"/>
                <w:sz w:val="20"/>
                <w:szCs w:val="20"/>
              </w:rPr>
              <w:t>Support in Rel-19</w:t>
            </w:r>
          </w:p>
        </w:tc>
      </w:tr>
      <w:tr w14:paraId="6901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5DA413A5">
            <w:pPr>
              <w:rPr>
                <w:sz w:val="20"/>
                <w:szCs w:val="20"/>
              </w:rPr>
            </w:pPr>
          </w:p>
        </w:tc>
        <w:tc>
          <w:tcPr>
            <w:tcW w:w="1530" w:type="dxa"/>
          </w:tcPr>
          <w:p w14:paraId="7A929BAC">
            <w:pPr>
              <w:rPr>
                <w:sz w:val="20"/>
                <w:szCs w:val="20"/>
              </w:rPr>
            </w:pPr>
            <w:r>
              <w:rPr>
                <w:rFonts w:eastAsia="Calibri"/>
                <w:sz w:val="20"/>
                <w:szCs w:val="20"/>
                <w:lang w:eastAsia="en-GB"/>
              </w:rPr>
              <w:t xml:space="preserve">Generated by legacy methods </w:t>
            </w:r>
          </w:p>
        </w:tc>
        <w:tc>
          <w:tcPr>
            <w:tcW w:w="2341" w:type="dxa"/>
            <w:shd w:val="clear" w:color="auto" w:fill="auto"/>
          </w:tcPr>
          <w:p w14:paraId="656B038D">
            <w:pPr>
              <w:rPr>
                <w:sz w:val="20"/>
                <w:szCs w:val="20"/>
              </w:rPr>
            </w:pPr>
            <w:r>
              <w:rPr>
                <w:rFonts w:eastAsia="Calibri"/>
                <w:sz w:val="20"/>
                <w:szCs w:val="20"/>
              </w:rPr>
              <w:t>Not supported</w:t>
            </w:r>
          </w:p>
          <w:p w14:paraId="557431FB">
            <w:pPr>
              <w:rPr>
                <w:sz w:val="20"/>
                <w:szCs w:val="20"/>
              </w:rPr>
            </w:pPr>
            <w:r>
              <w:rPr>
                <w:rFonts w:eastAsia="Calibri"/>
                <w:sz w:val="20"/>
                <w:szCs w:val="20"/>
              </w:rPr>
              <w:t>(Existing specification)</w:t>
            </w:r>
          </w:p>
        </w:tc>
        <w:tc>
          <w:tcPr>
            <w:tcW w:w="2234" w:type="dxa"/>
          </w:tcPr>
          <w:p w14:paraId="65AE4A64">
            <w:pPr>
              <w:rPr>
                <w:sz w:val="20"/>
                <w:szCs w:val="20"/>
              </w:rPr>
            </w:pPr>
            <w:r>
              <w:rPr>
                <w:rFonts w:eastAsia="Calibri"/>
                <w:sz w:val="20"/>
                <w:szCs w:val="20"/>
              </w:rPr>
              <w:t>Support</w:t>
            </w:r>
          </w:p>
          <w:p w14:paraId="6A68C0DB">
            <w:pPr>
              <w:rPr>
                <w:sz w:val="20"/>
                <w:szCs w:val="20"/>
              </w:rPr>
            </w:pPr>
            <w:r>
              <w:rPr>
                <w:rFonts w:eastAsia="Calibri"/>
                <w:sz w:val="20"/>
                <w:szCs w:val="20"/>
              </w:rPr>
              <w:t>(Existing specification)</w:t>
            </w:r>
          </w:p>
        </w:tc>
        <w:tc>
          <w:tcPr>
            <w:tcW w:w="2267" w:type="dxa"/>
            <w:shd w:val="clear" w:color="auto" w:fill="92D050"/>
          </w:tcPr>
          <w:p w14:paraId="4FBB8C4A">
            <w:pPr>
              <w:rPr>
                <w:sz w:val="20"/>
                <w:szCs w:val="20"/>
              </w:rPr>
            </w:pPr>
            <w:r>
              <w:rPr>
                <w:rFonts w:eastAsia="Calibri"/>
                <w:sz w:val="20"/>
                <w:szCs w:val="20"/>
              </w:rPr>
              <w:t>Support in Rel-19</w:t>
            </w:r>
          </w:p>
        </w:tc>
      </w:tr>
      <w:tr w14:paraId="7B56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vMerge w:val="continue"/>
          </w:tcPr>
          <w:p w14:paraId="081FC3F7">
            <w:pPr>
              <w:rPr>
                <w:sz w:val="20"/>
                <w:szCs w:val="20"/>
              </w:rPr>
            </w:pPr>
          </w:p>
        </w:tc>
        <w:tc>
          <w:tcPr>
            <w:tcW w:w="1530" w:type="dxa"/>
          </w:tcPr>
          <w:p w14:paraId="45AD8D9B">
            <w:pPr>
              <w:rPr>
                <w:sz w:val="20"/>
                <w:szCs w:val="20"/>
              </w:rPr>
            </w:pPr>
            <w:r>
              <w:rPr>
                <w:rFonts w:eastAsia="Calibri"/>
                <w:sz w:val="20"/>
                <w:szCs w:val="20"/>
                <w:lang w:eastAsia="en-GB"/>
              </w:rPr>
              <w:t>Generated by  AI/ML</w:t>
            </w:r>
          </w:p>
        </w:tc>
        <w:tc>
          <w:tcPr>
            <w:tcW w:w="2341" w:type="dxa"/>
            <w:shd w:val="clear" w:color="auto" w:fill="FBE4D5" w:themeFill="accent2" w:themeFillTint="33"/>
          </w:tcPr>
          <w:p w14:paraId="2E1E59F6">
            <w:pPr>
              <w:rPr>
                <w:sz w:val="20"/>
                <w:szCs w:val="20"/>
              </w:rPr>
            </w:pPr>
            <w:r>
              <w:rPr>
                <w:rFonts w:eastAsia="Calibri"/>
                <w:sz w:val="20"/>
                <w:szCs w:val="20"/>
              </w:rPr>
              <w:t>Not supported in Rel-19</w:t>
            </w:r>
          </w:p>
        </w:tc>
        <w:tc>
          <w:tcPr>
            <w:tcW w:w="2234" w:type="dxa"/>
            <w:shd w:val="clear" w:color="auto" w:fill="92D050"/>
          </w:tcPr>
          <w:p w14:paraId="5D6E065C">
            <w:pPr>
              <w:rPr>
                <w:sz w:val="20"/>
                <w:szCs w:val="20"/>
              </w:rPr>
            </w:pPr>
            <w:r>
              <w:rPr>
                <w:rFonts w:eastAsia="Calibri"/>
                <w:sz w:val="20"/>
                <w:szCs w:val="20"/>
              </w:rPr>
              <w:t>Support in Rel-19</w:t>
            </w:r>
          </w:p>
        </w:tc>
        <w:tc>
          <w:tcPr>
            <w:tcW w:w="2267" w:type="dxa"/>
            <w:shd w:val="clear" w:color="auto" w:fill="92D050"/>
          </w:tcPr>
          <w:p w14:paraId="60F6E903">
            <w:pPr>
              <w:rPr>
                <w:sz w:val="20"/>
                <w:szCs w:val="20"/>
              </w:rPr>
            </w:pPr>
            <w:r>
              <w:rPr>
                <w:rFonts w:eastAsia="Calibri"/>
                <w:sz w:val="20"/>
                <w:szCs w:val="20"/>
              </w:rPr>
              <w:t>Support in Rel-19</w:t>
            </w:r>
          </w:p>
        </w:tc>
      </w:tr>
    </w:tbl>
    <w:p w14:paraId="0B631831">
      <w:pPr>
        <w:rPr>
          <w:i/>
          <w:color w:val="0070C0"/>
        </w:rPr>
      </w:pPr>
      <w:r>
        <w:rPr>
          <w:i/>
          <w:color w:val="0070C0"/>
        </w:rPr>
        <w:t>* When the associated</w:t>
      </w:r>
      <w:r>
        <w:rPr>
          <w:i/>
          <w:iCs/>
          <w:color w:val="0070C0"/>
        </w:rPr>
        <w:t xml:space="preserve"> legacy</w:t>
      </w:r>
      <w:r>
        <w:rPr>
          <w:i/>
          <w:color w:val="0070C0"/>
        </w:rPr>
        <w:t xml:space="preserve"> measurement is reported, it is not limited to timing measurements</w:t>
      </w:r>
      <w:r>
        <w:rPr>
          <w:i/>
          <w:iCs/>
          <w:color w:val="0070C0"/>
        </w:rPr>
        <w:t>. It can be timing measurement or</w:t>
      </w:r>
      <w:r>
        <w:rPr>
          <w:i/>
          <w:color w:val="0070C0"/>
        </w:rPr>
        <w:t xml:space="preserve"> angle measurement.</w:t>
      </w:r>
    </w:p>
    <w:p w14:paraId="4F773A7C"/>
    <w:p w14:paraId="0D0847F5">
      <w:r>
        <w:t>For reference, in TS 38.455, LOS/NLOS indicator is reported per TRP, with one indicator for a given ULRTOA measurement (containing one or more paths) defined as follow: soft values provide the likelihood of a LOS propagation path in the range between 0 and 1 with 0.1 steps resolution. Hard value '0' indicates NLOS and hard value '1' indicates LOS.</w:t>
      </w:r>
    </w:p>
    <w:p w14:paraId="0689B48A">
      <w:r>
        <w:t>In summary, we see LOS/NLOS indication in a Case 3a report as follow:</w:t>
      </w:r>
    </w:p>
    <w:p w14:paraId="069F2011">
      <w:pPr>
        <w:pStyle w:val="133"/>
        <w:numPr>
          <w:ilvl w:val="0"/>
          <w:numId w:val="30"/>
        </w:numPr>
      </w:pPr>
      <w:r>
        <w:t>The definition of LOS/NLOS indicator is the same as legacy. It is unnecessary and confusing to introduce new meaning of LOS/NLOS indicator, depending on which report format is used.</w:t>
      </w:r>
    </w:p>
    <w:p w14:paraId="13449F25">
      <w:pPr>
        <w:pStyle w:val="133"/>
        <w:numPr>
          <w:ilvl w:val="0"/>
          <w:numId w:val="30"/>
        </w:numPr>
      </w:pPr>
      <w:r>
        <w:t xml:space="preserve">For Case 3a, the LOS/NLOS indicator, when reported with a Rel-19 ULRTOA measurement identified as such (as agreed in RAN1#118bis), should be understood as decoupled from the timing measurement.  </w:t>
      </w:r>
    </w:p>
    <w:p w14:paraId="66255C99">
      <w:pPr>
        <w:pStyle w:val="133"/>
        <w:numPr>
          <w:ilvl w:val="0"/>
          <w:numId w:val="30"/>
        </w:numPr>
      </w:pPr>
      <w:r>
        <w:t xml:space="preserve">The LOS/NLOS indicator can optionally be reported, the same as in legacy. </w:t>
      </w:r>
    </w:p>
    <w:p w14:paraId="007BDC13">
      <w:pPr>
        <w:pStyle w:val="133"/>
        <w:numPr>
          <w:ilvl w:val="0"/>
          <w:numId w:val="30"/>
        </w:numPr>
      </w:pPr>
      <w:r>
        <w:t xml:space="preserve">The indicator does not need to be made a separate measurement, the same as in legacy. </w:t>
      </w:r>
    </w:p>
    <w:p w14:paraId="4966348F"/>
    <w:p w14:paraId="5114BA10">
      <w:r>
        <w:t xml:space="preserve">Thus we propose the following revised proposals on LOS/NLOS indicator for Case 3a. </w:t>
      </w:r>
    </w:p>
    <w:p w14:paraId="5E87E9F8">
      <w:pPr>
        <w:pStyle w:val="73"/>
      </w:pPr>
      <w:bookmarkStart w:id="2043" w:name="_Toc189845121"/>
      <w:r>
        <w:t xml:space="preserve">For AI/ML assisted positioning Case 3a, when the LOS/NLOS indicator is reported, from RAN1 perspective, the LOS/NLOS indicator provides information on the likelihood of a physical Line-of-Sight propagation path from the source to the receiver with a value of 1 corresponding to LOS and a value of 0 corresponding to NLOS; the LOS/NLOS indicator reuse the same format as the </w:t>
      </w:r>
      <w:r>
        <w:rPr>
          <w:szCs w:val="20"/>
        </w:rPr>
        <w:t>existing IE "</w:t>
      </w:r>
      <w:r>
        <w:t>LOS/NLOS Information</w:t>
      </w:r>
      <w:r>
        <w:rPr>
          <w:szCs w:val="20"/>
        </w:rPr>
        <w:t>" in 38.455</w:t>
      </w:r>
      <w:r>
        <w:t>.</w:t>
      </w:r>
      <w:bookmarkEnd w:id="2043"/>
    </w:p>
    <w:p w14:paraId="32024F5E">
      <w:pPr>
        <w:pStyle w:val="73"/>
      </w:pPr>
      <w:bookmarkStart w:id="2044" w:name="_Toc189845122"/>
      <w:r>
        <w:t>(for conclusion) For AI/ML assisted positioning, when the LOS/NLOS indicator is reported for Rel-19 Case 3a, do not support an indication of whether the LOS/NLOS indicator is obtained via a model output or via legacy method.</w:t>
      </w:r>
      <w:bookmarkEnd w:id="2044"/>
    </w:p>
    <w:p w14:paraId="1F27A50A">
      <w:pPr>
        <w:pStyle w:val="73"/>
      </w:pPr>
      <w:bookmarkStart w:id="2045" w:name="_Toc189845123"/>
      <w:r>
        <w:rPr>
          <w:lang w:val="en-GB"/>
        </w:rPr>
        <w:t>From RAN1 perspective, when timing information is reported for Rel-19</w:t>
      </w:r>
      <w:r>
        <w:rPr>
          <w:rFonts w:hint="eastAsia"/>
          <w:lang w:val="en-GB"/>
        </w:rPr>
        <w:t xml:space="preserve"> </w:t>
      </w:r>
      <w:r>
        <w:rPr>
          <w:lang w:val="en-GB"/>
        </w:rPr>
        <w:t xml:space="preserve">AI/ML positioning Case 3a, </w:t>
      </w:r>
      <w:r>
        <w:t xml:space="preserve">one LOS/NLOS indicator is optionally reported per TRP </w:t>
      </w:r>
      <w:r>
        <w:rPr>
          <w:lang w:val="en-GB"/>
        </w:rPr>
        <w:t xml:space="preserve">in a measurement report from gNB to LMF, </w:t>
      </w:r>
      <w:r>
        <w:t>as in the existing specification</w:t>
      </w:r>
      <w:r>
        <w:rPr>
          <w:lang w:val="en-GB"/>
        </w:rPr>
        <w:t>.</w:t>
      </w:r>
      <w:bookmarkEnd w:id="2045"/>
      <w:r>
        <w:rPr>
          <w:lang w:val="en-GB"/>
        </w:rPr>
        <w:t xml:space="preserve"> </w:t>
      </w:r>
    </w:p>
    <w:p w14:paraId="4EF33138">
      <w:pPr>
        <w:pStyle w:val="73"/>
        <w:spacing w:after="0"/>
      </w:pPr>
      <w:bookmarkStart w:id="2046" w:name="_Toc189845124"/>
      <w:r>
        <w:t>For measurement report of AI/ML assisted positioning Case 3a, when timing information is reported from gNB to LMF, LMF shall be able to distinguish whether the timing information is obtained for Rel-19 measurement report (virtual LOS link) or for legacy measurement report (physical LOS link).</w:t>
      </w:r>
      <w:bookmarkEnd w:id="2046"/>
      <w:r>
        <w:t xml:space="preserve"> </w:t>
      </w:r>
    </w:p>
    <w:p w14:paraId="62B42136">
      <w:pPr>
        <w:pStyle w:val="73"/>
        <w:numPr>
          <w:ilvl w:val="0"/>
          <w:numId w:val="44"/>
        </w:numPr>
        <w:tabs>
          <w:tab w:val="clear" w:pos="1304"/>
        </w:tabs>
        <w:spacing w:after="0"/>
        <w:ind w:left="1710" w:hanging="584"/>
      </w:pPr>
      <w:bookmarkStart w:id="2047" w:name="_Toc189845125"/>
      <w:r>
        <w:t>For timing information obtained for Rel-19 measurement report, If a timing measurement is reported together with the LOS/NLOS indicator, the indicator status (for physical LOS/NLOS) is decoupled from the reported timing measurement (for virtual LOS)</w:t>
      </w:r>
      <w:bookmarkEnd w:id="2047"/>
    </w:p>
    <w:p w14:paraId="336AF5BA">
      <w:pPr>
        <w:pStyle w:val="73"/>
        <w:numPr>
          <w:ilvl w:val="0"/>
          <w:numId w:val="44"/>
        </w:numPr>
        <w:tabs>
          <w:tab w:val="clear" w:pos="1304"/>
        </w:tabs>
        <w:spacing w:after="0"/>
        <w:ind w:left="1710" w:hanging="584"/>
      </w:pPr>
      <w:bookmarkStart w:id="2048" w:name="_Toc189845126"/>
      <w:r>
        <w:t>Note: when the TRP-UE radio link is LOS, the virtual LOS coincides with the physical LOS.</w:t>
      </w:r>
      <w:bookmarkEnd w:id="2048"/>
      <w:r>
        <w:t xml:space="preserve"> </w:t>
      </w:r>
    </w:p>
    <w:p w14:paraId="0F1D4936">
      <w:pPr>
        <w:pStyle w:val="73"/>
        <w:numPr>
          <w:ilvl w:val="0"/>
          <w:numId w:val="44"/>
        </w:numPr>
        <w:tabs>
          <w:tab w:val="clear" w:pos="1304"/>
        </w:tabs>
        <w:spacing w:after="0"/>
        <w:ind w:left="1710" w:hanging="584"/>
        <w:rPr>
          <w:rFonts w:eastAsia="等线"/>
          <w:szCs w:val="20"/>
        </w:rPr>
      </w:pPr>
      <w:bookmarkStart w:id="2049" w:name="_Toc189845127"/>
      <w:r>
        <w:t>Details of how to associate the Rel-19 timing information with virtual LOS is up to RAN2/3, e.g. indication in measurement report, or configuration in measurement request.</w:t>
      </w:r>
      <w:bookmarkEnd w:id="2049"/>
      <w:r>
        <w:t xml:space="preserve">  </w:t>
      </w:r>
      <w:bookmarkStart w:id="2050" w:name="_Toc189835433"/>
      <w:bookmarkEnd w:id="2050"/>
      <w:bookmarkStart w:id="2051" w:name="_Toc189125159"/>
      <w:bookmarkEnd w:id="2051"/>
      <w:bookmarkStart w:id="2052" w:name="_Hlk181976871"/>
    </w:p>
    <w:bookmarkEnd w:id="2052"/>
    <w:p w14:paraId="75B1D293">
      <w:pPr>
        <w:pStyle w:val="73"/>
        <w:numPr>
          <w:ilvl w:val="0"/>
          <w:numId w:val="0"/>
        </w:numPr>
      </w:pPr>
    </w:p>
    <w:p w14:paraId="73D02508">
      <w:pPr>
        <w:pStyle w:val="4"/>
        <w:rPr>
          <w:lang w:val="en-US"/>
        </w:rPr>
      </w:pPr>
      <w:bookmarkStart w:id="2053" w:name="_Toc189845029"/>
      <w:bookmarkStart w:id="2054" w:name="_Toc165991005"/>
      <w:r>
        <w:rPr>
          <w:lang w:val="en-US"/>
        </w:rPr>
        <w:t>Timing information</w:t>
      </w:r>
      <w:bookmarkEnd w:id="2053"/>
      <w:bookmarkEnd w:id="2054"/>
      <w:r>
        <w:rPr>
          <w:lang w:val="en-US"/>
        </w:rPr>
        <w:t xml:space="preserve"> </w:t>
      </w:r>
    </w:p>
    <w:p w14:paraId="2B05B527">
      <w:r>
        <w:t>For AI/ML assisted positioning, RAN1 has agreed that the reported timing information are reported in the format of UL-RTOA, DL-RSTD, gNB RxTxTimeDiff and UE RxTxTimeDiff. Thus, the existing measurement reporting in LPP and NRPPa can be easily reused.</w:t>
      </w:r>
    </w:p>
    <w:p w14:paraId="37474447">
      <w:pPr>
        <w:pStyle w:val="73"/>
      </w:pPr>
      <w:bookmarkStart w:id="2055" w:name="_Toc189845128"/>
      <w:r>
        <w:t>Reuse the existing measurement reporting in LPP and NRPPa to report timing information for the model output of AI/ML assisted positioning.</w:t>
      </w:r>
      <w:bookmarkEnd w:id="2055"/>
    </w:p>
    <w:p w14:paraId="44426671">
      <w:pPr>
        <w:rPr>
          <w:szCs w:val="18"/>
          <w:lang w:eastAsia="en-GB"/>
        </w:rPr>
      </w:pPr>
      <w:r>
        <w:rPr>
          <w:szCs w:val="18"/>
          <w:lang w:eastAsia="en-GB"/>
        </w:rPr>
        <w:t xml:space="preserve">For Case 3a, after model output (UL-RTOA) is generated, post processing can be applied to the model output to generate the timing information for measurement report, where the reported timing information can follow any desired format according to the associated legacy positioning method. This is illustrated in </w:t>
      </w:r>
      <w:r>
        <w:rPr>
          <w:szCs w:val="18"/>
          <w:lang w:eastAsia="en-GB"/>
        </w:rPr>
        <w:fldChar w:fldCharType="begin"/>
      </w:r>
      <w:r>
        <w:rPr>
          <w:szCs w:val="18"/>
          <w:lang w:eastAsia="en-GB"/>
        </w:rPr>
        <w:instrText xml:space="preserve"> REF _Ref163145283 </w:instrText>
      </w:r>
      <w:r>
        <w:rPr>
          <w:szCs w:val="18"/>
          <w:lang w:eastAsia="en-GB"/>
        </w:rPr>
        <w:fldChar w:fldCharType="separate"/>
      </w:r>
      <w:r>
        <w:t>Figure 3</w:t>
      </w:r>
      <w:r>
        <w:rPr>
          <w:szCs w:val="18"/>
          <w:lang w:eastAsia="en-GB"/>
        </w:rPr>
        <w:fldChar w:fldCharType="end"/>
      </w:r>
      <w:r>
        <w:rPr>
          <w:szCs w:val="18"/>
          <w:lang w:eastAsia="en-GB"/>
        </w:rPr>
        <w:t>.</w:t>
      </w:r>
    </w:p>
    <w:p w14:paraId="679592C4"/>
    <w:p w14:paraId="5F9E2BA8">
      <w:r>
        <w:drawing>
          <wp:inline distT="0" distB="0" distL="0" distR="0">
            <wp:extent cx="5940425" cy="24796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52556" cy="2484868"/>
                    </a:xfrm>
                    <a:prstGeom prst="rect">
                      <a:avLst/>
                    </a:prstGeom>
                    <a:noFill/>
                  </pic:spPr>
                </pic:pic>
              </a:graphicData>
            </a:graphic>
          </wp:inline>
        </w:drawing>
      </w:r>
    </w:p>
    <w:p w14:paraId="3B430BDD">
      <w:pPr>
        <w:pStyle w:val="29"/>
        <w:rPr>
          <w:b w:val="0"/>
          <w:bCs/>
        </w:rPr>
      </w:pPr>
      <w:bookmarkStart w:id="2056" w:name="_Ref163145283"/>
      <w:bookmarkStart w:id="2057" w:name="_Ref178784889"/>
      <w:r>
        <w:t xml:space="preserve">Figure </w:t>
      </w:r>
      <w:r>
        <w:fldChar w:fldCharType="begin"/>
      </w:r>
      <w:r>
        <w:instrText xml:space="preserve"> SEQ Figure \* ARABIC </w:instrText>
      </w:r>
      <w:r>
        <w:fldChar w:fldCharType="separate"/>
      </w:r>
      <w:r>
        <w:t>3</w:t>
      </w:r>
      <w:r>
        <w:fldChar w:fldCharType="end"/>
      </w:r>
      <w:bookmarkEnd w:id="2056"/>
      <w:r>
        <w:t>. Illustration of postprocessing AI/ML assisted model output to provide measurements for reporting to LMF.</w:t>
      </w:r>
      <w:bookmarkEnd w:id="2057"/>
    </w:p>
    <w:p w14:paraId="45818957"/>
    <w:p w14:paraId="1E1F1A05">
      <w:r>
        <w:t xml:space="preserve">As illustrated in </w:t>
      </w:r>
      <w:r>
        <w:fldChar w:fldCharType="begin"/>
      </w:r>
      <w:r>
        <w:instrText xml:space="preserve"> REF _Ref163145283 </w:instrText>
      </w:r>
      <w:r>
        <w:fldChar w:fldCharType="separate"/>
      </w:r>
      <w:r>
        <w:t>Figure 3</w:t>
      </w:r>
      <w:r>
        <w:fldChar w:fldCharType="end"/>
      </w:r>
      <w:r>
        <w:t>, thanks to the postprocessing of model output, only one model needs to be trained and maintained for Case 3a, regardless of the TRP measurement result to report. This has several benefits compared to having different models for different measurement results (i.e., UL RTOA, gNB RxTxTimeDiff):</w:t>
      </w:r>
    </w:p>
    <w:p w14:paraId="45A67B70">
      <w:pPr>
        <w:pStyle w:val="133"/>
        <w:numPr>
          <w:ilvl w:val="0"/>
          <w:numId w:val="44"/>
        </w:numPr>
        <w:tabs>
          <w:tab w:val="clear" w:pos="1304"/>
        </w:tabs>
        <w:ind w:left="900" w:hanging="540"/>
      </w:pPr>
      <w:r>
        <w:t>For all LCM stages including training data collection, model training and model monitoring, the complexity and overhead are much lower when only one model is needed instead of two;</w:t>
      </w:r>
    </w:p>
    <w:p w14:paraId="47A3CC5F">
      <w:pPr>
        <w:pStyle w:val="133"/>
        <w:numPr>
          <w:ilvl w:val="0"/>
          <w:numId w:val="44"/>
        </w:numPr>
        <w:tabs>
          <w:tab w:val="clear" w:pos="1304"/>
        </w:tabs>
        <w:ind w:left="900" w:hanging="540"/>
      </w:pPr>
      <w:r>
        <w:t>For model inference, using one model instead of two saves chip area, memory requirement, cost, and power consumption.</w:t>
      </w:r>
    </w:p>
    <w:p w14:paraId="6BCA9940">
      <w:pPr>
        <w:pStyle w:val="133"/>
        <w:numPr>
          <w:ilvl w:val="0"/>
          <w:numId w:val="44"/>
        </w:numPr>
        <w:tabs>
          <w:tab w:val="clear" w:pos="1304"/>
        </w:tabs>
        <w:ind w:left="900" w:hanging="540"/>
      </w:pPr>
      <w:r>
        <w:t>For model inference, the LMF can freely make a request for UL RTOA or gNB RxTxTimeDiff without considering that gNB may need an extra delay to switch models, if the gNB needs to activate a different model according to the measurement request.</w:t>
      </w:r>
    </w:p>
    <w:p w14:paraId="446E56F5"/>
    <w:p w14:paraId="653D21AA">
      <w:r>
        <w:t>Based on the discussion above, the following are proposed.</w:t>
      </w:r>
    </w:p>
    <w:p w14:paraId="548DB0EC">
      <w:pPr>
        <w:pStyle w:val="73"/>
      </w:pPr>
      <w:bookmarkStart w:id="2058" w:name="_Toc189845129"/>
      <w:r>
        <w:t>For AI/ML assisted positioning at gNB (Case 3a), the model output is uplink relative time of arrival (</w:t>
      </w:r>
      <w:r>
        <w:rPr>
          <w:rFonts w:cs="Arial"/>
          <w:szCs w:val="18"/>
          <w:lang w:eastAsia="en-GB"/>
        </w:rPr>
        <w:t>T</w:t>
      </w:r>
      <w:r>
        <w:rPr>
          <w:rFonts w:cs="Arial"/>
          <w:szCs w:val="18"/>
          <w:vertAlign w:val="subscript"/>
          <w:lang w:eastAsia="en-GB"/>
        </w:rPr>
        <w:t>UL-RTOA</w:t>
      </w:r>
      <w:r>
        <w:t>).</w:t>
      </w:r>
      <w:bookmarkEnd w:id="2058"/>
    </w:p>
    <w:p w14:paraId="79C82E65">
      <w:pPr>
        <w:pStyle w:val="73"/>
        <w:rPr>
          <w:rFonts w:ascii="Calibri" w:hAnsi="Calibri"/>
          <w:sz w:val="20"/>
          <w:szCs w:val="22"/>
        </w:rPr>
      </w:pPr>
      <w:bookmarkStart w:id="2059" w:name="_Toc189845130"/>
      <w:r>
        <w:t>For AI/ML assisted positioning at gNB (Case 3a), postprocessing is applied to generate gNB RxTxTimeDiff for measurement reporting of multi-RTT method.</w:t>
      </w:r>
      <w:bookmarkEnd w:id="2059"/>
      <w:bookmarkStart w:id="2060" w:name="_Toc178709218"/>
      <w:bookmarkEnd w:id="2060"/>
      <w:bookmarkStart w:id="2061" w:name="_Toc178706240"/>
      <w:bookmarkEnd w:id="2061"/>
      <w:bookmarkStart w:id="2062" w:name="_Toc178705338"/>
      <w:bookmarkEnd w:id="2062"/>
      <w:bookmarkStart w:id="2063" w:name="_Toc189835438"/>
      <w:bookmarkEnd w:id="2063"/>
      <w:bookmarkStart w:id="2064" w:name="_Toc189835443"/>
      <w:bookmarkEnd w:id="2064"/>
      <w:bookmarkStart w:id="2065" w:name="_Toc189125171"/>
      <w:bookmarkEnd w:id="2065"/>
      <w:bookmarkStart w:id="2066" w:name="_Toc189125170"/>
      <w:bookmarkEnd w:id="2066"/>
      <w:bookmarkStart w:id="2067" w:name="_Toc173851174"/>
      <w:bookmarkEnd w:id="2067"/>
      <w:bookmarkStart w:id="2068" w:name="_Toc173940926"/>
      <w:bookmarkEnd w:id="2068"/>
      <w:bookmarkStart w:id="2069" w:name="_Toc189835439"/>
      <w:bookmarkEnd w:id="2069"/>
      <w:bookmarkStart w:id="2070" w:name="_Toc178706241"/>
      <w:bookmarkEnd w:id="2070"/>
      <w:bookmarkStart w:id="2071" w:name="_Toc189125172"/>
      <w:bookmarkEnd w:id="2071"/>
      <w:bookmarkStart w:id="2072" w:name="_Toc189125173"/>
      <w:bookmarkEnd w:id="2072"/>
      <w:bookmarkStart w:id="2073" w:name="_Toc189835446"/>
      <w:bookmarkEnd w:id="2073"/>
      <w:bookmarkStart w:id="2074" w:name="_Toc189835441"/>
      <w:bookmarkEnd w:id="2074"/>
      <w:bookmarkStart w:id="2075" w:name="_Toc189125174"/>
      <w:bookmarkEnd w:id="2075"/>
      <w:bookmarkStart w:id="2076" w:name="_Toc189835447"/>
      <w:bookmarkEnd w:id="2076"/>
      <w:bookmarkStart w:id="2077" w:name="_Toc178709219"/>
      <w:bookmarkEnd w:id="2077"/>
      <w:bookmarkStart w:id="2078" w:name="_Toc178929542"/>
      <w:bookmarkEnd w:id="2078"/>
      <w:bookmarkStart w:id="2079" w:name="_Toc189125166"/>
      <w:bookmarkEnd w:id="2079"/>
      <w:bookmarkStart w:id="2080" w:name="_Toc189125167"/>
      <w:bookmarkEnd w:id="2080"/>
      <w:bookmarkStart w:id="2081" w:name="_Toc189835440"/>
      <w:bookmarkEnd w:id="2081"/>
      <w:bookmarkStart w:id="2082" w:name="_Toc189835445"/>
      <w:bookmarkEnd w:id="2082"/>
      <w:bookmarkStart w:id="2083" w:name="_Toc178772941"/>
      <w:bookmarkEnd w:id="2083"/>
      <w:bookmarkStart w:id="2084" w:name="_Toc189125169"/>
      <w:bookmarkEnd w:id="2084"/>
      <w:bookmarkStart w:id="2085" w:name="_Toc189125165"/>
      <w:bookmarkEnd w:id="2085"/>
      <w:bookmarkStart w:id="2086" w:name="_Toc189125168"/>
      <w:bookmarkEnd w:id="2086"/>
      <w:bookmarkStart w:id="2087" w:name="_Toc178929543"/>
      <w:bookmarkEnd w:id="2087"/>
      <w:bookmarkStart w:id="2088" w:name="_Toc178705339"/>
      <w:bookmarkEnd w:id="2088"/>
      <w:bookmarkStart w:id="2089" w:name="_Toc189835442"/>
      <w:bookmarkEnd w:id="2089"/>
      <w:bookmarkStart w:id="2090" w:name="_Toc178772940"/>
      <w:bookmarkEnd w:id="2090"/>
      <w:bookmarkStart w:id="2091" w:name="_Toc189835444"/>
      <w:bookmarkEnd w:id="2091"/>
    </w:p>
    <w:p w14:paraId="779669C6">
      <w:pPr>
        <w:pStyle w:val="4"/>
      </w:pPr>
      <w:bookmarkStart w:id="2092" w:name="_Toc165991007"/>
      <w:bookmarkStart w:id="2093" w:name="_Toc189845030"/>
      <w:r>
        <w:rPr>
          <w:lang w:val="en-US"/>
        </w:rPr>
        <w:t>Indication of AI/ML assistance in generating measurement reports</w:t>
      </w:r>
      <w:bookmarkEnd w:id="2092"/>
      <w:bookmarkEnd w:id="2093"/>
    </w:p>
    <w:p w14:paraId="2FF8D1D0">
      <w:r>
        <w:t xml:space="preserve">Based on the previous section, it is clear that there is a need to differentiate measurements generated with AI/ML model assistance from legacy measurements, since the actual interpretation of the timing measurement differs. </w:t>
      </w:r>
    </w:p>
    <w:p w14:paraId="7795D819">
      <w:r>
        <w:t>To identify the meaning of the timing information sent to LMF, and more generally what part of the UE/gNB report is produced with assistance from the AI/ML model, we see three possible options:</w:t>
      </w:r>
    </w:p>
    <w:p w14:paraId="4A90387C">
      <w:pPr>
        <w:pStyle w:val="133"/>
        <w:numPr>
          <w:ilvl w:val="0"/>
          <w:numId w:val="18"/>
        </w:numPr>
      </w:pPr>
      <w:r>
        <w:t>Option 1: A new report message specific to AI/ML assisted positioning cases 3a/2a</w:t>
      </w:r>
    </w:p>
    <w:p w14:paraId="19D3BB33">
      <w:pPr>
        <w:pStyle w:val="133"/>
        <w:numPr>
          <w:ilvl w:val="0"/>
          <w:numId w:val="18"/>
        </w:numPr>
      </w:pPr>
      <w:r>
        <w:t>Option 2: an indicator in the existing report, indicating that the report was produced using AI/ML assistance.</w:t>
      </w:r>
    </w:p>
    <w:p w14:paraId="6AC1584F">
      <w:pPr>
        <w:pStyle w:val="133"/>
        <w:numPr>
          <w:ilvl w:val="0"/>
          <w:numId w:val="18"/>
        </w:numPr>
      </w:pPr>
      <w:r>
        <w:t xml:space="preserve">Option 3: an indicator is attached to the elements of the reports where AI/ML was used to generate it. </w:t>
      </w:r>
    </w:p>
    <w:p w14:paraId="073C9677">
      <w:r>
        <w:t xml:space="preserve">All options could be discussed by RAN3/RAN2 in terms of signaling optimization, but RAN1 is responsible for answering whether the LMF needs to know exactly what part of the report was using AIML.  In our understanding, Case 3a and Case 2a measurement reports will consist of measurements only produced by AI/ML. For example, line of sight indication, UL-RTOA, DL RSTD measurement will be based on the model output. Hence from our perspective, it is sufficient to indicate to the LMF that the measurement report as a whole is based on AI/ML model output, without having to tag each quantity in the report (e.g. LOS indication, RSTD measurement, additional measurement, etc) with a “made with AI” indicator. </w:t>
      </w:r>
    </w:p>
    <w:p w14:paraId="41A3263B">
      <w:pPr>
        <w:pStyle w:val="73"/>
      </w:pPr>
      <w:bookmarkStart w:id="2094" w:name="_Toc189845131"/>
      <w:r>
        <w:t>For AI/ML assisted positioning at gNB (Case 3a) and UE (Case 2a), the measurement report contains an indicator that AI/ML is used to produce the measurements. The signaling details are up to RAN3/RAN2.</w:t>
      </w:r>
      <w:bookmarkEnd w:id="2094"/>
    </w:p>
    <w:p w14:paraId="5FAF7191">
      <w:pPr>
        <w:pStyle w:val="2"/>
        <w:rPr>
          <w:lang w:val="en-US"/>
        </w:rPr>
      </w:pPr>
      <w:bookmarkStart w:id="2095" w:name="_Toc189845031"/>
      <w:bookmarkStart w:id="2096" w:name="_Toc165991008"/>
      <w:r>
        <w:rPr>
          <w:lang w:val="en-US"/>
        </w:rPr>
        <w:t>Training data collection</w:t>
      </w:r>
      <w:bookmarkEnd w:id="2095"/>
      <w:bookmarkEnd w:id="2096"/>
    </w:p>
    <w:p w14:paraId="74281568">
      <w:pPr>
        <w:pStyle w:val="3"/>
        <w:rPr>
          <w:lang w:val="en-US"/>
        </w:rPr>
      </w:pPr>
      <w:bookmarkStart w:id="2097" w:name="_Toc189845032"/>
      <w:bookmarkStart w:id="2098" w:name="_Toc165991009"/>
      <w:r>
        <w:rPr>
          <w:lang w:val="en-US"/>
        </w:rPr>
        <w:t>Content of training data samples</w:t>
      </w:r>
      <w:bookmarkEnd w:id="2097"/>
      <w:bookmarkEnd w:id="2098"/>
    </w:p>
    <w:p w14:paraId="51D0457C">
      <w:r>
        <w:t>For the data samples to be collected for training, the following agreement was made in RAN1#116bis.</w:t>
      </w:r>
    </w:p>
    <w:tbl>
      <w:tblPr>
        <w:tblStyle w:val="52"/>
        <w:tblW w:w="99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0"/>
      </w:tblGrid>
      <w:tr w14:paraId="16A9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0" w:type="dxa"/>
          </w:tcPr>
          <w:p w14:paraId="238B5F6B">
            <w:pPr>
              <w:spacing w:after="0"/>
              <w:rPr>
                <w:rFonts w:ascii="Times" w:hAnsi="Times" w:eastAsia="等线"/>
                <w:sz w:val="18"/>
                <w:szCs w:val="18"/>
                <w:highlight w:val="green"/>
                <w:lang w:val="en-GB" w:eastAsia="zh-CN"/>
              </w:rPr>
            </w:pPr>
            <w:r>
              <w:rPr>
                <w:rFonts w:hint="eastAsia" w:ascii="Times" w:hAnsi="Times" w:eastAsia="等线"/>
                <w:sz w:val="18"/>
                <w:szCs w:val="18"/>
                <w:highlight w:val="green"/>
                <w:lang w:val="en-GB" w:eastAsia="zh-CN"/>
              </w:rPr>
              <w:t>Agreement</w:t>
            </w:r>
          </w:p>
          <w:p w14:paraId="34D849EA">
            <w:pPr>
              <w:spacing w:after="0"/>
              <w:rPr>
                <w:rFonts w:ascii="Times" w:hAnsi="Times" w:eastAsia="Batang"/>
                <w:sz w:val="18"/>
                <w:szCs w:val="18"/>
                <w:lang w:val="en-GB"/>
              </w:rPr>
            </w:pPr>
            <w:r>
              <w:rPr>
                <w:rFonts w:ascii="Times" w:hAnsi="Times" w:eastAsia="Batang"/>
                <w:sz w:val="18"/>
                <w:szCs w:val="18"/>
                <w:lang w:val="en-GB"/>
              </w:rPr>
              <w:t xml:space="preserve">For training data collection of AI/ML based positioning, the collected data sample </w:t>
            </w:r>
            <w:r>
              <w:rPr>
                <w:rFonts w:hint="eastAsia" w:ascii="Times" w:hAnsi="Times" w:eastAsia="等线"/>
                <w:sz w:val="18"/>
                <w:szCs w:val="18"/>
                <w:lang w:val="en-GB" w:eastAsia="zh-CN"/>
              </w:rPr>
              <w:t>can include</w:t>
            </w:r>
            <w:r>
              <w:rPr>
                <w:rFonts w:ascii="Times" w:hAnsi="Times" w:eastAsia="Batang"/>
                <w:sz w:val="18"/>
                <w:szCs w:val="18"/>
                <w:lang w:val="en-GB"/>
              </w:rPr>
              <w:t xml:space="preserve"> the following components:</w:t>
            </w:r>
          </w:p>
          <w:p w14:paraId="689858C4">
            <w:pPr>
              <w:spacing w:after="0"/>
              <w:rPr>
                <w:rFonts w:ascii="Times" w:hAnsi="Times" w:eastAsia="Batang"/>
                <w:sz w:val="18"/>
                <w:szCs w:val="18"/>
                <w:lang w:val="en-GB"/>
              </w:rPr>
            </w:pPr>
            <w:r>
              <w:rPr>
                <w:rFonts w:ascii="Times" w:hAnsi="Times" w:eastAsia="Batang"/>
                <w:sz w:val="18"/>
                <w:szCs w:val="18"/>
                <w:lang w:val="en-GB"/>
              </w:rPr>
              <w:t>Part A:</w:t>
            </w:r>
          </w:p>
          <w:p w14:paraId="37925156">
            <w:pPr>
              <w:widowControl w:val="0"/>
              <w:numPr>
                <w:ilvl w:val="0"/>
                <w:numId w:val="21"/>
              </w:numPr>
              <w:spacing w:after="0"/>
              <w:jc w:val="both"/>
              <w:rPr>
                <w:rFonts w:ascii="Times" w:hAnsi="Times" w:eastAsia="Batang"/>
                <w:sz w:val="18"/>
                <w:szCs w:val="18"/>
                <w:lang w:eastAsia="zh-CN"/>
              </w:rPr>
            </w:pPr>
            <w:r>
              <w:rPr>
                <w:rFonts w:ascii="Times" w:hAnsi="Times" w:cs="Calibri"/>
                <w:sz w:val="18"/>
                <w:szCs w:val="18"/>
                <w:lang w:eastAsia="zh-CN"/>
              </w:rPr>
              <w:t xml:space="preserve">channel measurement </w:t>
            </w:r>
          </w:p>
          <w:p w14:paraId="03472CEF">
            <w:pPr>
              <w:widowControl w:val="0"/>
              <w:numPr>
                <w:ilvl w:val="0"/>
                <w:numId w:val="21"/>
              </w:numPr>
              <w:spacing w:after="0"/>
              <w:jc w:val="both"/>
              <w:rPr>
                <w:rFonts w:ascii="Times" w:hAnsi="Times" w:eastAsia="Batang"/>
                <w:sz w:val="18"/>
                <w:szCs w:val="18"/>
                <w:lang w:val="en-GB" w:eastAsia="zh-CN"/>
              </w:rPr>
            </w:pPr>
            <w:r>
              <w:rPr>
                <w:rFonts w:ascii="Times" w:hAnsi="Times" w:cs="Calibri"/>
                <w:sz w:val="18"/>
                <w:szCs w:val="18"/>
                <w:lang w:eastAsia="zh-CN"/>
              </w:rPr>
              <w:t>quality indicator of channel measurement</w:t>
            </w:r>
          </w:p>
          <w:p w14:paraId="5C937463">
            <w:pPr>
              <w:widowControl w:val="0"/>
              <w:numPr>
                <w:ilvl w:val="0"/>
                <w:numId w:val="21"/>
              </w:numPr>
              <w:spacing w:after="0"/>
              <w:jc w:val="both"/>
              <w:rPr>
                <w:rFonts w:ascii="Times" w:hAnsi="Times" w:eastAsia="Batang"/>
                <w:sz w:val="18"/>
                <w:szCs w:val="18"/>
                <w:lang w:val="en-GB" w:eastAsia="zh-CN"/>
              </w:rPr>
            </w:pPr>
            <w:r>
              <w:rPr>
                <w:rFonts w:ascii="Times" w:hAnsi="Times" w:cs="Calibri"/>
                <w:sz w:val="18"/>
                <w:szCs w:val="18"/>
                <w:lang w:eastAsia="zh-CN"/>
              </w:rPr>
              <w:t>time stamp of channel measurement</w:t>
            </w:r>
          </w:p>
          <w:p w14:paraId="1FE4D036">
            <w:pPr>
              <w:spacing w:after="0"/>
              <w:rPr>
                <w:rFonts w:ascii="Times" w:hAnsi="Times" w:eastAsia="Batang"/>
                <w:sz w:val="18"/>
                <w:szCs w:val="18"/>
                <w:lang w:val="en-GB"/>
              </w:rPr>
            </w:pPr>
            <w:r>
              <w:rPr>
                <w:rFonts w:ascii="Times" w:hAnsi="Times" w:eastAsia="Batang"/>
                <w:sz w:val="18"/>
                <w:szCs w:val="18"/>
                <w:lang w:val="en-GB"/>
              </w:rPr>
              <w:t>Part B:</w:t>
            </w:r>
          </w:p>
          <w:p w14:paraId="281474B8">
            <w:pPr>
              <w:widowControl w:val="0"/>
              <w:numPr>
                <w:ilvl w:val="0"/>
                <w:numId w:val="21"/>
              </w:numPr>
              <w:spacing w:after="0"/>
              <w:jc w:val="both"/>
              <w:rPr>
                <w:rFonts w:ascii="Times" w:hAnsi="Times" w:eastAsia="Batang"/>
                <w:sz w:val="18"/>
                <w:szCs w:val="18"/>
                <w:lang w:eastAsia="zh-CN"/>
              </w:rPr>
            </w:pPr>
            <w:r>
              <w:rPr>
                <w:rFonts w:ascii="Times" w:hAnsi="Times" w:cs="Calibri"/>
                <w:sz w:val="18"/>
                <w:szCs w:val="18"/>
                <w:lang w:eastAsia="zh-CN"/>
              </w:rPr>
              <w:t>ground truth label (or its approximation)</w:t>
            </w:r>
          </w:p>
          <w:p w14:paraId="33CE8D2A">
            <w:pPr>
              <w:widowControl w:val="0"/>
              <w:numPr>
                <w:ilvl w:val="0"/>
                <w:numId w:val="21"/>
              </w:numPr>
              <w:spacing w:after="0"/>
              <w:jc w:val="both"/>
              <w:rPr>
                <w:rFonts w:ascii="Times" w:hAnsi="Times" w:eastAsia="Batang"/>
                <w:sz w:val="18"/>
                <w:szCs w:val="18"/>
                <w:lang w:val="en-GB" w:eastAsia="zh-CN"/>
              </w:rPr>
            </w:pPr>
            <w:r>
              <w:rPr>
                <w:rFonts w:ascii="Times" w:hAnsi="Times" w:cs="Calibri"/>
                <w:sz w:val="18"/>
                <w:szCs w:val="18"/>
                <w:lang w:eastAsia="zh-CN"/>
              </w:rPr>
              <w:t>quality indicator of label</w:t>
            </w:r>
          </w:p>
          <w:p w14:paraId="160A4154">
            <w:pPr>
              <w:widowControl w:val="0"/>
              <w:numPr>
                <w:ilvl w:val="0"/>
                <w:numId w:val="21"/>
              </w:numPr>
              <w:spacing w:after="0"/>
              <w:jc w:val="both"/>
              <w:rPr>
                <w:rFonts w:ascii="Times" w:hAnsi="Times" w:eastAsia="Batang"/>
                <w:sz w:val="18"/>
                <w:szCs w:val="18"/>
                <w:lang w:val="en-GB" w:eastAsia="zh-CN"/>
              </w:rPr>
            </w:pPr>
            <w:r>
              <w:rPr>
                <w:rFonts w:ascii="Times" w:hAnsi="Times" w:cs="Calibri"/>
                <w:sz w:val="18"/>
                <w:szCs w:val="18"/>
                <w:lang w:eastAsia="zh-CN"/>
              </w:rPr>
              <w:t>time stamp of label</w:t>
            </w:r>
          </w:p>
          <w:p w14:paraId="2278E86B">
            <w:pPr>
              <w:spacing w:after="0"/>
              <w:rPr>
                <w:rFonts w:ascii="Times" w:hAnsi="Times" w:eastAsia="Batang"/>
                <w:sz w:val="18"/>
                <w:szCs w:val="18"/>
                <w:lang w:val="en-GB"/>
              </w:rPr>
            </w:pPr>
            <w:r>
              <w:rPr>
                <w:rFonts w:ascii="Times" w:hAnsi="Times" w:eastAsia="Batang"/>
                <w:sz w:val="18"/>
                <w:szCs w:val="18"/>
                <w:lang w:val="en-GB"/>
              </w:rPr>
              <w:t xml:space="preserve">Note: “Part A” and “Part B” terminologies are only for RAN1 discussion purpose, and may not be used in specification. </w:t>
            </w:r>
          </w:p>
          <w:p w14:paraId="13790D7E">
            <w:pPr>
              <w:spacing w:after="0"/>
              <w:rPr>
                <w:rFonts w:ascii="Times" w:hAnsi="Times" w:eastAsia="Batang"/>
                <w:sz w:val="18"/>
                <w:szCs w:val="18"/>
                <w:lang w:val="en-GB"/>
              </w:rPr>
            </w:pPr>
            <w:r>
              <w:rPr>
                <w:rFonts w:ascii="Times" w:hAnsi="Times" w:eastAsia="Batang"/>
                <w:sz w:val="18"/>
                <w:szCs w:val="18"/>
                <w:lang w:val="en-GB"/>
              </w:rPr>
              <w:t>Note: contents in Part A and Part B may</w:t>
            </w:r>
            <w:r>
              <w:rPr>
                <w:rFonts w:hint="eastAsia" w:ascii="Times" w:hAnsi="Times" w:eastAsia="等线"/>
                <w:sz w:val="18"/>
                <w:szCs w:val="18"/>
                <w:lang w:val="en-GB" w:eastAsia="zh-CN"/>
              </w:rPr>
              <w:t xml:space="preserve"> or may not</w:t>
            </w:r>
            <w:r>
              <w:rPr>
                <w:rFonts w:ascii="Times" w:hAnsi="Times" w:eastAsia="Batang"/>
                <w:sz w:val="18"/>
                <w:szCs w:val="18"/>
                <w:lang w:val="en-GB"/>
              </w:rPr>
              <w:t xml:space="preserve"> be generated by different entities.</w:t>
            </w:r>
          </w:p>
          <w:p w14:paraId="26074C3A">
            <w:pPr>
              <w:spacing w:after="0"/>
              <w:rPr>
                <w:rFonts w:ascii="Times" w:hAnsi="Times" w:eastAsia="等线"/>
                <w:sz w:val="18"/>
                <w:szCs w:val="18"/>
                <w:lang w:val="en-GB" w:eastAsia="zh-CN"/>
              </w:rPr>
            </w:pPr>
            <w:r>
              <w:rPr>
                <w:rFonts w:hint="eastAsia" w:ascii="Times" w:hAnsi="Times" w:eastAsia="等线"/>
                <w:sz w:val="18"/>
                <w:szCs w:val="18"/>
                <w:lang w:val="en-GB" w:eastAsia="zh-CN"/>
              </w:rPr>
              <w:t>Note</w:t>
            </w:r>
            <w:r>
              <w:rPr>
                <w:rFonts w:ascii="Times" w:hAnsi="Times" w:eastAsia="Batang"/>
                <w:sz w:val="18"/>
                <w:szCs w:val="18"/>
                <w:lang w:val="en-GB"/>
              </w:rPr>
              <w:t>: Part A and/or Part B, and their contents may or may not apply for each case</w:t>
            </w:r>
          </w:p>
          <w:p w14:paraId="0104226B">
            <w:pPr>
              <w:spacing w:after="0"/>
              <w:rPr>
                <w:rFonts w:ascii="Times" w:hAnsi="Times" w:eastAsia="等线"/>
                <w:sz w:val="18"/>
                <w:szCs w:val="18"/>
                <w:lang w:val="en-GB" w:eastAsia="zh-CN"/>
              </w:rPr>
            </w:pPr>
            <w:r>
              <w:rPr>
                <w:rFonts w:hint="eastAsia" w:ascii="Times" w:hAnsi="Times" w:eastAsia="等线"/>
                <w:sz w:val="18"/>
                <w:szCs w:val="18"/>
                <w:lang w:val="en-GB" w:eastAsia="zh-CN"/>
              </w:rPr>
              <w:t>FFS: detailed definition of channel measurement</w:t>
            </w:r>
          </w:p>
        </w:tc>
      </w:tr>
    </w:tbl>
    <w:p w14:paraId="66142D41"/>
    <w:p w14:paraId="48944953">
      <w:r>
        <w:t>For supervised learning, ground truth label needs to be collected for each entry of training data. On the other hand, it may be difficult to obtain a large number of accurate ground truth labels. When ground truth label is not available, the measurement data (corresponding to model input) can still be collected and used by semi-supervised learning. Thus both labelled and un-labelled training data samples can be collected.</w:t>
      </w:r>
    </w:p>
    <w:p w14:paraId="3CF1EA59">
      <w:pPr>
        <w:pStyle w:val="73"/>
      </w:pPr>
      <w:bookmarkStart w:id="2099" w:name="_Toc189845132"/>
      <w:r>
        <w:t>For Rel-19 AI/ML based positioning, support collecting labelled and optionally un-labelled training data samples.</w:t>
      </w:r>
      <w:bookmarkEnd w:id="2099"/>
    </w:p>
    <w:p w14:paraId="060C0140">
      <w:pPr>
        <w:pStyle w:val="73"/>
        <w:numPr>
          <w:ilvl w:val="0"/>
          <w:numId w:val="0"/>
        </w:numPr>
        <w:ind w:left="1304" w:hanging="1304"/>
      </w:pPr>
    </w:p>
    <w:p w14:paraId="03C960C4">
      <w:r>
        <w:t>In the following sub-sections, details on Part A and Part B are further discussed.</w:t>
      </w:r>
    </w:p>
    <w:p w14:paraId="025E81A4">
      <w:pPr>
        <w:pStyle w:val="4"/>
      </w:pPr>
      <w:bookmarkStart w:id="2100" w:name="_Toc189845033"/>
      <w:r>
        <w:t>Time stamp of training data samples</w:t>
      </w:r>
      <w:bookmarkEnd w:id="2100"/>
    </w:p>
    <w:p w14:paraId="233B7199">
      <w:r>
        <w:t>In RAN1#118, the following agreement was made on the time stamp of channel measurement:</w:t>
      </w:r>
    </w:p>
    <w:tbl>
      <w:tblPr>
        <w:tblStyle w:val="52"/>
        <w:tblW w:w="99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0"/>
      </w:tblGrid>
      <w:tr w14:paraId="4736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0" w:type="dxa"/>
          </w:tcPr>
          <w:p w14:paraId="441F79EE">
            <w:pPr>
              <w:spacing w:after="0"/>
              <w:rPr>
                <w:rFonts w:ascii="Times" w:hAnsi="Times" w:eastAsia="等线"/>
                <w:sz w:val="18"/>
                <w:szCs w:val="18"/>
                <w:highlight w:val="green"/>
                <w:lang w:val="en-GB" w:eastAsia="zh-CN"/>
              </w:rPr>
            </w:pPr>
            <w:r>
              <w:rPr>
                <w:rFonts w:ascii="Times" w:hAnsi="Times" w:eastAsia="等线"/>
                <w:sz w:val="18"/>
                <w:szCs w:val="18"/>
                <w:highlight w:val="green"/>
                <w:lang w:eastAsia="zh-CN"/>
              </w:rPr>
              <w:t>Agreement</w:t>
            </w:r>
          </w:p>
          <w:p w14:paraId="069579E7">
            <w:pPr>
              <w:spacing w:after="0"/>
              <w:rPr>
                <w:rFonts w:ascii="Times" w:hAnsi="Times" w:eastAsia="Batang"/>
                <w:sz w:val="18"/>
                <w:szCs w:val="18"/>
                <w:lang w:val="en-GB"/>
              </w:rPr>
            </w:pPr>
            <w:r>
              <w:rPr>
                <w:rFonts w:ascii="Times" w:hAnsi="Times" w:eastAsia="Batang"/>
                <w:sz w:val="18"/>
                <w:szCs w:val="18"/>
              </w:rPr>
              <w:t>For training data collection of AI/ML based positioning</w:t>
            </w:r>
            <w:r>
              <w:rPr>
                <w:rFonts w:ascii="Times" w:hAnsi="Times" w:eastAsia="等线"/>
                <w:sz w:val="18"/>
                <w:szCs w:val="18"/>
                <w:lang w:eastAsia="zh-CN"/>
              </w:rPr>
              <w:t xml:space="preserve"> case 3b</w:t>
            </w:r>
            <w:r>
              <w:rPr>
                <w:rFonts w:ascii="Times" w:hAnsi="Times" w:eastAsia="Batang"/>
                <w:sz w:val="18"/>
                <w:szCs w:val="18"/>
              </w:rPr>
              <w:t xml:space="preserve">, for time stamp of channel measurement, </w:t>
            </w:r>
          </w:p>
          <w:p w14:paraId="2F724F9C">
            <w:pPr>
              <w:numPr>
                <w:ilvl w:val="0"/>
                <w:numId w:val="45"/>
              </w:numPr>
              <w:suppressAutoHyphens/>
              <w:spacing w:after="0" w:line="276" w:lineRule="auto"/>
              <w:rPr>
                <w:rFonts w:ascii="Times" w:hAnsi="Times" w:eastAsia="Batang"/>
                <w:sz w:val="18"/>
                <w:szCs w:val="18"/>
                <w:lang w:eastAsia="zh-CN"/>
              </w:rPr>
            </w:pPr>
            <w:r>
              <w:rPr>
                <w:rFonts w:ascii="Times" w:hAnsi="Times" w:eastAsia="Batang"/>
                <w:sz w:val="18"/>
                <w:szCs w:val="18"/>
                <w:lang w:eastAsia="zh-CN"/>
              </w:rPr>
              <w:t>For channel measurement generated by TRP/gNB, existing IE “Time Stamp” in TS 38.455</w:t>
            </w:r>
            <w:r>
              <w:rPr>
                <w:rFonts w:ascii="Times" w:hAnsi="Times" w:eastAsia="等线"/>
                <w:sz w:val="18"/>
                <w:szCs w:val="18"/>
                <w:lang w:eastAsia="zh-CN"/>
              </w:rPr>
              <w:t xml:space="preserve"> can be reused from RAN1 perspective</w:t>
            </w:r>
          </w:p>
          <w:p w14:paraId="7460F8D2">
            <w:pPr>
              <w:numPr>
                <w:ilvl w:val="0"/>
                <w:numId w:val="46"/>
              </w:numPr>
              <w:spacing w:after="0"/>
              <w:ind w:left="360"/>
              <w:rPr>
                <w:rFonts w:ascii="Times" w:hAnsi="Times" w:eastAsia="Batang" w:cs="Times New Roman"/>
                <w:kern w:val="0"/>
                <w:sz w:val="18"/>
                <w:szCs w:val="18"/>
                <w:lang w:val="en-GB" w:eastAsia="zh-CN"/>
                <w14:ligatures w14:val="none"/>
              </w:rPr>
            </w:pPr>
            <w:r>
              <w:rPr>
                <w:rFonts w:ascii="Times" w:hAnsi="Times" w:eastAsia="Batang" w:cs="Times New Roman"/>
                <w:kern w:val="0"/>
                <w:sz w:val="18"/>
                <w:szCs w:val="18"/>
                <w:lang w:eastAsia="zh-CN"/>
                <w14:ligatures w14:val="none"/>
              </w:rPr>
              <w:t xml:space="preserve">Note: Purpose, such as above </w:t>
            </w:r>
            <w:r>
              <w:rPr>
                <w:rFonts w:ascii="Times" w:hAnsi="Times" w:eastAsia="等线" w:cs="Times New Roman"/>
                <w:kern w:val="0"/>
                <w:sz w:val="18"/>
                <w:szCs w:val="18"/>
                <w:lang w:val="en-GB" w:eastAsia="zh-CN"/>
                <w14:ligatures w14:val="none"/>
              </w:rPr>
              <w:t>“</w:t>
            </w:r>
            <w:r>
              <w:rPr>
                <w:rFonts w:ascii="Times" w:hAnsi="Times" w:eastAsia="Batang" w:cs="Times New Roman"/>
                <w:kern w:val="0"/>
                <w:sz w:val="18"/>
                <w:szCs w:val="18"/>
                <w:lang w:eastAsia="zh-CN"/>
                <w14:ligatures w14:val="none"/>
              </w:rPr>
              <w:t>training data collection</w:t>
            </w:r>
            <w:r>
              <w:rPr>
                <w:rFonts w:ascii="Times" w:hAnsi="Times" w:eastAsia="等线" w:cs="Times New Roman"/>
                <w:kern w:val="0"/>
                <w:sz w:val="18"/>
                <w:szCs w:val="18"/>
                <w:lang w:eastAsia="zh-CN"/>
                <w14:ligatures w14:val="none"/>
              </w:rPr>
              <w:t>"</w:t>
            </w:r>
            <w:r>
              <w:rPr>
                <w:rFonts w:ascii="Times" w:hAnsi="Times" w:eastAsia="Batang" w:cs="Times New Roman"/>
                <w:kern w:val="0"/>
                <w:sz w:val="18"/>
                <w:szCs w:val="18"/>
                <w:lang w:eastAsia="zh-CN"/>
                <w14:ligatures w14:val="none"/>
              </w:rPr>
              <w:t xml:space="preserve">, will not </w:t>
            </w:r>
            <w:r>
              <w:rPr>
                <w:rFonts w:ascii="Times" w:hAnsi="Times" w:eastAsia="等线" w:cs="Times New Roman"/>
                <w:kern w:val="0"/>
                <w:sz w:val="18"/>
                <w:szCs w:val="18"/>
                <w:lang w:eastAsia="zh-CN"/>
                <w14:ligatures w14:val="none"/>
              </w:rPr>
              <w:t xml:space="preserve">necessarily </w:t>
            </w:r>
            <w:r>
              <w:rPr>
                <w:rFonts w:ascii="Times" w:hAnsi="Times" w:eastAsia="Batang" w:cs="Times New Roman"/>
                <w:kern w:val="0"/>
                <w:sz w:val="18"/>
                <w:szCs w:val="18"/>
                <w:lang w:eastAsia="zh-CN"/>
                <w14:ligatures w14:val="none"/>
              </w:rPr>
              <w:t>be specified in RAN 1 specifications</w:t>
            </w:r>
          </w:p>
        </w:tc>
      </w:tr>
    </w:tbl>
    <w:p w14:paraId="197D6D7B">
      <w:pPr>
        <w:pStyle w:val="73"/>
        <w:numPr>
          <w:ilvl w:val="0"/>
          <w:numId w:val="0"/>
        </w:numPr>
        <w:ind w:left="1304" w:hanging="1304"/>
      </w:pPr>
    </w:p>
    <w:p w14:paraId="51CBEE8B">
      <w:r>
        <w:t>In RAN2#127, the following agreement was made on NW side data collection:</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7851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5317FEDA">
            <w:pPr>
              <w:rPr>
                <w:b/>
                <w:sz w:val="18"/>
                <w:szCs w:val="18"/>
              </w:rPr>
            </w:pPr>
            <w:r>
              <w:rPr>
                <w:b/>
                <w:sz w:val="18"/>
                <w:szCs w:val="18"/>
              </w:rPr>
              <w:t>Agreements</w:t>
            </w:r>
          </w:p>
          <w:p w14:paraId="5A98C6C3">
            <w:pPr>
              <w:numPr>
                <w:ilvl w:val="0"/>
                <w:numId w:val="47"/>
              </w:numPr>
              <w:ind w:left="610"/>
              <w:rPr>
                <w:sz w:val="18"/>
                <w:szCs w:val="18"/>
              </w:rPr>
            </w:pPr>
            <w:r>
              <w:rPr>
                <w:sz w:val="18"/>
                <w:szCs w:val="18"/>
              </w:rPr>
              <w:t xml:space="preserve">As the baseline approach, the UE receives the measurement configuration for AI/ML-enabled features/FGs for data collection and logging of measurements.  The network can explicitly configure the UE whether the corresponding data collection and logging (if supported) should be immediately started.  FFS if multiple configurations can be provided to the UE.  FFS if dynamic activation/deactivation is support.  </w:t>
            </w:r>
          </w:p>
          <w:p w14:paraId="4DAAAF7D">
            <w:pPr>
              <w:numPr>
                <w:ilvl w:val="0"/>
                <w:numId w:val="47"/>
              </w:numPr>
              <w:ind w:left="610"/>
              <w:rPr>
                <w:sz w:val="18"/>
                <w:szCs w:val="18"/>
              </w:rPr>
            </w:pPr>
            <w:r>
              <w:rPr>
                <w:color w:val="FF0000"/>
                <w:sz w:val="18"/>
                <w:szCs w:val="18"/>
              </w:rPr>
              <w:t xml:space="preserve">UE stores the logged training data </w:t>
            </w:r>
            <w:r>
              <w:rPr>
                <w:sz w:val="18"/>
                <w:szCs w:val="18"/>
              </w:rPr>
              <w:t xml:space="preserve">at AS layer with a minimum AS layer memory size supported by the UE. FFS on the memory size.  This is across all use cases When UE reaches its buffer limitation the UE stops measurement for data collection purposes and logging.   Measurements for data collection purposes and logging based can be controlled based on power state of the UE.  It is up to UE implementation how the UE determines power state.  FFS whether the UE stops autonomously or if it reports to the network.   </w:t>
            </w:r>
          </w:p>
        </w:tc>
      </w:tr>
    </w:tbl>
    <w:p w14:paraId="5F0A957D">
      <w:r>
        <w:t xml:space="preserve"> </w:t>
      </w:r>
    </w:p>
    <w:p w14:paraId="681DA8CF">
      <w:r>
        <w:t>As can be seen in RAN2 agreement above, the baseline procedure is that the UE stores training data in its memory, and report a batch of logged data at a time. That is, the training data reporting time and measurement time are separate, and can be far apart, i.e., likely the reporting time is far later than the SFN wrap-around time of 10240 ms (=10.24 sec). Therefore, one cannot rely on an entity that receives the training data to add time stamp; rather the measurement entity itself should add time stamp as the training data is being collected.</w:t>
      </w:r>
    </w:p>
    <w:p w14:paraId="2CFAD837">
      <w:r>
        <w:t xml:space="preserve">While the RAN2 agreement above is on UE procedure, it is reasonable to expect that the same principle applies when the training data generation entity is on the NW-side (i.e., gNB or LMF for positioning). RAN3 specifications support the use of periodicity of up to 30 minutes for reporting of measurements. In that case, SFN/slot level time stamps become ambiguous and a measurement time reference is necessary. </w:t>
      </w:r>
    </w:p>
    <w:p w14:paraId="686B0893">
      <w:r>
        <w:t xml:space="preserve">To clear the ambiguity, the report should always include measurement time whenever the reporting periodicity is too large for the reported measurement to be unambiguously mapped to a time instant using only SFN/slot numbers. This can be handled by RAN2 and RAN3 groups, but RAN1 should at least agree on the need for unambiguous mapping between part A and part B. </w:t>
      </w:r>
    </w:p>
    <w:p w14:paraId="268E5CAC">
      <w:r>
        <w:t xml:space="preserve">Thus the time stamp for both Part A and Part B should be mandatorily added by the training data generation entity, and the time stamp should use a much longer range than SFN. Specifically, </w:t>
      </w:r>
    </w:p>
    <w:p w14:paraId="20C9B684">
      <w:pPr>
        <w:pStyle w:val="133"/>
        <w:numPr>
          <w:ilvl w:val="0"/>
          <w:numId w:val="45"/>
        </w:numPr>
      </w:pPr>
      <w:r>
        <w:t xml:space="preserve">for channel measurement and label generated by PRU or non-PRU UE, always include the existing IE UTCTime (e.g., for utc-time-r16) in TS 37.355 (i.e., not a choice between SNF and UTCTime); </w:t>
      </w:r>
    </w:p>
    <w:p w14:paraId="13D6246F">
      <w:pPr>
        <w:pStyle w:val="133"/>
        <w:numPr>
          <w:ilvl w:val="0"/>
          <w:numId w:val="45"/>
        </w:numPr>
      </w:pPr>
      <w:r>
        <w:t>for channel measurement generated by TRP/gNB, either change the field “Measurement time” in TS 38.455 from optional to mandatory, or specify that the field “Measurement time” is present whenever the measurement reporting periodicity exceeds 10.24 sec.</w:t>
      </w:r>
    </w:p>
    <w:p w14:paraId="79E6D031">
      <w:r>
        <w:t>Regarding the time stamp resolution, several different granularities exist in current specifications, for example:</w:t>
      </w:r>
    </w:p>
    <w:p w14:paraId="6D9EF26A">
      <w:pPr>
        <w:pStyle w:val="133"/>
        <w:numPr>
          <w:ilvl w:val="1"/>
          <w:numId w:val="11"/>
        </w:numPr>
      </w:pPr>
      <w:r>
        <w:t>LPP:</w:t>
      </w:r>
    </w:p>
    <w:p w14:paraId="731F5846">
      <w:pPr>
        <w:pStyle w:val="133"/>
        <w:numPr>
          <w:ilvl w:val="2"/>
          <w:numId w:val="11"/>
        </w:numPr>
      </w:pPr>
      <w:r>
        <w:rPr>
          <w:i/>
          <w:iCs/>
        </w:rPr>
        <w:t>UTCTime</w:t>
      </w:r>
      <w:r>
        <w:t xml:space="preserve"> with a granularity of seconds;</w:t>
      </w:r>
    </w:p>
    <w:p w14:paraId="15C3C131">
      <w:pPr>
        <w:pStyle w:val="133"/>
        <w:numPr>
          <w:ilvl w:val="2"/>
          <w:numId w:val="11"/>
        </w:numPr>
      </w:pPr>
      <w:r>
        <w:rPr>
          <w:rFonts w:ascii="Arial" w:hAnsi="Arial" w:cs="Arial"/>
          <w:i/>
          <w:snapToGrid w:val="0"/>
          <w:kern w:val="0"/>
          <w:sz w:val="18"/>
          <w:szCs w:val="18"/>
          <w14:ligatures w14:val="none"/>
        </w:rPr>
        <w:t xml:space="preserve">utcTime-ms </w:t>
      </w:r>
      <w:r>
        <w:t>with a granularity of milliseconds;</w:t>
      </w:r>
    </w:p>
    <w:p w14:paraId="51CD035E">
      <w:pPr>
        <w:pStyle w:val="133"/>
        <w:numPr>
          <w:ilvl w:val="1"/>
          <w:numId w:val="11"/>
        </w:numPr>
      </w:pPr>
      <w:r>
        <w:t>“Measurement time” with a granularity of 1 /2**32 second.</w:t>
      </w:r>
    </w:p>
    <w:p w14:paraId="585B66A2">
      <w:r>
        <w:t>In our view, there is no need to align to a same granularity for time stamp of Part A and Part B, and existing IEs can be reused. Regarding how close the stamped time should be between Part A and B so that they can be paired, this is likely related to the positioning accuracy requirement, UE speed, and also related to the implementation of training data collection entity and model training entity. From RAN1 perspective, there is no need to impose any restriction on how to perform the pairing using the time stamps, including the allowed time difference between Part A/B so that they can be paired.</w:t>
      </w:r>
    </w:p>
    <w:p w14:paraId="7827A275"/>
    <w:p w14:paraId="6D6EDF87">
      <w:pPr>
        <w:pStyle w:val="73"/>
      </w:pPr>
      <w:bookmarkStart w:id="2101" w:name="_Toc189845133"/>
      <w:r>
        <w:t>For training data collection of AI/ML based positioning, for both Part A and Part B, time stamp is mandatorily provided by the training data generation entity.</w:t>
      </w:r>
      <w:bookmarkEnd w:id="2101"/>
    </w:p>
    <w:p w14:paraId="0EA4BFD4">
      <w:pPr>
        <w:pStyle w:val="73"/>
      </w:pPr>
      <w:bookmarkStart w:id="2102" w:name="_Toc189845134"/>
      <w:r>
        <w:t>For training data collection of AI/ML based positioning, the time stamp should allow unambiguous mapping between Part A and Part B.</w:t>
      </w:r>
      <w:bookmarkEnd w:id="2102"/>
      <w:r>
        <w:t xml:space="preserve"> </w:t>
      </w:r>
    </w:p>
    <w:p w14:paraId="65C1491F">
      <w:pPr>
        <w:pStyle w:val="73"/>
        <w:numPr>
          <w:ilvl w:val="1"/>
          <w:numId w:val="11"/>
        </w:numPr>
      </w:pPr>
      <w:bookmarkStart w:id="2103" w:name="_Toc189845135"/>
      <w:r>
        <w:t>For channel measurement generated by TRP/gNB, at least when measurement periodicity exceeds the SFN/slot wrap around time (10.24 sec), field “Measurement time” is included in the time stamp.</w:t>
      </w:r>
      <w:bookmarkEnd w:id="2103"/>
      <w:r>
        <w:t xml:space="preserve">  </w:t>
      </w:r>
    </w:p>
    <w:p w14:paraId="64821F29">
      <w:pPr>
        <w:pStyle w:val="73"/>
        <w:numPr>
          <w:ilvl w:val="1"/>
          <w:numId w:val="11"/>
        </w:numPr>
        <w:rPr>
          <w:lang w:eastAsia="zh-CN"/>
        </w:rPr>
      </w:pPr>
      <w:bookmarkStart w:id="2104" w:name="_Toc189845136"/>
      <w:r>
        <w:rPr>
          <w:lang w:eastAsia="zh-CN"/>
        </w:rPr>
        <w:t xml:space="preserve">For </w:t>
      </w:r>
      <w:r>
        <w:t xml:space="preserve">channel measurement and </w:t>
      </w:r>
      <w:r>
        <w:rPr>
          <w:lang w:eastAsia="zh-CN"/>
        </w:rPr>
        <w:t>label generated by PRU or non-PRU UE, UTC Time (e.g., for utc-time-r16) is included in the time stamp.</w:t>
      </w:r>
      <w:bookmarkEnd w:id="2104"/>
    </w:p>
    <w:p w14:paraId="2D7B03A9">
      <w:pPr>
        <w:pStyle w:val="73"/>
        <w:numPr>
          <w:ilvl w:val="1"/>
          <w:numId w:val="11"/>
        </w:numPr>
      </w:pPr>
      <w:bookmarkStart w:id="2105" w:name="_Toc189845137"/>
      <w:r>
        <w:t>Exactly how to specify time stamp for Part A and Part B is up to RAN2/RAN3.</w:t>
      </w:r>
      <w:bookmarkEnd w:id="2105"/>
    </w:p>
    <w:p w14:paraId="08123F9C">
      <w:pPr>
        <w:pStyle w:val="73"/>
      </w:pPr>
      <w:bookmarkStart w:id="2106" w:name="_Toc189845138"/>
      <w:r>
        <w:t>From RAN1 perspective, the existing IEs and their associated granularities can be reused for time stamp of Part A and Part B. It is acceptable to have different time stamp granularity for Part A and Part B. There is no need for RAN1 to discuss how to perform the pairing using the time stamps.</w:t>
      </w:r>
      <w:bookmarkEnd w:id="2106"/>
    </w:p>
    <w:p w14:paraId="58194801">
      <w:pPr>
        <w:pStyle w:val="73"/>
        <w:numPr>
          <w:ilvl w:val="0"/>
          <w:numId w:val="0"/>
        </w:numPr>
        <w:ind w:left="1304" w:hanging="1304"/>
      </w:pPr>
    </w:p>
    <w:p w14:paraId="752B1213">
      <w:pPr>
        <w:rPr>
          <w:b/>
          <w:bCs/>
          <w:u w:val="single"/>
        </w:rPr>
      </w:pPr>
      <w:r>
        <w:rPr>
          <w:b/>
          <w:bCs/>
          <w:u w:val="single"/>
        </w:rPr>
        <w:t>For reference, existing signaling in 37.355 (LPP):</w:t>
      </w:r>
    </w:p>
    <w:tbl>
      <w:tblPr>
        <w:tblStyle w:val="52"/>
        <w:tblW w:w="107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5"/>
        <w:gridCol w:w="8820"/>
      </w:tblGrid>
      <w:tr w14:paraId="2F7C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1061468F">
            <w:pPr>
              <w:rPr>
                <w:lang w:val="en-GB"/>
              </w:rPr>
            </w:pPr>
            <w:r>
              <w:t>Terrestrial Beacon System Positioning</w:t>
            </w:r>
          </w:p>
        </w:tc>
        <w:tc>
          <w:tcPr>
            <w:tcW w:w="8820" w:type="dxa"/>
          </w:tcPr>
          <w:p w14:paraId="7EDCA5E6">
            <w:pPr>
              <w:pStyle w:val="137"/>
              <w:rPr>
                <w:szCs w:val="22"/>
                <w:lang w:val="de-DE"/>
              </w:rPr>
            </w:pPr>
            <w:r>
              <w:rPr>
                <w:szCs w:val="22"/>
                <w:lang w:val="de-DE"/>
              </w:rPr>
              <w:t>TBS-MeasurementInformation-r13 ::= SEQUENCE {</w:t>
            </w:r>
          </w:p>
          <w:p w14:paraId="71D57378">
            <w:pPr>
              <w:pStyle w:val="137"/>
              <w:rPr>
                <w:szCs w:val="22"/>
                <w:lang w:val="de-DE"/>
              </w:rPr>
            </w:pPr>
            <w:r>
              <w:rPr>
                <w:szCs w:val="22"/>
                <w:lang w:val="de-DE"/>
              </w:rPr>
              <w:tab/>
            </w:r>
            <w:r>
              <w:rPr>
                <w:color w:val="FF0000"/>
                <w:szCs w:val="22"/>
                <w:lang w:val="de-DE"/>
              </w:rPr>
              <w:t>measurementReferenceTime-r13</w:t>
            </w:r>
            <w:r>
              <w:rPr>
                <w:color w:val="FF0000"/>
                <w:szCs w:val="22"/>
                <w:lang w:val="de-DE"/>
              </w:rPr>
              <w:tab/>
            </w:r>
            <w:r>
              <w:rPr>
                <w:color w:val="FF0000"/>
                <w:szCs w:val="22"/>
                <w:lang w:val="de-DE"/>
              </w:rPr>
              <w:t>UTCTime</w:t>
            </w:r>
            <w:r>
              <w:rPr>
                <w:color w:val="FF0000"/>
                <w:szCs w:val="22"/>
                <w:lang w:val="de-DE"/>
              </w:rPr>
              <w:tab/>
            </w:r>
            <w:r>
              <w:rPr>
                <w:szCs w:val="22"/>
                <w:lang w:val="de-DE"/>
              </w:rPr>
              <w:tab/>
            </w:r>
            <w:r>
              <w:rPr>
                <w:szCs w:val="22"/>
                <w:lang w:val="de-DE"/>
              </w:rPr>
              <w:tab/>
            </w:r>
            <w:r>
              <w:rPr>
                <w:szCs w:val="22"/>
                <w:lang w:val="de-DE"/>
              </w:rPr>
              <w:tab/>
            </w:r>
            <w:r>
              <w:rPr>
                <w:szCs w:val="22"/>
                <w:lang w:val="de-DE"/>
              </w:rPr>
              <w:tab/>
            </w:r>
            <w:r>
              <w:rPr>
                <w:szCs w:val="22"/>
                <w:lang w:val="de-DE"/>
              </w:rPr>
              <w:tab/>
            </w:r>
            <w:r>
              <w:rPr>
                <w:szCs w:val="22"/>
                <w:lang w:val="de-DE"/>
              </w:rPr>
              <w:t>OPTIONAL,</w:t>
            </w:r>
          </w:p>
          <w:p w14:paraId="24BBB9CF">
            <w:pPr>
              <w:pStyle w:val="137"/>
              <w:rPr>
                <w:szCs w:val="22"/>
                <w:lang w:val="de-DE"/>
              </w:rPr>
            </w:pPr>
            <w:r>
              <w:rPr>
                <w:szCs w:val="22"/>
                <w:lang w:val="de-DE"/>
              </w:rPr>
              <w:tab/>
            </w:r>
            <w:r>
              <w:rPr>
                <w:szCs w:val="22"/>
                <w:lang w:val="de-DE"/>
              </w:rPr>
              <w:t>mbs-SgnMeasList-r13</w:t>
            </w:r>
            <w:r>
              <w:rPr>
                <w:szCs w:val="22"/>
                <w:lang w:val="de-DE"/>
              </w:rPr>
              <w:tab/>
            </w:r>
            <w:r>
              <w:rPr>
                <w:szCs w:val="22"/>
                <w:lang w:val="de-DE"/>
              </w:rPr>
              <w:tab/>
            </w:r>
            <w:r>
              <w:rPr>
                <w:szCs w:val="22"/>
                <w:lang w:val="de-DE"/>
              </w:rPr>
              <w:tab/>
            </w:r>
            <w:r>
              <w:rPr>
                <w:szCs w:val="22"/>
                <w:lang w:val="de-DE"/>
              </w:rPr>
              <w:tab/>
            </w:r>
            <w:r>
              <w:rPr>
                <w:szCs w:val="22"/>
                <w:lang w:val="de-DE"/>
              </w:rPr>
              <w:t>MBS-BeaconMeasList-r13</w:t>
            </w:r>
            <w:r>
              <w:rPr>
                <w:szCs w:val="22"/>
                <w:lang w:val="de-DE"/>
              </w:rPr>
              <w:tab/>
            </w:r>
            <w:r>
              <w:rPr>
                <w:szCs w:val="22"/>
                <w:lang w:val="de-DE"/>
              </w:rPr>
              <w:tab/>
            </w:r>
            <w:r>
              <w:rPr>
                <w:szCs w:val="22"/>
                <w:lang w:val="de-DE"/>
              </w:rPr>
              <w:t>OPTIONAL,</w:t>
            </w:r>
            <w:r>
              <w:rPr>
                <w:szCs w:val="22"/>
                <w:lang w:val="de-DE"/>
              </w:rPr>
              <w:tab/>
            </w:r>
            <w:r>
              <w:rPr>
                <w:szCs w:val="22"/>
                <w:lang w:val="de-DE"/>
              </w:rPr>
              <w:t>-- Cond MBS</w:t>
            </w:r>
          </w:p>
          <w:p w14:paraId="50D3ED60">
            <w:pPr>
              <w:pStyle w:val="137"/>
              <w:rPr>
                <w:szCs w:val="22"/>
                <w:lang w:val="de-DE"/>
              </w:rPr>
            </w:pPr>
            <w:r>
              <w:rPr>
                <w:szCs w:val="22"/>
                <w:lang w:val="de-DE"/>
              </w:rPr>
              <w:tab/>
            </w:r>
            <w:r>
              <w:rPr>
                <w:szCs w:val="22"/>
                <w:lang w:val="de-DE"/>
              </w:rPr>
              <w:t>…</w:t>
            </w:r>
          </w:p>
          <w:p w14:paraId="6D465809">
            <w:pPr>
              <w:pStyle w:val="137"/>
              <w:rPr>
                <w:szCs w:val="22"/>
                <w:lang w:val="de-DE"/>
              </w:rPr>
            </w:pPr>
            <w:r>
              <w:rPr>
                <w:szCs w:val="22"/>
                <w:lang w:val="de-DE"/>
              </w:rPr>
              <w:t>}</w:t>
            </w:r>
          </w:p>
          <w:tbl>
            <w:tblPr>
              <w:tblStyle w:val="51"/>
              <w:tblW w:w="8145"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145"/>
            </w:tblGrid>
            <w:tr w14:paraId="0B9976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8145" w:type="dxa"/>
                </w:tcPr>
                <w:p w14:paraId="3EAC3B25">
                  <w:pPr>
                    <w:pStyle w:val="78"/>
                    <w:rPr>
                      <w:b/>
                      <w:bCs/>
                      <w:i/>
                      <w:iCs/>
                      <w:snapToGrid w:val="0"/>
                      <w:lang w:val="en-US"/>
                    </w:rPr>
                  </w:pPr>
                  <w:r>
                    <w:rPr>
                      <w:b/>
                      <w:bCs/>
                      <w:i/>
                      <w:iCs/>
                      <w:snapToGrid w:val="0"/>
                      <w:lang w:val="en-US"/>
                    </w:rPr>
                    <w:t>measurementReferenceTime</w:t>
                  </w:r>
                </w:p>
                <w:p w14:paraId="7065C73E">
                  <w:pPr>
                    <w:pStyle w:val="78"/>
                    <w:keepNext w:val="0"/>
                    <w:keepLines w:val="0"/>
                    <w:widowControl w:val="0"/>
                    <w:rPr>
                      <w:b/>
                      <w:bCs/>
                      <w:i/>
                      <w:iCs/>
                      <w:lang w:val="en-US"/>
                    </w:rPr>
                  </w:pPr>
                  <w:r>
                    <w:rPr>
                      <w:snapToGrid w:val="0"/>
                      <w:lang w:val="en-US"/>
                    </w:rPr>
                    <w:t xml:space="preserve">This field provides the UTC time when the TBS measurements are performed and should take the form of </w:t>
                  </w:r>
                  <w:r>
                    <w:rPr>
                      <w:i/>
                      <w:iCs/>
                      <w:lang w:val="en-US"/>
                    </w:rPr>
                    <w:t>YYMMDDhhmmssZ</w:t>
                  </w:r>
                  <w:r>
                    <w:rPr>
                      <w:snapToGrid w:val="0"/>
                      <w:lang w:val="en-US"/>
                    </w:rPr>
                    <w:t>.</w:t>
                  </w:r>
                </w:p>
              </w:tc>
            </w:tr>
          </w:tbl>
          <w:p w14:paraId="195D686F">
            <w:pPr>
              <w:pStyle w:val="137"/>
              <w:rPr>
                <w:snapToGrid w:val="0"/>
                <w:szCs w:val="22"/>
                <w:lang w:val="de-DE"/>
              </w:rPr>
            </w:pPr>
          </w:p>
        </w:tc>
      </w:tr>
      <w:tr w14:paraId="638CA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78D3346">
            <w:pPr>
              <w:rPr>
                <w:lang w:val="en-GB"/>
              </w:rPr>
            </w:pPr>
          </w:p>
        </w:tc>
        <w:tc>
          <w:tcPr>
            <w:tcW w:w="8820" w:type="dxa"/>
          </w:tcPr>
          <w:p w14:paraId="0EF4E1F2">
            <w:pPr>
              <w:pStyle w:val="137"/>
              <w:rPr>
                <w:snapToGrid w:val="0"/>
                <w:szCs w:val="22"/>
                <w:lang w:val="de-DE"/>
              </w:rPr>
            </w:pPr>
          </w:p>
        </w:tc>
      </w:tr>
      <w:tr w14:paraId="0ED7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262546B2">
            <w:pPr>
              <w:rPr>
                <w:lang w:val="en-GB"/>
              </w:rPr>
            </w:pPr>
            <w:r>
              <w:rPr>
                <w:lang w:val="en-GB"/>
              </w:rPr>
              <w:t>NR DL-TDOA Positioning</w:t>
            </w:r>
          </w:p>
        </w:tc>
        <w:tc>
          <w:tcPr>
            <w:tcW w:w="8820" w:type="dxa"/>
          </w:tcPr>
          <w:p w14:paraId="7F15D4E1">
            <w:pPr>
              <w:pStyle w:val="137"/>
              <w:rPr>
                <w:snapToGrid w:val="0"/>
                <w:szCs w:val="22"/>
                <w:lang w:val="de-DE"/>
              </w:rPr>
            </w:pPr>
            <w:r>
              <w:rPr>
                <w:snapToGrid w:val="0"/>
                <w:szCs w:val="22"/>
                <w:lang w:val="de-DE"/>
              </w:rPr>
              <w:t>NR-DL-TDOA-LocationInformation-r16 ::= SEQUENCE {</w:t>
            </w:r>
          </w:p>
          <w:p w14:paraId="0394C11D">
            <w:pPr>
              <w:pStyle w:val="137"/>
              <w:rPr>
                <w:snapToGrid w:val="0"/>
                <w:color w:val="FF0000"/>
                <w:szCs w:val="22"/>
                <w:lang w:val="de-DE"/>
              </w:rPr>
            </w:pPr>
            <w:r>
              <w:rPr>
                <w:snapToGrid w:val="0"/>
                <w:szCs w:val="22"/>
                <w:lang w:val="de-DE"/>
              </w:rPr>
              <w:tab/>
            </w:r>
            <w:r>
              <w:rPr>
                <w:snapToGrid w:val="0"/>
                <w:color w:val="FF0000"/>
                <w:szCs w:val="22"/>
                <w:lang w:val="de-DE"/>
              </w:rPr>
              <w:t>measurementReferenceTime-r16</w:t>
            </w:r>
            <w:r>
              <w:rPr>
                <w:snapToGrid w:val="0"/>
                <w:color w:val="FF0000"/>
                <w:szCs w:val="22"/>
                <w:lang w:val="de-DE"/>
              </w:rPr>
              <w:tab/>
            </w:r>
            <w:r>
              <w:rPr>
                <w:snapToGrid w:val="0"/>
                <w:color w:val="FF0000"/>
                <w:szCs w:val="22"/>
                <w:lang w:val="de-DE"/>
              </w:rPr>
              <w:t>CHOICE {</w:t>
            </w:r>
          </w:p>
          <w:p w14:paraId="7CC1354C">
            <w:pPr>
              <w:pStyle w:val="137"/>
              <w:rPr>
                <w:snapToGrid w:val="0"/>
                <w:color w:val="FF0000"/>
                <w:szCs w:val="22"/>
                <w:lang w:val="de-DE"/>
              </w:rPr>
            </w:pP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systemFrameNumber-r16</w:t>
            </w: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NR-TimeStamp-r16,</w:t>
            </w:r>
          </w:p>
          <w:p w14:paraId="1B26948E">
            <w:pPr>
              <w:pStyle w:val="137"/>
              <w:rPr>
                <w:snapToGrid w:val="0"/>
                <w:color w:val="FF0000"/>
                <w:szCs w:val="22"/>
                <w:lang w:val="de-DE"/>
              </w:rPr>
            </w:pP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utc-time-r16</w:t>
            </w: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UTCTime,</w:t>
            </w:r>
          </w:p>
          <w:p w14:paraId="321DCD73">
            <w:pPr>
              <w:pStyle w:val="137"/>
              <w:rPr>
                <w:snapToGrid w:val="0"/>
                <w:szCs w:val="22"/>
                <w:lang w:val="de-DE"/>
              </w:rPr>
            </w:pPr>
            <w:r>
              <w:rPr>
                <w:snapToGrid w:val="0"/>
                <w:szCs w:val="22"/>
                <w:lang w:val="de-DE"/>
              </w:rPr>
              <w:tab/>
            </w:r>
            <w:r>
              <w:rPr>
                <w:snapToGrid w:val="0"/>
                <w:szCs w:val="22"/>
                <w:lang w:val="de-DE"/>
              </w:rPr>
              <w:tab/>
            </w:r>
            <w:r>
              <w:rPr>
                <w:snapToGrid w:val="0"/>
                <w:szCs w:val="22"/>
                <w:lang w:val="de-DE"/>
              </w:rPr>
              <w:tab/>
            </w:r>
            <w:r>
              <w:rPr>
                <w:snapToGrid w:val="0"/>
                <w:szCs w:val="22"/>
                <w:lang w:val="de-DE"/>
              </w:rPr>
              <w:t>…</w:t>
            </w:r>
          </w:p>
          <w:p w14:paraId="3C5F81A8">
            <w:pPr>
              <w:pStyle w:val="137"/>
              <w:rPr>
                <w:snapToGrid w:val="0"/>
                <w:szCs w:val="22"/>
                <w:lang w:val="de-DE"/>
              </w:rPr>
            </w:pPr>
            <w:r>
              <w:rPr>
                <w:snapToGrid w:val="0"/>
                <w:szCs w:val="22"/>
                <w:lang w:val="de-DE"/>
              </w:rPr>
              <w:tab/>
            </w:r>
            <w:r>
              <w:rPr>
                <w:snapToGrid w:val="0"/>
                <w:szCs w:val="22"/>
                <w:lang w:val="de-DE"/>
              </w:rPr>
              <w:tab/>
            </w:r>
            <w:r>
              <w:rPr>
                <w:snapToGrid w:val="0"/>
                <w:szCs w:val="22"/>
                <w:lang w:val="de-DE"/>
              </w:rPr>
              <w:tab/>
            </w:r>
            <w:r>
              <w:rPr>
                <w:snapToGrid w:val="0"/>
                <w:szCs w:val="22"/>
                <w:lang w:val="de-DE"/>
              </w:rPr>
              <w:t>}</w:t>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ab/>
            </w:r>
            <w:r>
              <w:rPr>
                <w:snapToGrid w:val="0"/>
                <w:szCs w:val="22"/>
                <w:lang w:val="de-DE"/>
              </w:rPr>
              <w:t>OPTIONAL,</w:t>
            </w:r>
          </w:p>
          <w:tbl>
            <w:tblPr>
              <w:tblStyle w:val="51"/>
              <w:tblW w:w="8145"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8145"/>
            </w:tblGrid>
            <w:tr w14:paraId="651E41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8145" w:type="dxa"/>
                </w:tcPr>
                <w:p w14:paraId="36FDCB72">
                  <w:pPr>
                    <w:pStyle w:val="78"/>
                    <w:keepNext w:val="0"/>
                    <w:keepLines w:val="0"/>
                    <w:widowControl w:val="0"/>
                    <w:rPr>
                      <w:b/>
                      <w:bCs/>
                      <w:i/>
                      <w:iCs/>
                      <w:lang w:val="en-US"/>
                    </w:rPr>
                  </w:pPr>
                  <w:r>
                    <w:rPr>
                      <w:b/>
                      <w:bCs/>
                      <w:i/>
                      <w:iCs/>
                      <w:lang w:val="en-US"/>
                    </w:rPr>
                    <w:t>measurementReferenceTime</w:t>
                  </w:r>
                </w:p>
                <w:p w14:paraId="41729DD8">
                  <w:pPr>
                    <w:pStyle w:val="78"/>
                    <w:keepNext w:val="0"/>
                    <w:keepLines w:val="0"/>
                    <w:widowControl w:val="0"/>
                  </w:pPr>
                  <w:r>
                    <w:t>This field specifies the time for which the location estimate is</w:t>
                  </w:r>
                  <w:r>
                    <w:rPr>
                      <w:snapToGrid w:val="0"/>
                    </w:rPr>
                    <w:t xml:space="preserve"> valid.</w:t>
                  </w:r>
                </w:p>
              </w:tc>
            </w:tr>
          </w:tbl>
          <w:p w14:paraId="54C7C4DA">
            <w:pPr>
              <w:rPr>
                <w:lang w:val="en-GB"/>
              </w:rPr>
            </w:pPr>
          </w:p>
        </w:tc>
      </w:tr>
      <w:tr w14:paraId="52C9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08187AF5">
            <w:pPr>
              <w:rPr>
                <w:lang w:val="en-GB"/>
              </w:rPr>
            </w:pPr>
            <w:r>
              <w:t>NR DL-AoD Positioning</w:t>
            </w:r>
          </w:p>
        </w:tc>
        <w:tc>
          <w:tcPr>
            <w:tcW w:w="8820" w:type="dxa"/>
          </w:tcPr>
          <w:p w14:paraId="2E31C6AC">
            <w:pPr>
              <w:pStyle w:val="137"/>
              <w:rPr>
                <w:snapToGrid w:val="0"/>
                <w:szCs w:val="22"/>
                <w:lang w:val="de-DE"/>
              </w:rPr>
            </w:pPr>
            <w:r>
              <w:rPr>
                <w:snapToGrid w:val="0"/>
                <w:szCs w:val="22"/>
                <w:lang w:val="de-DE"/>
              </w:rPr>
              <w:t>NR-DL-AoD-LocationInformation-r16 ::= SEQUENCE {</w:t>
            </w:r>
          </w:p>
          <w:p w14:paraId="469F7AC4">
            <w:pPr>
              <w:pStyle w:val="137"/>
              <w:rPr>
                <w:snapToGrid w:val="0"/>
                <w:color w:val="FF0000"/>
                <w:szCs w:val="22"/>
                <w:lang w:val="de-DE"/>
              </w:rPr>
            </w:pPr>
            <w:r>
              <w:rPr>
                <w:snapToGrid w:val="0"/>
                <w:szCs w:val="22"/>
                <w:lang w:val="de-DE"/>
              </w:rPr>
              <w:tab/>
            </w:r>
            <w:r>
              <w:rPr>
                <w:snapToGrid w:val="0"/>
                <w:color w:val="FF0000"/>
                <w:szCs w:val="22"/>
                <w:lang w:val="de-DE"/>
              </w:rPr>
              <w:t>measurementReferenceTime-r16</w:t>
            </w:r>
            <w:r>
              <w:rPr>
                <w:snapToGrid w:val="0"/>
                <w:color w:val="FF0000"/>
                <w:szCs w:val="22"/>
                <w:lang w:val="de-DE"/>
              </w:rPr>
              <w:tab/>
            </w:r>
            <w:r>
              <w:rPr>
                <w:snapToGrid w:val="0"/>
                <w:color w:val="FF0000"/>
                <w:szCs w:val="22"/>
                <w:lang w:val="de-DE"/>
              </w:rPr>
              <w:tab/>
            </w:r>
            <w:r>
              <w:rPr>
                <w:snapToGrid w:val="0"/>
                <w:color w:val="FF0000"/>
                <w:szCs w:val="22"/>
                <w:lang w:val="de-DE"/>
              </w:rPr>
              <w:t>CHOICE {</w:t>
            </w:r>
          </w:p>
          <w:p w14:paraId="6F359993">
            <w:pPr>
              <w:pStyle w:val="137"/>
              <w:rPr>
                <w:snapToGrid w:val="0"/>
                <w:color w:val="FF0000"/>
                <w:szCs w:val="22"/>
                <w:lang w:val="de-DE"/>
              </w:rPr>
            </w:pP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sfn-time-r16</w:t>
            </w: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NR-TimeStamp-r16,</w:t>
            </w:r>
          </w:p>
          <w:p w14:paraId="76519D93">
            <w:pPr>
              <w:pStyle w:val="137"/>
              <w:rPr>
                <w:snapToGrid w:val="0"/>
                <w:szCs w:val="22"/>
                <w:lang w:val="de-DE"/>
              </w:rPr>
            </w:pP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utc-time-r16</w:t>
            </w: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ab/>
            </w:r>
            <w:r>
              <w:rPr>
                <w:snapToGrid w:val="0"/>
                <w:color w:val="FF0000"/>
                <w:szCs w:val="22"/>
                <w:lang w:val="de-DE"/>
              </w:rPr>
              <w:t>UTCTime,</w:t>
            </w:r>
          </w:p>
          <w:tbl>
            <w:tblPr>
              <w:tblStyle w:val="51"/>
              <w:tblW w:w="9639"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14:paraId="6AC255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9639" w:type="dxa"/>
                </w:tcPr>
                <w:p w14:paraId="3417164D">
                  <w:pPr>
                    <w:pStyle w:val="78"/>
                    <w:keepNext w:val="0"/>
                    <w:keepLines w:val="0"/>
                    <w:widowControl w:val="0"/>
                    <w:rPr>
                      <w:b/>
                      <w:bCs/>
                      <w:i/>
                      <w:iCs/>
                      <w:lang w:val="en-US"/>
                    </w:rPr>
                  </w:pPr>
                  <w:r>
                    <w:rPr>
                      <w:b/>
                      <w:bCs/>
                      <w:i/>
                      <w:iCs/>
                      <w:lang w:val="en-US"/>
                    </w:rPr>
                    <w:t>measurementReferenceTime</w:t>
                  </w:r>
                </w:p>
                <w:p w14:paraId="74BF5239">
                  <w:pPr>
                    <w:pStyle w:val="78"/>
                    <w:keepNext w:val="0"/>
                    <w:keepLines w:val="0"/>
                    <w:widowControl w:val="0"/>
                  </w:pPr>
                  <w:r>
                    <w:t>This field specifies the time for which the location estimate is</w:t>
                  </w:r>
                  <w:r>
                    <w:rPr>
                      <w:snapToGrid w:val="0"/>
                    </w:rPr>
                    <w:t xml:space="preserve"> valid.</w:t>
                  </w:r>
                </w:p>
              </w:tc>
            </w:tr>
          </w:tbl>
          <w:p w14:paraId="3C48E014">
            <w:pPr>
              <w:pStyle w:val="137"/>
              <w:rPr>
                <w:snapToGrid w:val="0"/>
                <w:szCs w:val="22"/>
                <w:lang w:val="de-DE"/>
              </w:rPr>
            </w:pPr>
          </w:p>
        </w:tc>
      </w:tr>
    </w:tbl>
    <w:p w14:paraId="0CCBB08B"/>
    <w:p w14:paraId="61B3B263">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6"/>
        </w:rPr>
      </w:pPr>
      <w:r>
        <w:rPr>
          <w:rFonts w:ascii="Courier New" w:hAnsi="Courier New"/>
          <w:snapToGrid w:val="0"/>
          <w:sz w:val="16"/>
        </w:rPr>
        <w:t>UTC-Time-r15 ::= SEQUENCE {</w:t>
      </w:r>
    </w:p>
    <w:p w14:paraId="45CF77B3">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6"/>
        </w:rPr>
      </w:pPr>
      <w:r>
        <w:rPr>
          <w:rFonts w:ascii="Courier New" w:hAnsi="Courier New"/>
          <w:snapToGrid w:val="0"/>
          <w:sz w:val="16"/>
        </w:rPr>
        <w:tab/>
      </w:r>
      <w:r>
        <w:rPr>
          <w:rFonts w:ascii="Courier New" w:hAnsi="Courier New"/>
          <w:snapToGrid w:val="0"/>
          <w:sz w:val="16"/>
        </w:rPr>
        <w:t>utcTime-r15</w:t>
      </w:r>
      <w:r>
        <w:rPr>
          <w:rFonts w:ascii="Courier New" w:hAnsi="Courier New"/>
          <w:snapToGrid w:val="0"/>
          <w:sz w:val="16"/>
        </w:rPr>
        <w:tab/>
      </w:r>
      <w:r>
        <w:rPr>
          <w:rFonts w:ascii="Courier New" w:hAnsi="Courier New"/>
          <w:snapToGrid w:val="0"/>
          <w:sz w:val="16"/>
        </w:rPr>
        <w:tab/>
      </w:r>
      <w:r>
        <w:rPr>
          <w:rFonts w:ascii="Courier New" w:hAnsi="Courier New"/>
          <w:snapToGrid w:val="0"/>
          <w:sz w:val="16"/>
        </w:rPr>
        <w:tab/>
      </w:r>
      <w:r>
        <w:rPr>
          <w:rFonts w:ascii="Courier New" w:hAnsi="Courier New"/>
          <w:snapToGrid w:val="0"/>
          <w:sz w:val="16"/>
        </w:rPr>
        <w:tab/>
      </w:r>
      <w:r>
        <w:rPr>
          <w:rFonts w:ascii="Courier New" w:hAnsi="Courier New"/>
          <w:snapToGrid w:val="0"/>
          <w:sz w:val="16"/>
        </w:rPr>
        <w:tab/>
      </w:r>
      <w:r>
        <w:rPr>
          <w:rFonts w:ascii="Courier New" w:hAnsi="Courier New"/>
          <w:sz w:val="16"/>
        </w:rPr>
        <w:t>UTCTime</w:t>
      </w:r>
      <w:r>
        <w:rPr>
          <w:rFonts w:ascii="Courier New" w:hAnsi="Courier New"/>
          <w:snapToGrid w:val="0"/>
          <w:sz w:val="16"/>
        </w:rPr>
        <w:t>,</w:t>
      </w:r>
    </w:p>
    <w:p w14:paraId="432FF1E8">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6"/>
        </w:rPr>
      </w:pPr>
      <w:r>
        <w:rPr>
          <w:rFonts w:ascii="Courier New" w:hAnsi="Courier New"/>
          <w:snapToGrid w:val="0"/>
          <w:sz w:val="16"/>
        </w:rPr>
        <w:tab/>
      </w:r>
      <w:r>
        <w:rPr>
          <w:rFonts w:ascii="Courier New" w:hAnsi="Courier New"/>
          <w:snapToGrid w:val="0"/>
          <w:sz w:val="16"/>
        </w:rPr>
        <w:t>utcTime-ms-r15</w:t>
      </w:r>
      <w:r>
        <w:rPr>
          <w:rFonts w:ascii="Courier New" w:hAnsi="Courier New"/>
          <w:snapToGrid w:val="0"/>
          <w:sz w:val="16"/>
        </w:rPr>
        <w:tab/>
      </w:r>
      <w:r>
        <w:rPr>
          <w:rFonts w:ascii="Courier New" w:hAnsi="Courier New"/>
          <w:snapToGrid w:val="0"/>
          <w:sz w:val="16"/>
        </w:rPr>
        <w:tab/>
      </w:r>
      <w:r>
        <w:rPr>
          <w:rFonts w:ascii="Courier New" w:hAnsi="Courier New"/>
          <w:snapToGrid w:val="0"/>
          <w:sz w:val="16"/>
        </w:rPr>
        <w:tab/>
      </w:r>
      <w:r>
        <w:rPr>
          <w:rFonts w:ascii="Courier New" w:hAnsi="Courier New"/>
          <w:snapToGrid w:val="0"/>
          <w:sz w:val="16"/>
        </w:rPr>
        <w:tab/>
      </w:r>
      <w:r>
        <w:rPr>
          <w:rFonts w:ascii="Courier New" w:hAnsi="Courier New"/>
          <w:snapToGrid w:val="0"/>
          <w:sz w:val="16"/>
        </w:rPr>
        <w:t>INTEGER (0..999),</w:t>
      </w:r>
    </w:p>
    <w:p w14:paraId="21602FFE">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6"/>
        </w:rPr>
      </w:pPr>
      <w:r>
        <w:rPr>
          <w:rFonts w:ascii="Courier New" w:hAnsi="Courier New"/>
          <w:snapToGrid w:val="0"/>
          <w:sz w:val="16"/>
        </w:rPr>
        <w:tab/>
      </w:r>
      <w:r>
        <w:rPr>
          <w:rFonts w:ascii="Courier New" w:hAnsi="Courier New"/>
          <w:snapToGrid w:val="0"/>
          <w:sz w:val="16"/>
        </w:rPr>
        <w:t>...</w:t>
      </w:r>
    </w:p>
    <w:p w14:paraId="021DED88">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6"/>
        </w:rPr>
      </w:pPr>
      <w:r>
        <w:rPr>
          <w:rFonts w:ascii="Courier New" w:hAnsi="Courier New"/>
          <w:snapToGrid w:val="0"/>
          <w:sz w:val="16"/>
        </w:rPr>
        <w:t>}</w:t>
      </w:r>
    </w:p>
    <w:tbl>
      <w:tblPr>
        <w:tblStyle w:val="51"/>
        <w:tblW w:w="10065"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0065"/>
      </w:tblGrid>
      <w:tr w14:paraId="2DE74C9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10065" w:type="dxa"/>
          </w:tcPr>
          <w:p w14:paraId="42AD6621">
            <w:pPr>
              <w:keepNext/>
              <w:keepLines/>
              <w:rPr>
                <w:rFonts w:ascii="Arial" w:hAnsi="Arial"/>
                <w:b/>
                <w:bCs/>
                <w:i/>
                <w:iCs/>
                <w:sz w:val="18"/>
              </w:rPr>
            </w:pPr>
            <w:r>
              <w:rPr>
                <w:rFonts w:ascii="Arial" w:hAnsi="Arial"/>
                <w:b/>
                <w:bCs/>
                <w:i/>
                <w:iCs/>
                <w:sz w:val="18"/>
              </w:rPr>
              <w:t>utcTime</w:t>
            </w:r>
          </w:p>
          <w:p w14:paraId="1133E598">
            <w:pPr>
              <w:keepNext/>
              <w:keepLines/>
              <w:rPr>
                <w:rFonts w:ascii="Arial" w:hAnsi="Arial"/>
                <w:bCs/>
                <w:iCs/>
                <w:sz w:val="18"/>
              </w:rPr>
            </w:pPr>
            <w:r>
              <w:rPr>
                <w:rFonts w:ascii="Arial" w:hAnsi="Arial"/>
                <w:bCs/>
                <w:iCs/>
                <w:sz w:val="18"/>
              </w:rPr>
              <w:t xml:space="preserve">This field provides the time stamp of the </w:t>
            </w:r>
            <w:r>
              <w:rPr>
                <w:rFonts w:ascii="Arial" w:hAnsi="Arial"/>
                <w:bCs/>
                <w:i/>
                <w:iCs/>
                <w:sz w:val="18"/>
              </w:rPr>
              <w:t>refTime</w:t>
            </w:r>
            <w:r>
              <w:rPr>
                <w:rFonts w:ascii="Arial" w:hAnsi="Arial"/>
                <w:bCs/>
                <w:iCs/>
                <w:sz w:val="18"/>
              </w:rPr>
              <w:t xml:space="preserve"> in UTC time and comprises the following subfields:</w:t>
            </w:r>
          </w:p>
          <w:p w14:paraId="0EFBB763">
            <w:pPr>
              <w:ind w:left="576" w:hanging="288"/>
              <w:rPr>
                <w:rFonts w:ascii="Arial" w:hAnsi="Arial" w:cs="Arial"/>
                <w:sz w:val="18"/>
                <w:szCs w:val="18"/>
              </w:rPr>
            </w:pPr>
            <w:r>
              <w:rPr>
                <w:rFonts w:ascii="Arial" w:hAnsi="Arial" w:cs="Arial"/>
                <w:snapToGrid w:val="0"/>
                <w:sz w:val="18"/>
                <w:szCs w:val="18"/>
              </w:rPr>
              <w:t>-</w:t>
            </w:r>
            <w:r>
              <w:rPr>
                <w:rFonts w:ascii="Arial" w:hAnsi="Arial" w:cs="Arial"/>
                <w:snapToGrid w:val="0"/>
                <w:sz w:val="18"/>
                <w:szCs w:val="18"/>
              </w:rPr>
              <w:tab/>
            </w:r>
            <w:r>
              <w:rPr>
                <w:rFonts w:ascii="Arial" w:hAnsi="Arial" w:cs="Arial"/>
                <w:i/>
                <w:snapToGrid w:val="0"/>
                <w:sz w:val="18"/>
                <w:szCs w:val="18"/>
              </w:rPr>
              <w:t>utcTime</w:t>
            </w:r>
            <w:r>
              <w:rPr>
                <w:rFonts w:ascii="Arial" w:hAnsi="Arial" w:cs="Arial"/>
                <w:sz w:val="18"/>
                <w:szCs w:val="18"/>
              </w:rPr>
              <w:t xml:space="preserve"> in the form of </w:t>
            </w:r>
            <w:r>
              <w:rPr>
                <w:rFonts w:ascii="Arial" w:hAnsi="Arial" w:cs="Arial"/>
                <w:color w:val="FF0000"/>
                <w:sz w:val="18"/>
                <w:szCs w:val="18"/>
              </w:rPr>
              <w:t>YYMMDDhhmmssZ</w:t>
            </w:r>
            <w:r>
              <w:rPr>
                <w:rFonts w:ascii="Arial" w:hAnsi="Arial" w:cs="Arial"/>
                <w:sz w:val="18"/>
                <w:szCs w:val="18"/>
              </w:rPr>
              <w:t>.</w:t>
            </w:r>
          </w:p>
          <w:p w14:paraId="69B70929">
            <w:pPr>
              <w:ind w:left="576" w:hanging="288"/>
            </w:pPr>
            <w:r>
              <w:rPr>
                <w:rFonts w:ascii="Arial" w:hAnsi="Arial" w:cs="Arial"/>
                <w:snapToGrid w:val="0"/>
                <w:sz w:val="18"/>
                <w:szCs w:val="18"/>
              </w:rPr>
              <w:t>-</w:t>
            </w:r>
            <w:r>
              <w:rPr>
                <w:rFonts w:ascii="Arial" w:hAnsi="Arial" w:cs="Arial"/>
                <w:snapToGrid w:val="0"/>
                <w:sz w:val="18"/>
                <w:szCs w:val="18"/>
              </w:rPr>
              <w:tab/>
            </w:r>
            <w:r>
              <w:rPr>
                <w:rFonts w:ascii="Arial" w:hAnsi="Arial" w:cs="Arial"/>
                <w:i/>
                <w:snapToGrid w:val="0"/>
                <w:sz w:val="18"/>
                <w:szCs w:val="18"/>
              </w:rPr>
              <w:t>utcTime-ms</w:t>
            </w:r>
            <w:r>
              <w:rPr>
                <w:rFonts w:ascii="Arial" w:hAnsi="Arial" w:cs="Arial"/>
                <w:snapToGrid w:val="0"/>
                <w:sz w:val="18"/>
                <w:szCs w:val="18"/>
              </w:rPr>
              <w:t xml:space="preserve"> specifies the fractional part of the </w:t>
            </w:r>
            <w:r>
              <w:rPr>
                <w:rFonts w:ascii="Arial" w:hAnsi="Arial" w:cs="Arial"/>
                <w:snapToGrid w:val="0"/>
                <w:color w:val="FF0000"/>
                <w:sz w:val="18"/>
                <w:szCs w:val="18"/>
              </w:rPr>
              <w:t>UTC time in ms resolution</w:t>
            </w:r>
            <w:r>
              <w:rPr>
                <w:rFonts w:ascii="Arial" w:hAnsi="Arial" w:cs="Arial"/>
                <w:snapToGrid w:val="0"/>
                <w:sz w:val="18"/>
                <w:szCs w:val="18"/>
              </w:rPr>
              <w:t>.</w:t>
            </w:r>
          </w:p>
        </w:tc>
      </w:tr>
    </w:tbl>
    <w:p w14:paraId="18C61619"/>
    <w:p w14:paraId="1DA5DF15"/>
    <w:p w14:paraId="7D40866E">
      <w:pPr>
        <w:rPr>
          <w:b/>
          <w:bCs/>
          <w:u w:val="single"/>
        </w:rPr>
      </w:pPr>
      <w:r>
        <w:rPr>
          <w:b/>
          <w:bCs/>
          <w:u w:val="single"/>
        </w:rPr>
        <w:t>For reference, existing signaling in 38.455 (NRPPa):</w:t>
      </w:r>
    </w:p>
    <w:p w14:paraId="2F72242C">
      <w:bookmarkStart w:id="2107" w:name="_Toc106109624"/>
      <w:bookmarkStart w:id="2108" w:name="_Toc64447711"/>
      <w:bookmarkStart w:id="2109" w:name="_Toc155982900"/>
      <w:bookmarkStart w:id="2110" w:name="_Toc113379432"/>
      <w:bookmarkStart w:id="2111" w:name="_Toc99959222"/>
      <w:bookmarkStart w:id="2112" w:name="_Toc88654220"/>
      <w:bookmarkStart w:id="2113" w:name="_Toc120091985"/>
      <w:bookmarkStart w:id="2114" w:name="_Toc112766516"/>
      <w:bookmarkStart w:id="2115" w:name="_Toc56773082"/>
      <w:bookmarkStart w:id="2116" w:name="_Toc51776060"/>
      <w:bookmarkStart w:id="2117" w:name="_Toc99056289"/>
      <w:bookmarkStart w:id="2118" w:name="_Toc74152367"/>
      <w:bookmarkStart w:id="2119" w:name="_Toc105612408"/>
      <w:r>
        <w:t>9.2.42</w:t>
      </w:r>
      <w:r>
        <w:tab/>
      </w:r>
      <w:r>
        <w:tab/>
      </w:r>
      <w:r>
        <w:t>Time Stamp</w:t>
      </w:r>
      <w:bookmarkEnd w:id="2107"/>
      <w:bookmarkEnd w:id="2108"/>
      <w:bookmarkEnd w:id="2109"/>
      <w:bookmarkEnd w:id="2110"/>
      <w:bookmarkEnd w:id="2111"/>
      <w:bookmarkEnd w:id="2112"/>
      <w:bookmarkEnd w:id="2113"/>
      <w:bookmarkEnd w:id="2114"/>
      <w:bookmarkEnd w:id="2115"/>
      <w:bookmarkEnd w:id="2116"/>
      <w:bookmarkEnd w:id="2117"/>
      <w:bookmarkEnd w:id="2118"/>
      <w:bookmarkEnd w:id="2119"/>
    </w:p>
    <w:p w14:paraId="48E2695A">
      <w:r>
        <w:t>This information element contains the time stamp.</w:t>
      </w:r>
    </w:p>
    <w:tbl>
      <w:tblPr>
        <w:tblStyle w:val="51"/>
        <w:tblW w:w="9720" w:type="dxa"/>
        <w:tblInd w:w="0" w:type="dxa"/>
        <w:tblLayout w:type="fixed"/>
        <w:tblCellMar>
          <w:top w:w="0" w:type="dxa"/>
          <w:left w:w="108" w:type="dxa"/>
          <w:bottom w:w="0" w:type="dxa"/>
          <w:right w:w="108" w:type="dxa"/>
        </w:tblCellMar>
      </w:tblPr>
      <w:tblGrid>
        <w:gridCol w:w="2448"/>
        <w:gridCol w:w="1080"/>
        <w:gridCol w:w="1439"/>
        <w:gridCol w:w="1872"/>
        <w:gridCol w:w="2881"/>
      </w:tblGrid>
      <w:tr w14:paraId="4E7F4F28">
        <w:tblPrEx>
          <w:tblCellMar>
            <w:top w:w="0" w:type="dxa"/>
            <w:left w:w="108" w:type="dxa"/>
            <w:bottom w:w="0" w:type="dxa"/>
            <w:right w:w="108" w:type="dxa"/>
          </w:tblCellMar>
        </w:tblPrEx>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0F07278">
            <w:pPr>
              <w:pStyle w:val="80"/>
              <w:keepNext w:val="0"/>
              <w:keepLines w:val="0"/>
              <w:widowControl w:val="0"/>
              <w:spacing w:after="0"/>
            </w:pPr>
            <w:r>
              <w:t>IE/Group Name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3643818">
            <w:pPr>
              <w:pStyle w:val="80"/>
              <w:keepNext w:val="0"/>
              <w:keepLines w:val="0"/>
              <w:widowControl w:val="0"/>
              <w:spacing w:after="0"/>
            </w:pPr>
            <w:r>
              <w:t>Presence</w:t>
            </w:r>
          </w:p>
        </w:tc>
        <w:tc>
          <w:tcPr>
            <w:tcW w:w="14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6C8A3AC">
            <w:pPr>
              <w:pStyle w:val="80"/>
              <w:keepNext w:val="0"/>
              <w:keepLines w:val="0"/>
              <w:widowControl w:val="0"/>
              <w:spacing w:after="0"/>
            </w:pPr>
            <w:r>
              <w:t>Range</w:t>
            </w: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A3BC4BD">
            <w:pPr>
              <w:pStyle w:val="80"/>
              <w:keepNext w:val="0"/>
              <w:keepLines w:val="0"/>
              <w:widowControl w:val="0"/>
              <w:spacing w:after="0"/>
            </w:pPr>
            <w:r>
              <w:t>IE Type and Reference</w:t>
            </w:r>
          </w:p>
        </w:tc>
        <w:tc>
          <w:tcPr>
            <w:tcW w:w="2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1F77CE6">
            <w:pPr>
              <w:pStyle w:val="80"/>
              <w:keepNext w:val="0"/>
              <w:keepLines w:val="0"/>
              <w:widowControl w:val="0"/>
              <w:spacing w:after="0"/>
            </w:pPr>
            <w:r>
              <w:t>Semantics Description</w:t>
            </w:r>
          </w:p>
        </w:tc>
      </w:tr>
      <w:tr w14:paraId="7A3799C2">
        <w:tblPrEx>
          <w:tblCellMar>
            <w:top w:w="0" w:type="dxa"/>
            <w:left w:w="108" w:type="dxa"/>
            <w:bottom w:w="0" w:type="dxa"/>
            <w:right w:w="108" w:type="dxa"/>
          </w:tblCellMar>
        </w:tblPrEx>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50C95F0">
            <w:pPr>
              <w:pStyle w:val="78"/>
              <w:keepNext w:val="0"/>
              <w:keepLines w:val="0"/>
              <w:widowControl w:val="0"/>
              <w:spacing w:after="0"/>
            </w:pPr>
            <w:r>
              <w:t>System Frame Number</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EE0DAF3">
            <w:pPr>
              <w:pStyle w:val="78"/>
              <w:keepNext w:val="0"/>
              <w:keepLines w:val="0"/>
              <w:widowControl w:val="0"/>
              <w:spacing w:after="0"/>
            </w:pPr>
            <w:r>
              <w:t>M</w:t>
            </w:r>
          </w:p>
        </w:tc>
        <w:tc>
          <w:tcPr>
            <w:tcW w:w="14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33C700D">
            <w:pPr>
              <w:pStyle w:val="78"/>
              <w:keepNext w:val="0"/>
              <w:keepLines w:val="0"/>
              <w:widowControl w:val="0"/>
              <w:spacing w:after="0"/>
            </w:pP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0A3590B">
            <w:pPr>
              <w:pStyle w:val="78"/>
              <w:keepNext w:val="0"/>
              <w:keepLines w:val="0"/>
              <w:widowControl w:val="0"/>
              <w:spacing w:after="0"/>
            </w:pPr>
            <w:r>
              <w:rPr>
                <w:lang w:val="en-US"/>
              </w:rPr>
              <w:t>INTEGER(0..1023)</w:t>
            </w:r>
          </w:p>
        </w:tc>
        <w:tc>
          <w:tcPr>
            <w:tcW w:w="2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59BEF48">
            <w:pPr>
              <w:pStyle w:val="78"/>
              <w:keepNext w:val="0"/>
              <w:keepLines w:val="0"/>
              <w:widowControl w:val="0"/>
              <w:spacing w:after="0"/>
              <w:rPr>
                <w:bCs/>
              </w:rPr>
            </w:pPr>
          </w:p>
        </w:tc>
      </w:tr>
      <w:tr w14:paraId="170E190A">
        <w:tblPrEx>
          <w:tblCellMar>
            <w:top w:w="0" w:type="dxa"/>
            <w:left w:w="108" w:type="dxa"/>
            <w:bottom w:w="0" w:type="dxa"/>
            <w:right w:w="108" w:type="dxa"/>
          </w:tblCellMar>
        </w:tblPrEx>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212AA60">
            <w:pPr>
              <w:pStyle w:val="78"/>
              <w:keepNext w:val="0"/>
              <w:keepLines w:val="0"/>
              <w:widowControl w:val="0"/>
              <w:spacing w:after="0"/>
            </w:pPr>
            <w:r>
              <w:t xml:space="preserve">CHOICE </w:t>
            </w:r>
            <w:r>
              <w:rPr>
                <w:i/>
              </w:rPr>
              <w:t>Slot Index</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11F0B4D">
            <w:pPr>
              <w:pStyle w:val="78"/>
              <w:keepNext w:val="0"/>
              <w:keepLines w:val="0"/>
              <w:widowControl w:val="0"/>
              <w:spacing w:after="0"/>
            </w:pPr>
            <w:r>
              <w:t>M</w:t>
            </w:r>
          </w:p>
        </w:tc>
        <w:tc>
          <w:tcPr>
            <w:tcW w:w="14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F016E6C">
            <w:pPr>
              <w:pStyle w:val="78"/>
              <w:keepNext w:val="0"/>
              <w:keepLines w:val="0"/>
              <w:widowControl w:val="0"/>
              <w:spacing w:after="0"/>
            </w:pP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4F62330">
            <w:pPr>
              <w:pStyle w:val="78"/>
              <w:keepNext w:val="0"/>
              <w:keepLines w:val="0"/>
              <w:widowControl w:val="0"/>
              <w:spacing w:after="0"/>
            </w:pPr>
          </w:p>
        </w:tc>
        <w:tc>
          <w:tcPr>
            <w:tcW w:w="2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1B0CF51">
            <w:pPr>
              <w:pStyle w:val="78"/>
              <w:keepNext w:val="0"/>
              <w:keepLines w:val="0"/>
              <w:widowControl w:val="0"/>
              <w:spacing w:after="0"/>
              <w:rPr>
                <w:bCs/>
              </w:rPr>
            </w:pPr>
          </w:p>
        </w:tc>
      </w:tr>
      <w:tr w14:paraId="2BA04F02">
        <w:tblPrEx>
          <w:tblCellMar>
            <w:top w:w="0" w:type="dxa"/>
            <w:left w:w="108" w:type="dxa"/>
            <w:bottom w:w="0" w:type="dxa"/>
            <w:right w:w="108" w:type="dxa"/>
          </w:tblCellMar>
        </w:tblPrEx>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2E35A78">
            <w:pPr>
              <w:pStyle w:val="78"/>
              <w:keepNext w:val="0"/>
              <w:keepLines w:val="0"/>
              <w:widowControl w:val="0"/>
              <w:spacing w:after="0"/>
              <w:ind w:left="142"/>
              <w:rPr>
                <w:i/>
                <w:iCs/>
              </w:rPr>
            </w:pPr>
            <w:r>
              <w:rPr>
                <w:i/>
                <w:iCs/>
              </w:rPr>
              <w:t>&gt;SCS-15</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7126C29">
            <w:pPr>
              <w:pStyle w:val="78"/>
              <w:keepNext w:val="0"/>
              <w:keepLines w:val="0"/>
              <w:widowControl w:val="0"/>
              <w:spacing w:after="0"/>
            </w:pPr>
          </w:p>
        </w:tc>
        <w:tc>
          <w:tcPr>
            <w:tcW w:w="14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8CC2E12">
            <w:pPr>
              <w:pStyle w:val="78"/>
              <w:keepNext w:val="0"/>
              <w:keepLines w:val="0"/>
              <w:widowControl w:val="0"/>
              <w:spacing w:after="0"/>
            </w:pP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C1045D4">
            <w:pPr>
              <w:pStyle w:val="78"/>
              <w:keepNext w:val="0"/>
              <w:keepLines w:val="0"/>
              <w:widowControl w:val="0"/>
              <w:spacing w:after="0"/>
            </w:pPr>
            <w:r>
              <w:rPr>
                <w:lang w:val="en-US"/>
              </w:rPr>
              <w:t>INTEGER(0..9)</w:t>
            </w:r>
          </w:p>
        </w:tc>
        <w:tc>
          <w:tcPr>
            <w:tcW w:w="2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7538EF7">
            <w:pPr>
              <w:pStyle w:val="78"/>
              <w:keepNext w:val="0"/>
              <w:keepLines w:val="0"/>
              <w:widowControl w:val="0"/>
              <w:spacing w:after="0"/>
              <w:rPr>
                <w:bCs/>
              </w:rPr>
            </w:pPr>
          </w:p>
        </w:tc>
      </w:tr>
      <w:tr w14:paraId="0FB0A622">
        <w:tblPrEx>
          <w:tblCellMar>
            <w:top w:w="0" w:type="dxa"/>
            <w:left w:w="108" w:type="dxa"/>
            <w:bottom w:w="0" w:type="dxa"/>
            <w:right w:w="108" w:type="dxa"/>
          </w:tblCellMar>
        </w:tblPrEx>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003B8D2">
            <w:pPr>
              <w:pStyle w:val="78"/>
              <w:keepNext w:val="0"/>
              <w:keepLines w:val="0"/>
              <w:widowControl w:val="0"/>
              <w:spacing w:after="0"/>
              <w:ind w:left="142"/>
              <w:rPr>
                <w:i/>
                <w:iCs/>
              </w:rPr>
            </w:pPr>
            <w:r>
              <w:rPr>
                <w:i/>
                <w:iCs/>
              </w:rPr>
              <w:t>&gt;SCS-30</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9D639DC">
            <w:pPr>
              <w:pStyle w:val="78"/>
              <w:keepNext w:val="0"/>
              <w:keepLines w:val="0"/>
              <w:widowControl w:val="0"/>
              <w:spacing w:after="0"/>
            </w:pPr>
          </w:p>
        </w:tc>
        <w:tc>
          <w:tcPr>
            <w:tcW w:w="14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A76AA80">
            <w:pPr>
              <w:pStyle w:val="78"/>
              <w:keepNext w:val="0"/>
              <w:keepLines w:val="0"/>
              <w:widowControl w:val="0"/>
              <w:spacing w:after="0"/>
            </w:pP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577DAD3">
            <w:pPr>
              <w:pStyle w:val="78"/>
              <w:keepNext w:val="0"/>
              <w:keepLines w:val="0"/>
              <w:widowControl w:val="0"/>
              <w:spacing w:after="0"/>
            </w:pPr>
            <w:r>
              <w:rPr>
                <w:lang w:val="en-US"/>
              </w:rPr>
              <w:t>INTEGER(0..19)</w:t>
            </w:r>
          </w:p>
        </w:tc>
        <w:tc>
          <w:tcPr>
            <w:tcW w:w="2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212A0D4">
            <w:pPr>
              <w:pStyle w:val="78"/>
              <w:keepNext w:val="0"/>
              <w:keepLines w:val="0"/>
              <w:widowControl w:val="0"/>
              <w:spacing w:after="0"/>
              <w:rPr>
                <w:bCs/>
              </w:rPr>
            </w:pPr>
          </w:p>
        </w:tc>
      </w:tr>
      <w:tr w14:paraId="522EE8A9">
        <w:tblPrEx>
          <w:tblCellMar>
            <w:top w:w="0" w:type="dxa"/>
            <w:left w:w="108" w:type="dxa"/>
            <w:bottom w:w="0" w:type="dxa"/>
            <w:right w:w="108" w:type="dxa"/>
          </w:tblCellMar>
        </w:tblPrEx>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6E213E9">
            <w:pPr>
              <w:pStyle w:val="78"/>
              <w:keepNext w:val="0"/>
              <w:keepLines w:val="0"/>
              <w:widowControl w:val="0"/>
              <w:spacing w:after="0"/>
              <w:ind w:left="142"/>
              <w:rPr>
                <w:i/>
                <w:iCs/>
              </w:rPr>
            </w:pPr>
            <w:r>
              <w:rPr>
                <w:i/>
                <w:iCs/>
              </w:rPr>
              <w:t>&gt;SCS-60</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A2295E8">
            <w:pPr>
              <w:pStyle w:val="78"/>
              <w:keepNext w:val="0"/>
              <w:keepLines w:val="0"/>
              <w:widowControl w:val="0"/>
              <w:spacing w:after="0"/>
            </w:pPr>
          </w:p>
        </w:tc>
        <w:tc>
          <w:tcPr>
            <w:tcW w:w="14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BDDAAF8">
            <w:pPr>
              <w:pStyle w:val="78"/>
              <w:keepNext w:val="0"/>
              <w:keepLines w:val="0"/>
              <w:widowControl w:val="0"/>
              <w:spacing w:after="0"/>
            </w:pP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1F49CB9">
            <w:pPr>
              <w:pStyle w:val="78"/>
              <w:keepNext w:val="0"/>
              <w:keepLines w:val="0"/>
              <w:widowControl w:val="0"/>
              <w:spacing w:after="0"/>
            </w:pPr>
            <w:r>
              <w:rPr>
                <w:lang w:val="en-US"/>
              </w:rPr>
              <w:t>INTEGER(0..39)</w:t>
            </w:r>
          </w:p>
        </w:tc>
        <w:tc>
          <w:tcPr>
            <w:tcW w:w="2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02D3AA0">
            <w:pPr>
              <w:pStyle w:val="78"/>
              <w:keepNext w:val="0"/>
              <w:keepLines w:val="0"/>
              <w:widowControl w:val="0"/>
              <w:spacing w:after="0"/>
              <w:rPr>
                <w:bCs/>
              </w:rPr>
            </w:pPr>
          </w:p>
        </w:tc>
      </w:tr>
      <w:tr w14:paraId="6CCA8321">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CA081BF">
            <w:pPr>
              <w:pStyle w:val="78"/>
              <w:keepNext w:val="0"/>
              <w:keepLines w:val="0"/>
              <w:widowControl w:val="0"/>
              <w:spacing w:after="0"/>
              <w:ind w:left="142"/>
              <w:rPr>
                <w:i/>
                <w:iCs/>
              </w:rPr>
            </w:pPr>
            <w:r>
              <w:rPr>
                <w:i/>
                <w:iCs/>
              </w:rPr>
              <w:t>&gt;SCS-120</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49E5ADF">
            <w:pPr>
              <w:pStyle w:val="78"/>
              <w:keepNext w:val="0"/>
              <w:keepLines w:val="0"/>
              <w:widowControl w:val="0"/>
              <w:spacing w:after="0"/>
            </w:pPr>
          </w:p>
        </w:tc>
        <w:tc>
          <w:tcPr>
            <w:tcW w:w="14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A10F8CD">
            <w:pPr>
              <w:pStyle w:val="78"/>
              <w:keepNext w:val="0"/>
              <w:keepLines w:val="0"/>
              <w:widowControl w:val="0"/>
              <w:spacing w:after="0"/>
            </w:pP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8259781">
            <w:pPr>
              <w:pStyle w:val="78"/>
              <w:keepNext w:val="0"/>
              <w:keepLines w:val="0"/>
              <w:widowControl w:val="0"/>
              <w:spacing w:after="0"/>
            </w:pPr>
            <w:r>
              <w:rPr>
                <w:lang w:val="en-US"/>
              </w:rPr>
              <w:t>INTEGER(0..79)</w:t>
            </w:r>
          </w:p>
        </w:tc>
        <w:tc>
          <w:tcPr>
            <w:tcW w:w="2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5321133">
            <w:pPr>
              <w:pStyle w:val="78"/>
              <w:keepNext w:val="0"/>
              <w:keepLines w:val="0"/>
              <w:widowControl w:val="0"/>
              <w:spacing w:after="0"/>
              <w:rPr>
                <w:bCs/>
              </w:rPr>
            </w:pPr>
          </w:p>
        </w:tc>
      </w:tr>
      <w:tr w14:paraId="62FC850E">
        <w:tblPrEx>
          <w:tblCellMar>
            <w:top w:w="0" w:type="dxa"/>
            <w:left w:w="108" w:type="dxa"/>
            <w:bottom w:w="0" w:type="dxa"/>
            <w:right w:w="108" w:type="dxa"/>
          </w:tblCellMar>
        </w:tblPrEx>
        <w:tc>
          <w:tcPr>
            <w:tcW w:w="2448"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0156C45">
            <w:pPr>
              <w:pStyle w:val="78"/>
              <w:keepNext w:val="0"/>
              <w:keepLines w:val="0"/>
              <w:widowControl w:val="0"/>
              <w:spacing w:after="0"/>
            </w:pPr>
            <w:r>
              <w:t xml:space="preserve"> Measurement time</w:t>
            </w:r>
          </w:p>
        </w:tc>
        <w:tc>
          <w:tcPr>
            <w:tcW w:w="108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0E76078">
            <w:pPr>
              <w:pStyle w:val="78"/>
              <w:keepNext w:val="0"/>
              <w:keepLines w:val="0"/>
              <w:widowControl w:val="0"/>
              <w:spacing w:after="0"/>
            </w:pPr>
            <w:r>
              <w:t>O</w:t>
            </w:r>
          </w:p>
        </w:tc>
        <w:tc>
          <w:tcPr>
            <w:tcW w:w="1439"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76CA76D">
            <w:pPr>
              <w:pStyle w:val="78"/>
              <w:keepNext w:val="0"/>
              <w:keepLines w:val="0"/>
              <w:widowControl w:val="0"/>
              <w:spacing w:after="0"/>
            </w:pPr>
          </w:p>
        </w:tc>
        <w:tc>
          <w:tcPr>
            <w:tcW w:w="187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E5FAD2D">
            <w:pPr>
              <w:pStyle w:val="78"/>
              <w:keepNext w:val="0"/>
              <w:keepLines w:val="0"/>
              <w:widowControl w:val="0"/>
              <w:spacing w:after="0"/>
              <w:rPr>
                <w:lang w:val="en-US"/>
              </w:rPr>
            </w:pPr>
            <w:r>
              <w:t>Relative Time 1900</w:t>
            </w:r>
          </w:p>
          <w:p w14:paraId="67839A78">
            <w:pPr>
              <w:pStyle w:val="78"/>
              <w:keepNext w:val="0"/>
              <w:keepLines w:val="0"/>
              <w:widowControl w:val="0"/>
              <w:spacing w:after="0"/>
            </w:pPr>
            <w:r>
              <w:t>9.2.36</w:t>
            </w:r>
          </w:p>
        </w:tc>
        <w:tc>
          <w:tcPr>
            <w:tcW w:w="288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EC9E900">
            <w:pPr>
              <w:pStyle w:val="78"/>
              <w:keepNext w:val="0"/>
              <w:keepLines w:val="0"/>
              <w:widowControl w:val="0"/>
              <w:spacing w:after="0"/>
              <w:rPr>
                <w:bCs/>
              </w:rPr>
            </w:pPr>
          </w:p>
        </w:tc>
      </w:tr>
    </w:tbl>
    <w:p w14:paraId="0C89650C"/>
    <w:p w14:paraId="3074F30D">
      <w:pPr>
        <w:rPr>
          <w:lang w:eastAsia="ko-KR"/>
        </w:rPr>
      </w:pPr>
      <w:bookmarkStart w:id="2120" w:name="_Toc64447705"/>
      <w:bookmarkStart w:id="2121" w:name="_Toc51776054"/>
      <w:bookmarkStart w:id="2122" w:name="_Toc56773076"/>
      <w:bookmarkStart w:id="2123" w:name="_Toc106109618"/>
      <w:bookmarkStart w:id="2124" w:name="_Toc112766510"/>
      <w:bookmarkStart w:id="2125" w:name="_Toc88654214"/>
      <w:bookmarkStart w:id="2126" w:name="_Toc120091979"/>
      <w:bookmarkStart w:id="2127" w:name="_Toc74152361"/>
      <w:bookmarkStart w:id="2128" w:name="_Toc99056283"/>
      <w:bookmarkStart w:id="2129" w:name="_Toc105612402"/>
      <w:bookmarkStart w:id="2130" w:name="_Toc113379426"/>
      <w:bookmarkStart w:id="2131" w:name="_Toc99959216"/>
      <w:bookmarkStart w:id="2132" w:name="_Toc155982894"/>
      <w:r>
        <w:rPr>
          <w:lang w:eastAsia="ko-KR"/>
        </w:rPr>
        <w:t>9.2.36</w:t>
      </w:r>
      <w:r>
        <w:rPr>
          <w:lang w:eastAsia="ko-KR"/>
        </w:rPr>
        <w:tab/>
      </w:r>
      <w:bookmarkEnd w:id="2120"/>
      <w:bookmarkEnd w:id="2121"/>
      <w:bookmarkEnd w:id="2122"/>
      <w:r>
        <w:rPr>
          <w:lang w:eastAsia="ko-KR"/>
        </w:rPr>
        <w:t>Relative Time 1900</w:t>
      </w:r>
      <w:bookmarkEnd w:id="2123"/>
      <w:bookmarkEnd w:id="2124"/>
      <w:bookmarkEnd w:id="2125"/>
      <w:bookmarkEnd w:id="2126"/>
      <w:bookmarkEnd w:id="2127"/>
      <w:bookmarkEnd w:id="2128"/>
      <w:bookmarkEnd w:id="2129"/>
      <w:bookmarkEnd w:id="2130"/>
      <w:bookmarkEnd w:id="2131"/>
      <w:bookmarkEnd w:id="2132"/>
    </w:p>
    <w:p w14:paraId="119D0D0C">
      <w:pPr>
        <w:widowControl w:val="0"/>
        <w:overflowPunct w:val="0"/>
        <w:autoSpaceDE w:val="0"/>
        <w:autoSpaceDN w:val="0"/>
        <w:adjustRightInd w:val="0"/>
        <w:textAlignment w:val="baseline"/>
        <w:rPr>
          <w:lang w:eastAsia="ko-KR"/>
        </w:rPr>
      </w:pPr>
      <w:r>
        <w:rPr>
          <w:lang w:eastAsia="ko-KR"/>
        </w:rPr>
        <w:t>This information element indicates the initialisation time (e.g. SFN Initalisation Time for a cell, requested time for an action, etc).</w:t>
      </w:r>
    </w:p>
    <w:tbl>
      <w:tblPr>
        <w:tblStyle w:val="51"/>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080"/>
        <w:gridCol w:w="1440"/>
        <w:gridCol w:w="1872"/>
        <w:gridCol w:w="2880"/>
      </w:tblGrid>
      <w:tr w14:paraId="19D1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48" w:type="dxa"/>
          </w:tcPr>
          <w:p w14:paraId="510A383C">
            <w:pPr>
              <w:widowControl w:val="0"/>
              <w:overflowPunct w:val="0"/>
              <w:autoSpaceDE w:val="0"/>
              <w:autoSpaceDN w:val="0"/>
              <w:adjustRightInd w:val="0"/>
              <w:spacing w:after="0"/>
              <w:jc w:val="center"/>
              <w:textAlignment w:val="baseline"/>
              <w:rPr>
                <w:rFonts w:ascii="Arial" w:hAnsi="Arial"/>
                <w:b/>
                <w:sz w:val="18"/>
                <w:lang w:eastAsia="ko-KR"/>
              </w:rPr>
            </w:pPr>
            <w:r>
              <w:rPr>
                <w:rFonts w:ascii="Arial" w:hAnsi="Arial"/>
                <w:b/>
                <w:sz w:val="18"/>
                <w:lang w:eastAsia="ko-KR"/>
              </w:rPr>
              <w:t>IE/Group Name</w:t>
            </w:r>
          </w:p>
        </w:tc>
        <w:tc>
          <w:tcPr>
            <w:tcW w:w="1080" w:type="dxa"/>
          </w:tcPr>
          <w:p w14:paraId="101C3C74">
            <w:pPr>
              <w:widowControl w:val="0"/>
              <w:overflowPunct w:val="0"/>
              <w:autoSpaceDE w:val="0"/>
              <w:autoSpaceDN w:val="0"/>
              <w:adjustRightInd w:val="0"/>
              <w:spacing w:after="0"/>
              <w:jc w:val="center"/>
              <w:textAlignment w:val="baseline"/>
              <w:rPr>
                <w:rFonts w:ascii="Arial" w:hAnsi="Arial"/>
                <w:b/>
                <w:sz w:val="18"/>
                <w:lang w:eastAsia="ko-KR"/>
              </w:rPr>
            </w:pPr>
            <w:r>
              <w:rPr>
                <w:rFonts w:ascii="Arial" w:hAnsi="Arial"/>
                <w:b/>
                <w:sz w:val="18"/>
                <w:lang w:eastAsia="ko-KR"/>
              </w:rPr>
              <w:t>Presence</w:t>
            </w:r>
          </w:p>
        </w:tc>
        <w:tc>
          <w:tcPr>
            <w:tcW w:w="1440" w:type="dxa"/>
          </w:tcPr>
          <w:p w14:paraId="2647DBC6">
            <w:pPr>
              <w:widowControl w:val="0"/>
              <w:overflowPunct w:val="0"/>
              <w:autoSpaceDE w:val="0"/>
              <w:autoSpaceDN w:val="0"/>
              <w:adjustRightInd w:val="0"/>
              <w:spacing w:after="0"/>
              <w:jc w:val="center"/>
              <w:textAlignment w:val="baseline"/>
              <w:rPr>
                <w:rFonts w:ascii="Arial" w:hAnsi="Arial"/>
                <w:b/>
                <w:sz w:val="18"/>
                <w:lang w:eastAsia="ko-KR"/>
              </w:rPr>
            </w:pPr>
            <w:r>
              <w:rPr>
                <w:rFonts w:ascii="Arial" w:hAnsi="Arial"/>
                <w:b/>
                <w:sz w:val="18"/>
                <w:lang w:eastAsia="ko-KR"/>
              </w:rPr>
              <w:t>Range</w:t>
            </w:r>
          </w:p>
        </w:tc>
        <w:tc>
          <w:tcPr>
            <w:tcW w:w="1872" w:type="dxa"/>
          </w:tcPr>
          <w:p w14:paraId="2DC70629">
            <w:pPr>
              <w:widowControl w:val="0"/>
              <w:overflowPunct w:val="0"/>
              <w:autoSpaceDE w:val="0"/>
              <w:autoSpaceDN w:val="0"/>
              <w:adjustRightInd w:val="0"/>
              <w:spacing w:after="0"/>
              <w:jc w:val="center"/>
              <w:textAlignment w:val="baseline"/>
              <w:rPr>
                <w:rFonts w:ascii="Arial" w:hAnsi="Arial"/>
                <w:b/>
                <w:sz w:val="18"/>
                <w:lang w:eastAsia="ko-KR"/>
              </w:rPr>
            </w:pPr>
            <w:r>
              <w:rPr>
                <w:rFonts w:ascii="Arial" w:hAnsi="Arial"/>
                <w:b/>
                <w:sz w:val="18"/>
                <w:lang w:eastAsia="ko-KR"/>
              </w:rPr>
              <w:t>IE Type and Reference</w:t>
            </w:r>
          </w:p>
        </w:tc>
        <w:tc>
          <w:tcPr>
            <w:tcW w:w="2880" w:type="dxa"/>
          </w:tcPr>
          <w:p w14:paraId="47441475">
            <w:pPr>
              <w:widowControl w:val="0"/>
              <w:overflowPunct w:val="0"/>
              <w:autoSpaceDE w:val="0"/>
              <w:autoSpaceDN w:val="0"/>
              <w:adjustRightInd w:val="0"/>
              <w:spacing w:after="0"/>
              <w:jc w:val="center"/>
              <w:textAlignment w:val="baseline"/>
              <w:rPr>
                <w:rFonts w:ascii="Arial" w:hAnsi="Arial"/>
                <w:b/>
                <w:sz w:val="18"/>
                <w:lang w:eastAsia="ko-KR"/>
              </w:rPr>
            </w:pPr>
            <w:r>
              <w:rPr>
                <w:rFonts w:ascii="Arial" w:hAnsi="Arial"/>
                <w:b/>
                <w:sz w:val="18"/>
                <w:lang w:eastAsia="ko-KR"/>
              </w:rPr>
              <w:t>Semantics Description</w:t>
            </w:r>
          </w:p>
        </w:tc>
      </w:tr>
      <w:tr w14:paraId="24C84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1A8873E9">
            <w:pPr>
              <w:widowControl w:val="0"/>
              <w:overflowPunct w:val="0"/>
              <w:autoSpaceDE w:val="0"/>
              <w:autoSpaceDN w:val="0"/>
              <w:adjustRightInd w:val="0"/>
              <w:spacing w:after="0"/>
              <w:textAlignment w:val="baseline"/>
              <w:rPr>
                <w:rFonts w:ascii="Arial" w:hAnsi="Arial"/>
                <w:b/>
                <w:bCs/>
                <w:sz w:val="18"/>
                <w:lang w:eastAsia="ko-KR"/>
              </w:rPr>
            </w:pPr>
            <w:r>
              <w:rPr>
                <w:rFonts w:ascii="Arial" w:hAnsi="Arial"/>
                <w:sz w:val="18"/>
                <w:lang w:eastAsia="ko-KR"/>
              </w:rPr>
              <w:t>Relative Time 1900</w:t>
            </w:r>
          </w:p>
        </w:tc>
        <w:tc>
          <w:tcPr>
            <w:tcW w:w="1080" w:type="dxa"/>
          </w:tcPr>
          <w:p w14:paraId="7FD37992">
            <w:pPr>
              <w:widowControl w:val="0"/>
              <w:overflowPunct w:val="0"/>
              <w:autoSpaceDE w:val="0"/>
              <w:autoSpaceDN w:val="0"/>
              <w:adjustRightInd w:val="0"/>
              <w:spacing w:after="0"/>
              <w:textAlignment w:val="baseline"/>
              <w:rPr>
                <w:rFonts w:ascii="Arial" w:hAnsi="Arial"/>
                <w:sz w:val="18"/>
                <w:lang w:eastAsia="ko-KR"/>
              </w:rPr>
            </w:pPr>
            <w:r>
              <w:rPr>
                <w:rFonts w:ascii="Arial" w:hAnsi="Arial"/>
                <w:sz w:val="18"/>
                <w:lang w:eastAsia="ko-KR"/>
              </w:rPr>
              <w:t>M</w:t>
            </w:r>
          </w:p>
        </w:tc>
        <w:tc>
          <w:tcPr>
            <w:tcW w:w="1440" w:type="dxa"/>
          </w:tcPr>
          <w:p w14:paraId="6EEBE4A0">
            <w:pPr>
              <w:widowControl w:val="0"/>
              <w:overflowPunct w:val="0"/>
              <w:autoSpaceDE w:val="0"/>
              <w:autoSpaceDN w:val="0"/>
              <w:adjustRightInd w:val="0"/>
              <w:spacing w:after="0"/>
              <w:textAlignment w:val="baseline"/>
              <w:rPr>
                <w:rFonts w:ascii="Arial" w:hAnsi="Arial"/>
                <w:i/>
                <w:iCs/>
                <w:sz w:val="18"/>
                <w:lang w:eastAsia="ko-KR"/>
              </w:rPr>
            </w:pPr>
          </w:p>
        </w:tc>
        <w:tc>
          <w:tcPr>
            <w:tcW w:w="1872" w:type="dxa"/>
          </w:tcPr>
          <w:p w14:paraId="6AAEC170">
            <w:pPr>
              <w:widowControl w:val="0"/>
              <w:overflowPunct w:val="0"/>
              <w:autoSpaceDE w:val="0"/>
              <w:autoSpaceDN w:val="0"/>
              <w:adjustRightInd w:val="0"/>
              <w:spacing w:after="0"/>
              <w:textAlignment w:val="baseline"/>
              <w:rPr>
                <w:rFonts w:ascii="Arial" w:hAnsi="Arial"/>
                <w:sz w:val="18"/>
                <w:lang w:eastAsia="ko-KR"/>
              </w:rPr>
            </w:pPr>
            <w:r>
              <w:rPr>
                <w:rFonts w:ascii="Arial" w:hAnsi="Arial"/>
                <w:sz w:val="18"/>
                <w:lang w:eastAsia="ko-KR"/>
              </w:rPr>
              <w:t>BIT STRING (SIZE(64))</w:t>
            </w:r>
          </w:p>
        </w:tc>
        <w:tc>
          <w:tcPr>
            <w:tcW w:w="2880" w:type="dxa"/>
          </w:tcPr>
          <w:p w14:paraId="4D3FD482">
            <w:pPr>
              <w:widowControl w:val="0"/>
              <w:overflowPunct w:val="0"/>
              <w:autoSpaceDE w:val="0"/>
              <w:autoSpaceDN w:val="0"/>
              <w:adjustRightInd w:val="0"/>
              <w:spacing w:after="0"/>
              <w:textAlignment w:val="baseline"/>
              <w:rPr>
                <w:rFonts w:ascii="Arial" w:hAnsi="Arial" w:eastAsia="宋体"/>
                <w:bCs/>
                <w:sz w:val="18"/>
                <w:lang w:eastAsia="zh-CN"/>
              </w:rPr>
            </w:pPr>
            <w:r>
              <w:rPr>
                <w:rFonts w:ascii="Arial" w:hAnsi="Arial" w:eastAsia="宋体"/>
                <w:bCs/>
                <w:sz w:val="18"/>
                <w:lang w:eastAsia="zh-CN"/>
              </w:rPr>
              <w:t xml:space="preserve">Time in seconds relative to 00:00:00 on 1 January 1900 (calculated as continuous time without leap seconds and traceable to a common time reference) where binary encoding of the integer part is in the first 32 bits and binary encoding of the fraction part in the last 32 bits. </w:t>
            </w:r>
            <w:r>
              <w:rPr>
                <w:rFonts w:ascii="Arial" w:hAnsi="Arial" w:eastAsia="宋体"/>
                <w:bCs/>
                <w:color w:val="FF0000"/>
                <w:sz w:val="18"/>
                <w:lang w:eastAsia="zh-CN"/>
              </w:rPr>
              <w:t>The fraction part is expressed with a granularity of 1 /2**32 second</w:t>
            </w:r>
          </w:p>
        </w:tc>
      </w:tr>
    </w:tbl>
    <w:p w14:paraId="33056A42">
      <w:pPr>
        <w:widowControl w:val="0"/>
        <w:overflowPunct w:val="0"/>
        <w:autoSpaceDE w:val="0"/>
        <w:autoSpaceDN w:val="0"/>
        <w:adjustRightInd w:val="0"/>
        <w:textAlignment w:val="baseline"/>
        <w:rPr>
          <w:b/>
          <w:lang w:eastAsia="ko-KR"/>
        </w:rPr>
      </w:pPr>
    </w:p>
    <w:p w14:paraId="3841683F">
      <w:pPr>
        <w:pStyle w:val="73"/>
        <w:numPr>
          <w:ilvl w:val="0"/>
          <w:numId w:val="0"/>
        </w:numPr>
      </w:pPr>
    </w:p>
    <w:p w14:paraId="24011A2D">
      <w:pPr>
        <w:pStyle w:val="4"/>
      </w:pPr>
      <w:bookmarkStart w:id="2133" w:name="_Toc173851045"/>
      <w:bookmarkEnd w:id="2133"/>
      <w:bookmarkStart w:id="2134" w:name="_Toc173940800"/>
      <w:bookmarkEnd w:id="2134"/>
      <w:bookmarkStart w:id="2135" w:name="_Toc173940788"/>
      <w:bookmarkEnd w:id="2135"/>
      <w:bookmarkStart w:id="2136" w:name="_Toc173851044"/>
      <w:bookmarkEnd w:id="2136"/>
      <w:bookmarkStart w:id="2137" w:name="_Toc173940796"/>
      <w:bookmarkEnd w:id="2137"/>
      <w:bookmarkStart w:id="2138" w:name="_Toc173940797"/>
      <w:bookmarkEnd w:id="2138"/>
      <w:bookmarkStart w:id="2139" w:name="_Toc173851046"/>
      <w:bookmarkEnd w:id="2139"/>
      <w:bookmarkStart w:id="2140" w:name="_Toc173940798"/>
      <w:bookmarkEnd w:id="2140"/>
      <w:bookmarkStart w:id="2141" w:name="_Toc173851048"/>
      <w:bookmarkEnd w:id="2141"/>
      <w:bookmarkStart w:id="2142" w:name="_Toc173851047"/>
      <w:bookmarkEnd w:id="2142"/>
      <w:bookmarkStart w:id="2143" w:name="_Toc173851036"/>
      <w:bookmarkEnd w:id="2143"/>
      <w:bookmarkStart w:id="2144" w:name="_Toc173940799"/>
      <w:bookmarkEnd w:id="2144"/>
      <w:bookmarkStart w:id="2145" w:name="_Toc189845034"/>
      <w:bookmarkStart w:id="2146" w:name="_Toc165991010"/>
      <w:bookmarkStart w:id="2147" w:name="_Ref163213782"/>
      <w:r>
        <w:rPr>
          <w:lang w:val="en-US"/>
        </w:rPr>
        <w:t>Signalling and quality reporting for Part A</w:t>
      </w:r>
      <w:bookmarkEnd w:id="2145"/>
    </w:p>
    <w:p w14:paraId="5955FD26">
      <w:r>
        <w:t>From the RAN 1 perspective, data collection for Part A is the same procedure as measurement reporting /requests for inference. Additionally, legacy measurement request may be re-used.</w:t>
      </w:r>
    </w:p>
    <w:p w14:paraId="52DD7B9C">
      <w:r>
        <w:t xml:space="preserve">For Case 1 and Case 2a, data collection for Part A between a UE and another PRU UEs is already supported by specification. For data collection between non-PRU UEs, 3GPP should not specify a method for data collection. Rather, an OTT solution is assumed. </w:t>
      </w:r>
    </w:p>
    <w:p w14:paraId="15DC0397">
      <w:pPr>
        <w:pStyle w:val="97"/>
      </w:pPr>
      <w:bookmarkStart w:id="2148" w:name="_Toc189845084"/>
      <w:r>
        <w:t>From the RAN1 perspective, current specification support for Part A data collection in Case 1 is sufficient.</w:t>
      </w:r>
      <w:bookmarkEnd w:id="2148"/>
    </w:p>
    <w:p w14:paraId="34826B42">
      <w:r>
        <w:t xml:space="preserve">For Case 3b and 2b, data collection for Part A should not be different from measurement request during inference. For Case 3a with model in the gNB (CU if split architecture) the situation is the same. </w:t>
      </w:r>
    </w:p>
    <w:p w14:paraId="0A598DAF">
      <w:pPr>
        <w:pStyle w:val="97"/>
      </w:pPr>
      <w:bookmarkStart w:id="2149" w:name="_Toc189845085"/>
      <w:r>
        <w:t>From the RAN1 perspective, Part A data collection in Case 2b and 3b is identical to measurement reporting for inference.</w:t>
      </w:r>
      <w:bookmarkEnd w:id="2149"/>
    </w:p>
    <w:p w14:paraId="289D29B9">
      <w:r>
        <w:t xml:space="preserve">For Case 3a with model in the TRP, the TRP can handle its own measurements. Thus measurement request for Part A in Case 3a is not an issue. </w:t>
      </w:r>
    </w:p>
    <w:p w14:paraId="30566C0F">
      <w:pPr>
        <w:pStyle w:val="97"/>
      </w:pPr>
      <w:bookmarkStart w:id="2150" w:name="_Toc189845086"/>
      <w:r>
        <w:t>From the RAN1 perspective, Part A data collection in Case 3a is either up to the network implementation or identical to measurement reporting for inference.</w:t>
      </w:r>
      <w:bookmarkEnd w:id="2150"/>
      <w:r>
        <w:t xml:space="preserve">  </w:t>
      </w:r>
    </w:p>
    <w:p w14:paraId="7E7C4AB8">
      <w:r>
        <w:t xml:space="preserve">Based on this analysis, RAN1 does not need further discussion on specific procedure for Part A data collection.  </w:t>
      </w:r>
    </w:p>
    <w:p w14:paraId="014B7BCB">
      <w:pPr>
        <w:pStyle w:val="73"/>
      </w:pPr>
      <w:bookmarkStart w:id="2151" w:name="_Toc189845139"/>
      <w:r>
        <w:t>RAN1 does not need to discuss further signalling to enable Part A data collection.  Measurement reporting is jointly discussed for training data collection and inference.</w:t>
      </w:r>
      <w:bookmarkEnd w:id="2151"/>
    </w:p>
    <w:p w14:paraId="4D4A381D">
      <w:r>
        <w:t xml:space="preserve">For quality indication of model input, i.e. Part A, the measurement quality can also be jointly discussed for training data collection and inference, since the same measurement quality indicator type is expected to be used for measurement reported during inference. </w:t>
      </w:r>
    </w:p>
    <w:p w14:paraId="47D8D377">
      <w:r>
        <w:t xml:space="preserve">Regarding timing measurements in Part A, e.g., the sample timing in PDP and DP, it was agreed in RAN1#118bis that the existing IE </w:t>
      </w:r>
      <w:r>
        <w:rPr>
          <w:lang w:val="en-GB"/>
        </w:rPr>
        <w:t>for timing quality is reused, i.e., NR-TimingQuality in 37.355 and IE “Timing Measurement Quality” in 38.455</w:t>
      </w:r>
      <w:r>
        <w:t>.</w:t>
      </w:r>
    </w:p>
    <w:p w14:paraId="19D37D2B">
      <w:r>
        <w:t xml:space="preserve">Regarding power measurements in Part A for PDP, quality indicator similar to </w:t>
      </w:r>
      <w:r>
        <w:rPr>
          <w:i/>
        </w:rPr>
        <w:t>NR-</w:t>
      </w:r>
      <w:r>
        <w:rPr>
          <w:i/>
          <w:iCs/>
        </w:rPr>
        <w:t>TimingQuality</w:t>
      </w:r>
      <w:r>
        <w:t xml:space="preserve"> can be provided. An example is shown below.</w:t>
      </w:r>
    </w:p>
    <w:p w14:paraId="2AAC9634">
      <w:pPr>
        <w:pStyle w:val="137"/>
      </w:pPr>
      <w:r>
        <w:rPr>
          <w:snapToGrid w:val="0"/>
        </w:rPr>
        <w:t xml:space="preserve">NR-PowerQuality-r19 </w:t>
      </w:r>
      <w:r>
        <w:t>::= SEQUENCE {</w:t>
      </w:r>
    </w:p>
    <w:p w14:paraId="3A0B2188">
      <w:pPr>
        <w:pStyle w:val="137"/>
      </w:pPr>
      <w:r>
        <w:tab/>
      </w:r>
      <w:r>
        <w:t>powerQualityValue-r19</w:t>
      </w:r>
      <w:r>
        <w:tab/>
      </w:r>
      <w:r>
        <w:tab/>
      </w:r>
      <w:r>
        <w:tab/>
      </w:r>
      <w:r>
        <w:rPr>
          <w:snapToGrid w:val="0"/>
        </w:rPr>
        <w:t>INTEGER (0..9),</w:t>
      </w:r>
    </w:p>
    <w:p w14:paraId="581233AC">
      <w:pPr>
        <w:pStyle w:val="137"/>
        <w:rPr>
          <w:snapToGrid w:val="0"/>
        </w:rPr>
      </w:pPr>
      <w:r>
        <w:rPr>
          <w:snapToGrid w:val="0"/>
        </w:rPr>
        <w:tab/>
      </w:r>
      <w:r>
        <w:rPr>
          <w:snapToGrid w:val="0"/>
        </w:rPr>
        <w:t>powerQualityResolution-r19</w:t>
      </w:r>
      <w:r>
        <w:rPr>
          <w:snapToGrid w:val="0"/>
        </w:rPr>
        <w:tab/>
      </w:r>
      <w:r>
        <w:rPr>
          <w:snapToGrid w:val="0"/>
        </w:rPr>
        <w:tab/>
      </w:r>
      <w:r>
        <w:t>ENUMERATED {dBdot1, dB1,…}</w:t>
      </w:r>
      <w:r>
        <w:rPr>
          <w:snapToGrid w:val="0"/>
        </w:rPr>
        <w:t>,</w:t>
      </w:r>
    </w:p>
    <w:p w14:paraId="5AE2FE02">
      <w:pPr>
        <w:pStyle w:val="137"/>
        <w:rPr>
          <w:snapToGrid w:val="0"/>
        </w:rPr>
      </w:pPr>
      <w:r>
        <w:rPr>
          <w:snapToGrid w:val="0"/>
        </w:rPr>
        <w:tab/>
      </w:r>
      <w:r>
        <w:rPr>
          <w:snapToGrid w:val="0"/>
        </w:rPr>
        <w:t>...</w:t>
      </w:r>
    </w:p>
    <w:p w14:paraId="51377076">
      <w:pPr>
        <w:pStyle w:val="137"/>
      </w:pPr>
      <w:r>
        <w:t>}</w:t>
      </w:r>
    </w:p>
    <w:p w14:paraId="56E2419F"/>
    <w:tbl>
      <w:tblPr>
        <w:tblStyle w:val="51"/>
        <w:tblW w:w="9697"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97"/>
      </w:tblGrid>
      <w:tr w14:paraId="2C16EC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trPr>
        <w:tc>
          <w:tcPr>
            <w:tcW w:w="9697" w:type="dxa"/>
          </w:tcPr>
          <w:p w14:paraId="40FC5A09">
            <w:pPr>
              <w:widowControl w:val="0"/>
              <w:spacing w:after="0"/>
              <w:jc w:val="center"/>
              <w:rPr>
                <w:rFonts w:ascii="Arial" w:hAnsi="Arial" w:eastAsia="Times New Roman" w:cs="Times New Roman"/>
                <w:b/>
                <w:sz w:val="18"/>
                <w:szCs w:val="20"/>
              </w:rPr>
            </w:pPr>
            <w:r>
              <w:rPr>
                <w:rFonts w:ascii="Arial" w:hAnsi="Arial" w:eastAsia="Times New Roman" w:cs="Times New Roman"/>
                <w:b/>
                <w:i/>
                <w:sz w:val="18"/>
                <w:szCs w:val="20"/>
              </w:rPr>
              <w:t xml:space="preserve">NR-PowerQuality </w:t>
            </w:r>
            <w:r>
              <w:rPr>
                <w:rFonts w:ascii="Arial" w:hAnsi="Arial" w:eastAsia="Times New Roman" w:cs="Times New Roman"/>
                <w:b/>
                <w:sz w:val="18"/>
                <w:szCs w:val="20"/>
              </w:rPr>
              <w:t>field descriptions</w:t>
            </w:r>
          </w:p>
        </w:tc>
      </w:tr>
      <w:tr w14:paraId="15FE7A7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9697" w:type="dxa"/>
          </w:tcPr>
          <w:p w14:paraId="068E0745">
            <w:pPr>
              <w:keepNext/>
              <w:keepLines/>
              <w:spacing w:after="0"/>
              <w:rPr>
                <w:rFonts w:ascii="Arial" w:hAnsi="Arial" w:eastAsia="Times New Roman" w:cs="Times New Roman"/>
                <w:sz w:val="18"/>
                <w:szCs w:val="18"/>
              </w:rPr>
            </w:pPr>
            <w:r>
              <w:rPr>
                <w:rFonts w:ascii="Arial" w:hAnsi="Arial" w:eastAsia="Times New Roman" w:cs="Times New Roman"/>
                <w:b/>
                <w:i/>
                <w:sz w:val="18"/>
                <w:szCs w:val="18"/>
              </w:rPr>
              <w:t>powerQualityValue</w:t>
            </w:r>
          </w:p>
          <w:p w14:paraId="11B98A62">
            <w:pPr>
              <w:keepNext/>
              <w:keepLines/>
              <w:widowControl w:val="0"/>
              <w:spacing w:after="0"/>
              <w:rPr>
                <w:rFonts w:ascii="Arial" w:hAnsi="Arial" w:eastAsia="Times New Roman" w:cs="Times New Roman"/>
                <w:sz w:val="18"/>
                <w:szCs w:val="18"/>
              </w:rPr>
            </w:pPr>
            <w:r>
              <w:rPr>
                <w:rFonts w:ascii="Arial" w:hAnsi="Arial" w:eastAsia="Times New Roman" w:cs="Times New Roman"/>
                <w:sz w:val="18"/>
                <w:szCs w:val="18"/>
              </w:rPr>
              <w:t xml:space="preserve">This field provides an estimate of uncertainty </w:t>
            </w:r>
            <w:r>
              <w:rPr>
                <w:rFonts w:ascii="Arial" w:hAnsi="Arial" w:cs="Arial"/>
                <w:sz w:val="18"/>
                <w:szCs w:val="18"/>
                <w:lang w:eastAsia="zh-CN"/>
              </w:rPr>
              <w:t>±X dB</w:t>
            </w:r>
            <w:r>
              <w:rPr>
                <w:rFonts w:ascii="Arial" w:hAnsi="Arial" w:eastAsia="Times New Roman" w:cs="Times New Roman"/>
                <w:sz w:val="18"/>
                <w:szCs w:val="18"/>
              </w:rPr>
              <w:t xml:space="preserve"> of the power value for which the IE </w:t>
            </w:r>
            <w:r>
              <w:rPr>
                <w:rFonts w:ascii="Arial" w:hAnsi="Arial" w:eastAsia="Times New Roman" w:cs="Times New Roman"/>
                <w:i/>
                <w:sz w:val="18"/>
                <w:szCs w:val="18"/>
              </w:rPr>
              <w:t xml:space="preserve">NR-PowerQuality </w:t>
            </w:r>
            <w:r>
              <w:rPr>
                <w:rFonts w:ascii="Arial" w:hAnsi="Arial" w:eastAsia="Times New Roman" w:cs="Times New Roman"/>
                <w:sz w:val="18"/>
                <w:szCs w:val="18"/>
              </w:rPr>
              <w:t xml:space="preserve">is provided in units of dB. Represents the deviation (uncertainty) in power as compared to what is reported for power level. </w:t>
            </w:r>
            <w:r>
              <w:rPr>
                <w:rFonts w:ascii="Arial" w:hAnsi="Arial" w:eastAsia="Times New Roman" w:cs="Arial"/>
                <w:sz w:val="18"/>
                <w:szCs w:val="18"/>
              </w:rPr>
              <w:t>Scale factor</w:t>
            </w:r>
            <w:r>
              <w:rPr>
                <w:rFonts w:ascii="Arial" w:hAnsi="Arial" w:eastAsia="Times New Roman" w:cs="Times New Roman"/>
                <w:sz w:val="18"/>
                <w:szCs w:val="18"/>
              </w:rPr>
              <w:t xml:space="preserve"> is provided in </w:t>
            </w:r>
            <w:r>
              <w:rPr>
                <w:rFonts w:ascii="Arial" w:hAnsi="Arial" w:eastAsia="Times New Roman" w:cs="Times New Roman"/>
                <w:i/>
                <w:sz w:val="18"/>
                <w:szCs w:val="18"/>
              </w:rPr>
              <w:t>powerQualityResolution</w:t>
            </w:r>
            <w:r>
              <w:rPr>
                <w:rFonts w:ascii="Arial" w:hAnsi="Arial" w:eastAsia="Times New Roman" w:cs="Times New Roman"/>
                <w:sz w:val="18"/>
                <w:szCs w:val="18"/>
              </w:rPr>
              <w:t>.</w:t>
            </w:r>
          </w:p>
        </w:tc>
      </w:tr>
      <w:tr w14:paraId="6744F8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9697" w:type="dxa"/>
          </w:tcPr>
          <w:p w14:paraId="5EABF44D">
            <w:pPr>
              <w:keepNext/>
              <w:keepLines/>
              <w:spacing w:after="0"/>
              <w:rPr>
                <w:rFonts w:ascii="Arial" w:hAnsi="Arial" w:eastAsia="Times New Roman" w:cs="Times New Roman"/>
                <w:sz w:val="18"/>
              </w:rPr>
            </w:pPr>
            <w:r>
              <w:rPr>
                <w:rFonts w:ascii="Arial" w:hAnsi="Arial" w:eastAsia="Times New Roman" w:cs="Times New Roman"/>
                <w:b/>
                <w:i/>
                <w:sz w:val="18"/>
              </w:rPr>
              <w:t>powerQualityResolution</w:t>
            </w:r>
          </w:p>
          <w:p w14:paraId="05C8111B">
            <w:pPr>
              <w:keepNext/>
              <w:keepLines/>
              <w:widowControl w:val="0"/>
              <w:spacing w:after="0"/>
              <w:rPr>
                <w:rFonts w:ascii="Arial" w:hAnsi="Arial" w:eastAsia="Times New Roman" w:cs="Times New Roman"/>
                <w:sz w:val="18"/>
                <w:szCs w:val="20"/>
              </w:rPr>
            </w:pPr>
            <w:r>
              <w:rPr>
                <w:rFonts w:ascii="Arial" w:hAnsi="Arial" w:eastAsia="Times New Roman" w:cs="Times New Roman"/>
                <w:sz w:val="18"/>
              </w:rPr>
              <w:t xml:space="preserve">This field provides the resolution used in the </w:t>
            </w:r>
            <w:r>
              <w:rPr>
                <w:rFonts w:ascii="Arial" w:hAnsi="Arial" w:eastAsia="Times New Roman" w:cs="Times New Roman"/>
                <w:i/>
                <w:sz w:val="18"/>
                <w:szCs w:val="20"/>
              </w:rPr>
              <w:t>powerQualityValue</w:t>
            </w:r>
            <w:r>
              <w:rPr>
                <w:rFonts w:ascii="Arial" w:hAnsi="Arial" w:eastAsia="Times New Roman" w:cs="Times New Roman"/>
                <w:sz w:val="18"/>
              </w:rPr>
              <w:t xml:space="preserve"> field. Enumerated values </w:t>
            </w:r>
            <w:r>
              <w:rPr>
                <w:rFonts w:ascii="Arial" w:hAnsi="Arial" w:eastAsia="Times New Roman" w:cs="Times New Roman"/>
                <w:i/>
                <w:sz w:val="18"/>
                <w:szCs w:val="20"/>
              </w:rPr>
              <w:t>dBdot1</w:t>
            </w:r>
            <w:r>
              <w:rPr>
                <w:rFonts w:ascii="Arial" w:hAnsi="Arial" w:eastAsia="Times New Roman" w:cs="Times New Roman"/>
                <w:sz w:val="18"/>
                <w:szCs w:val="20"/>
              </w:rPr>
              <w:t xml:space="preserve">, </w:t>
            </w:r>
            <w:r>
              <w:rPr>
                <w:rFonts w:ascii="Arial" w:hAnsi="Arial" w:eastAsia="Times New Roman" w:cs="Times New Roman"/>
                <w:i/>
                <w:sz w:val="18"/>
                <w:szCs w:val="20"/>
              </w:rPr>
              <w:t>dB1</w:t>
            </w:r>
            <w:r>
              <w:rPr>
                <w:rFonts w:ascii="Arial" w:hAnsi="Arial" w:eastAsia="Times New Roman" w:cs="Times New Roman"/>
                <w:sz w:val="18"/>
                <w:szCs w:val="20"/>
              </w:rPr>
              <w:t xml:space="preserve"> correspond to 0.1, 1 dB, respectively.</w:t>
            </w:r>
          </w:p>
        </w:tc>
      </w:tr>
    </w:tbl>
    <w:p w14:paraId="15207920">
      <w:pPr>
        <w:rPr>
          <w:lang w:val="sv-SE"/>
        </w:rPr>
      </w:pPr>
    </w:p>
    <w:p w14:paraId="5137FE32">
      <w:pPr>
        <w:rPr>
          <w:lang w:val="sv-SE"/>
        </w:rPr>
      </w:pPr>
      <w:r>
        <w:rPr>
          <w:lang w:val="sv-SE"/>
        </w:rPr>
        <w:t>The power quality indicator is provided for the entire PDP measurement, i.e., not for individual sample/path of the PDP. This is because all the sample/path are for the same channel measurement, and are detected by the same receiver.</w:t>
      </w:r>
    </w:p>
    <w:p w14:paraId="538EC615">
      <w:pPr>
        <w:rPr>
          <w:lang w:val="sv-SE"/>
        </w:rPr>
      </w:pPr>
    </w:p>
    <w:p w14:paraId="6588C458">
      <w:pPr>
        <w:pStyle w:val="73"/>
      </w:pPr>
      <w:bookmarkStart w:id="2152" w:name="_Toc189845140"/>
      <w:r>
        <w:t>For training data collection in all cases, a power quality is provided for the entire PDP measurement in Part A in units of dB. The candidate resolution includes 0.1 dB and 1 dB.</w:t>
      </w:r>
      <w:bookmarkEnd w:id="2152"/>
    </w:p>
    <w:p w14:paraId="3889A6EF">
      <w:pPr>
        <w:pStyle w:val="73"/>
        <w:numPr>
          <w:ilvl w:val="0"/>
          <w:numId w:val="0"/>
        </w:numPr>
      </w:pPr>
    </w:p>
    <w:p w14:paraId="3F02698C">
      <w:pPr>
        <w:rPr>
          <w:b/>
          <w:bCs/>
          <w:u w:val="single"/>
        </w:rPr>
      </w:pPr>
      <w:bookmarkStart w:id="2153" w:name="_Toc171549857"/>
      <w:bookmarkStart w:id="2154" w:name="_Toc46486432"/>
      <w:bookmarkStart w:id="2155" w:name="_Toc52547307"/>
      <w:bookmarkStart w:id="2156" w:name="_Toc52546777"/>
      <w:bookmarkStart w:id="2157" w:name="_Toc52547837"/>
      <w:bookmarkStart w:id="2158" w:name="_Toc52548367"/>
      <w:r>
        <w:rPr>
          <w:b/>
          <w:bCs/>
          <w:u w:val="single"/>
        </w:rPr>
        <w:t>For reference, existing signaling in 37.355 (LPP):</w:t>
      </w:r>
    </w:p>
    <w:p w14:paraId="75541782">
      <w:r>
        <w:t>–</w:t>
      </w:r>
      <w:r>
        <w:tab/>
      </w:r>
      <w:r>
        <w:t>NR-TimingQuality</w:t>
      </w:r>
      <w:bookmarkEnd w:id="2153"/>
      <w:bookmarkEnd w:id="2154"/>
      <w:bookmarkEnd w:id="2155"/>
      <w:bookmarkEnd w:id="2156"/>
      <w:bookmarkEnd w:id="2157"/>
      <w:bookmarkEnd w:id="2158"/>
    </w:p>
    <w:p w14:paraId="3616D89A">
      <w:pPr>
        <w:keepLines/>
      </w:pPr>
      <w:r>
        <w:t xml:space="preserve">The IE </w:t>
      </w:r>
      <w:r>
        <w:rPr>
          <w:i/>
        </w:rPr>
        <w:t xml:space="preserve">NR-TimingQuality </w:t>
      </w:r>
      <w:r>
        <w:t>defines the quality of a timing value (e.g., of a TOA measurement).</w:t>
      </w:r>
    </w:p>
    <w:p w14:paraId="258067E2">
      <w:pPr>
        <w:pStyle w:val="137"/>
      </w:pPr>
      <w:r>
        <w:t>-- ASN1START</w:t>
      </w:r>
    </w:p>
    <w:p w14:paraId="4A1E1E12">
      <w:pPr>
        <w:pStyle w:val="137"/>
      </w:pPr>
    </w:p>
    <w:p w14:paraId="007471A2">
      <w:pPr>
        <w:pStyle w:val="137"/>
      </w:pPr>
      <w:bookmarkStart w:id="2159" w:name="_Hlk176420089"/>
      <w:r>
        <w:t>NR-TimingQuality-r16</w:t>
      </w:r>
      <w:bookmarkEnd w:id="2159"/>
      <w:r>
        <w:t xml:space="preserve"> ::= SEQUENCE {</w:t>
      </w:r>
    </w:p>
    <w:p w14:paraId="0E380635">
      <w:pPr>
        <w:pStyle w:val="137"/>
      </w:pPr>
      <w:r>
        <w:tab/>
      </w:r>
      <w:r>
        <w:t>timingQualityValue-r16</w:t>
      </w:r>
      <w:r>
        <w:tab/>
      </w:r>
      <w:r>
        <w:tab/>
      </w:r>
      <w:r>
        <w:tab/>
      </w:r>
      <w:r>
        <w:t>INTEGER (0..31),</w:t>
      </w:r>
    </w:p>
    <w:p w14:paraId="1652D522">
      <w:pPr>
        <w:pStyle w:val="137"/>
      </w:pPr>
      <w:r>
        <w:tab/>
      </w:r>
      <w:r>
        <w:t>timingQualityResolution-r16</w:t>
      </w:r>
      <w:r>
        <w:tab/>
      </w:r>
      <w:r>
        <w:tab/>
      </w:r>
      <w:r>
        <w:t>ENUMERATED {mdot1, m1, m10, m30, …},</w:t>
      </w:r>
    </w:p>
    <w:p w14:paraId="02C728F9">
      <w:pPr>
        <w:pStyle w:val="137"/>
      </w:pPr>
      <w:r>
        <w:tab/>
      </w:r>
      <w:r>
        <w:t>…</w:t>
      </w:r>
    </w:p>
    <w:p w14:paraId="2D7B8959">
      <w:pPr>
        <w:pStyle w:val="137"/>
      </w:pPr>
      <w:r>
        <w:t>}</w:t>
      </w:r>
    </w:p>
    <w:p w14:paraId="7750F5F5">
      <w:pPr>
        <w:pStyle w:val="137"/>
      </w:pPr>
    </w:p>
    <w:p w14:paraId="77F8B04C">
      <w:pPr>
        <w:pStyle w:val="137"/>
      </w:pPr>
      <w:r>
        <w:t>-- ASN1STOP</w:t>
      </w:r>
    </w:p>
    <w:p w14:paraId="1A90589C">
      <w:pPr>
        <w:rPr>
          <w:iCs/>
        </w:rPr>
      </w:pPr>
    </w:p>
    <w:tbl>
      <w:tblPr>
        <w:tblStyle w:val="51"/>
        <w:tblW w:w="9639" w:type="dxa"/>
        <w:tblInd w:w="108" w:type="dxa"/>
        <w:tblLayout w:type="fixed"/>
        <w:tblCellMar>
          <w:top w:w="0" w:type="dxa"/>
          <w:left w:w="108" w:type="dxa"/>
          <w:bottom w:w="0" w:type="dxa"/>
          <w:right w:w="108" w:type="dxa"/>
        </w:tblCellMar>
      </w:tblPr>
      <w:tblGrid>
        <w:gridCol w:w="9639"/>
      </w:tblGrid>
      <w:tr w14:paraId="68D4440F">
        <w:tblPrEx>
          <w:tblCellMar>
            <w:top w:w="0" w:type="dxa"/>
            <w:left w:w="108" w:type="dxa"/>
            <w:bottom w:w="0" w:type="dxa"/>
            <w:right w:w="108" w:type="dxa"/>
          </w:tblCellMar>
        </w:tblPrEx>
        <w:trPr>
          <w:cantSplit/>
          <w:tblHeader/>
        </w:trPr>
        <w:tc>
          <w:tcPr>
            <w:tcW w:w="9639" w:type="dxa"/>
            <w:tc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tcBorders>
          </w:tcPr>
          <w:p w14:paraId="2EA41C09">
            <w:pPr>
              <w:pStyle w:val="80"/>
              <w:keepNext w:val="0"/>
              <w:keepLines w:val="0"/>
              <w:widowControl w:val="0"/>
              <w:spacing w:after="0"/>
            </w:pPr>
            <w:r>
              <w:rPr>
                <w:i/>
                <w:lang w:val="en-US"/>
              </w:rPr>
              <w:t xml:space="preserve">NR-TimingQuality </w:t>
            </w:r>
            <w:r>
              <w:rPr>
                <w:lang w:val="en-US"/>
              </w:rPr>
              <w:t>field descriptions</w:t>
            </w:r>
          </w:p>
        </w:tc>
      </w:tr>
      <w:tr w14:paraId="5A17DDF2">
        <w:tblPrEx>
          <w:tblCellMar>
            <w:top w:w="0" w:type="dxa"/>
            <w:left w:w="108" w:type="dxa"/>
            <w:bottom w:w="0" w:type="dxa"/>
            <w:right w:w="108" w:type="dxa"/>
          </w:tblCellMar>
        </w:tblPrEx>
        <w:trPr>
          <w:cantSplit/>
        </w:trPr>
        <w:tc>
          <w:tcPr>
            <w:tcW w:w="9639" w:type="dxa"/>
            <w:tc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tcBorders>
          </w:tcPr>
          <w:p w14:paraId="3243D588">
            <w:pPr>
              <w:pStyle w:val="78"/>
              <w:widowControl w:val="0"/>
              <w:spacing w:after="0"/>
              <w:rPr>
                <w:lang w:val="en-US"/>
              </w:rPr>
            </w:pPr>
            <w:r>
              <w:rPr>
                <w:b/>
                <w:i/>
                <w:lang w:val="en-US"/>
              </w:rPr>
              <w:t>timingQualityValue</w:t>
            </w:r>
          </w:p>
          <w:p w14:paraId="6F639354">
            <w:pPr>
              <w:pStyle w:val="78"/>
              <w:widowControl w:val="0"/>
              <w:spacing w:after="0"/>
              <w:rPr>
                <w:lang w:val="en-US"/>
              </w:rPr>
            </w:pPr>
            <w:r>
              <w:rPr>
                <w:lang w:val="en-US"/>
              </w:rPr>
              <w:t xml:space="preserve">This field provides an estimate of </w:t>
            </w:r>
            <w:r>
              <w:rPr>
                <w:color w:val="FF0000"/>
                <w:lang w:val="en-US"/>
              </w:rPr>
              <w:t xml:space="preserve">uncertainty </w:t>
            </w:r>
            <w:r>
              <w:rPr>
                <w:lang w:val="en-US"/>
              </w:rPr>
              <w:t xml:space="preserve">of the timing value for which the IE </w:t>
            </w:r>
            <w:r>
              <w:rPr>
                <w:i/>
                <w:lang w:val="en-US"/>
              </w:rPr>
              <w:t xml:space="preserve">NR-TimingQuality </w:t>
            </w:r>
            <w:r>
              <w:rPr>
                <w:iCs/>
                <w:lang w:val="en-US"/>
              </w:rPr>
              <w:t xml:space="preserve">is provided in </w:t>
            </w:r>
            <w:r>
              <w:rPr>
                <w:iCs/>
                <w:color w:val="FF0000"/>
                <w:lang w:val="en-US"/>
              </w:rPr>
              <w:t>units of metres</w:t>
            </w:r>
            <w:r>
              <w:rPr>
                <w:color w:val="FF0000"/>
                <w:lang w:val="en-US"/>
              </w:rPr>
              <w:t>.</w:t>
            </w:r>
          </w:p>
        </w:tc>
      </w:tr>
      <w:tr w14:paraId="0D66841D">
        <w:tblPrEx>
          <w:tblCellMar>
            <w:top w:w="0" w:type="dxa"/>
            <w:left w:w="108" w:type="dxa"/>
            <w:bottom w:w="0" w:type="dxa"/>
            <w:right w:w="108" w:type="dxa"/>
          </w:tblCellMar>
        </w:tblPrEx>
        <w:trPr>
          <w:cantSplit/>
        </w:trPr>
        <w:tc>
          <w:tcPr>
            <w:tcW w:w="9639" w:type="dxa"/>
            <w:tcBorders>
              <w:top w:val="single" w:color="7F7F7F" w:themeColor="background1" w:themeShade="80" w:sz="4" w:space="0"/>
              <w:left w:val="single" w:color="7F7F7F" w:themeColor="background1" w:themeShade="80" w:sz="4" w:space="0"/>
              <w:bottom w:val="single" w:color="7F7F7F" w:themeColor="background1" w:themeShade="80" w:sz="4" w:space="0"/>
              <w:right w:val="single" w:color="7F7F7F" w:themeColor="background1" w:themeShade="80" w:sz="4" w:space="0"/>
            </w:tcBorders>
          </w:tcPr>
          <w:p w14:paraId="60AA846C">
            <w:pPr>
              <w:pStyle w:val="78"/>
              <w:widowControl w:val="0"/>
              <w:spacing w:after="0"/>
              <w:rPr>
                <w:lang w:val="en-US"/>
              </w:rPr>
            </w:pPr>
            <w:r>
              <w:rPr>
                <w:b/>
                <w:i/>
                <w:lang w:val="en-US"/>
              </w:rPr>
              <w:t>timingQualityResolution</w:t>
            </w:r>
          </w:p>
          <w:p w14:paraId="08A71893">
            <w:pPr>
              <w:pStyle w:val="78"/>
              <w:widowControl w:val="0"/>
              <w:spacing w:after="0"/>
              <w:rPr>
                <w:lang w:val="en-US"/>
              </w:rPr>
            </w:pPr>
            <w:r>
              <w:rPr>
                <w:lang w:val="en-US"/>
              </w:rPr>
              <w:t xml:space="preserve">This field provides the resolution used in the </w:t>
            </w:r>
            <w:r>
              <w:rPr>
                <w:i/>
                <w:iCs/>
                <w:lang w:val="en-US"/>
              </w:rPr>
              <w:t>timingQualityValue</w:t>
            </w:r>
            <w:r>
              <w:rPr>
                <w:lang w:val="en-US"/>
              </w:rPr>
              <w:t xml:space="preserve"> field. Enumerated values </w:t>
            </w:r>
            <w:r>
              <w:rPr>
                <w:i/>
                <w:iCs/>
                <w:lang w:val="en-US"/>
              </w:rPr>
              <w:t>mdot1</w:t>
            </w:r>
            <w:r>
              <w:rPr>
                <w:lang w:val="en-US"/>
              </w:rPr>
              <w:t xml:space="preserve">, </w:t>
            </w:r>
            <w:r>
              <w:rPr>
                <w:i/>
                <w:iCs/>
                <w:lang w:val="en-US"/>
              </w:rPr>
              <w:t>m1</w:t>
            </w:r>
            <w:r>
              <w:rPr>
                <w:lang w:val="en-US"/>
              </w:rPr>
              <w:t xml:space="preserve">, </w:t>
            </w:r>
            <w:r>
              <w:rPr>
                <w:i/>
                <w:iCs/>
                <w:lang w:val="en-US"/>
              </w:rPr>
              <w:t>m10</w:t>
            </w:r>
            <w:r>
              <w:rPr>
                <w:lang w:val="en-US"/>
              </w:rPr>
              <w:t xml:space="preserve">, </w:t>
            </w:r>
            <w:r>
              <w:rPr>
                <w:i/>
                <w:iCs/>
                <w:lang w:val="en-US"/>
              </w:rPr>
              <w:t>m30</w:t>
            </w:r>
            <w:r>
              <w:rPr>
                <w:lang w:val="en-US"/>
              </w:rPr>
              <w:t xml:space="preserve"> correspond to </w:t>
            </w:r>
            <w:r>
              <w:rPr>
                <w:color w:val="FF0000"/>
                <w:lang w:val="en-US"/>
              </w:rPr>
              <w:t>0.1</w:t>
            </w:r>
            <w:r>
              <w:rPr>
                <w:lang w:val="en-US"/>
              </w:rPr>
              <w:t>, 1, 10, 30 metres, respectively.</w:t>
            </w:r>
          </w:p>
        </w:tc>
      </w:tr>
    </w:tbl>
    <w:p w14:paraId="42B27BC3">
      <w:pPr>
        <w:pStyle w:val="73"/>
        <w:numPr>
          <w:ilvl w:val="0"/>
          <w:numId w:val="0"/>
        </w:numPr>
      </w:pPr>
    </w:p>
    <w:p w14:paraId="2C16851F">
      <w:pPr>
        <w:pStyle w:val="4"/>
      </w:pPr>
      <w:bookmarkStart w:id="2160" w:name="_Toc189845035"/>
      <w:r>
        <w:rPr>
          <w:lang w:val="en-US"/>
        </w:rPr>
        <w:t>Signalling and quality reporting for Part B</w:t>
      </w:r>
      <w:bookmarkEnd w:id="2160"/>
    </w:p>
    <w:p w14:paraId="76FDC768">
      <w:r>
        <w:t xml:space="preserve">For training data collection of Part B, the label generation entities for each case is already agreed by RAN1.  The working assumptions could be confirmed in order to close the discussion. </w:t>
      </w:r>
    </w:p>
    <w:p w14:paraId="733E27F8">
      <w:pPr>
        <w:pStyle w:val="73"/>
      </w:pPr>
      <w:bookmarkStart w:id="2161" w:name="_Toc189845141"/>
      <w:r>
        <w:t>Confirm the existing WAs on label generation for all cases and send the agreements to RAN2.</w:t>
      </w:r>
      <w:bookmarkEnd w:id="2161"/>
    </w:p>
    <w:p w14:paraId="3131B088">
      <w:pPr>
        <w:tabs>
          <w:tab w:val="left" w:pos="2123"/>
        </w:tabs>
      </w:pPr>
    </w:p>
    <w:p w14:paraId="0FD27EC2">
      <w:pPr>
        <w:tabs>
          <w:tab w:val="left" w:pos="2123"/>
        </w:tabs>
      </w:pPr>
      <w:r>
        <w:t>Regarding ground truth label in Part B, in our view, the training dataset is agnostic of the model architecture and model training methodology. To reduce the burden of collecting, storing, and updating training datasets, a same training dataset should be usable to train a variety of AI/ML models for positioning.</w:t>
      </w:r>
    </w:p>
    <w:p w14:paraId="771E92C4">
      <w:pPr>
        <w:pStyle w:val="133"/>
        <w:numPr>
          <w:ilvl w:val="0"/>
          <w:numId w:val="48"/>
        </w:numPr>
        <w:tabs>
          <w:tab w:val="left" w:pos="2123"/>
        </w:tabs>
      </w:pPr>
      <w:r>
        <w:t xml:space="preserve">For DL measurement, it should be possible to use the same collected training dataset to train a model for Case 1, and/or 2a, and/or 2b. </w:t>
      </w:r>
    </w:p>
    <w:p w14:paraId="29B6B718">
      <w:pPr>
        <w:pStyle w:val="133"/>
        <w:numPr>
          <w:ilvl w:val="0"/>
          <w:numId w:val="48"/>
        </w:numPr>
        <w:tabs>
          <w:tab w:val="left" w:pos="2123"/>
        </w:tabs>
      </w:pPr>
      <w:r>
        <w:t xml:space="preserve">For UL measurement, it should be possible to use the same collected training dataset to train a model for Case 3a and/or 3b. </w:t>
      </w:r>
    </w:p>
    <w:p w14:paraId="0211AC08">
      <w:pPr>
        <w:pStyle w:val="133"/>
        <w:numPr>
          <w:ilvl w:val="0"/>
          <w:numId w:val="48"/>
        </w:numPr>
        <w:tabs>
          <w:tab w:val="left" w:pos="2123"/>
        </w:tabs>
      </w:pPr>
      <w:r>
        <w:t>For AI/ML assisted positioning, it should be possible to use the same collected training dataset to train a model that produces {timing measurement} as output, or produces {timing measurement, LOS/NLOS indicator} as output.</w:t>
      </w:r>
    </w:p>
    <w:p w14:paraId="506C8BBC">
      <w:pPr>
        <w:tabs>
          <w:tab w:val="left" w:pos="2123"/>
        </w:tabs>
      </w:pPr>
      <w:r>
        <w:t>The details of whether/how to train a range of models using a given training dataset is up to each vendors’ design choice.</w:t>
      </w:r>
    </w:p>
    <w:p w14:paraId="10BC9D90">
      <w:r>
        <w:t xml:space="preserve">Considering the above, for all the positioning cases, the ground truth label should be collected in the format of UE/PRU location coordinates (x, y, z). This has the benefit of convenient data collection (as compared to ground truth for RTOA or LOS/NLOS indicator, for example). This also makes the training dataset versatile and generally applicable to all positioning cases.  </w:t>
      </w:r>
    </w:p>
    <w:p w14:paraId="75C0E267">
      <w:r>
        <w:t>Then, depending on the design choice of the model, the collected label can be further processed either before model training or during model training. The details are up to implementation. For example, if it is desired to train a Case 3a (or 2a) model with RTOA as model output, then the RTOA ground truth can be calculated from the collected UE/PRU location coordinates (x, y, z), based on the knowledge of TRP locations. Similarly, if it is desired to train a Case 3a (or 2a) model with LOS/NLOS indicator as model output, then the model training procedure can be designed to use coordinates (x, y, z) as proxy labels.</w:t>
      </w:r>
    </w:p>
    <w:p w14:paraId="3DF70C41">
      <w:r>
        <w:t xml:space="preserve">In the most straight-forward manner, for assisted AI/ML positioning (Case 2a/3a), training data collection directly collects ground-truth labels on radio measurements, which can be difficult, costly, and even impossible to obtain. It is possible to circumvent those issues by using "ground truth" position data as indirect labels, rather than directly labelling radio measurements. </w:t>
      </w:r>
    </w:p>
    <w:p w14:paraId="499DF2A1">
      <w:r>
        <w:t xml:space="preserve">If the estimated UE position </w:t>
      </w:r>
      <m:oMath>
        <m:acc>
          <m:accPr>
            <m:ctrlPr>
              <w:rPr>
                <w:rFonts w:ascii="Cambria Math" w:hAnsi="Cambria Math"/>
                <w:i/>
              </w:rPr>
            </m:ctrlPr>
          </m:accPr>
          <m:e>
            <m:r>
              <m:rPr>
                <m:sty m:val="b"/>
              </m:rPr>
              <w:rPr>
                <w:rFonts w:ascii="Cambria Math" w:hAnsi="Cambria Math"/>
              </w:rPr>
              <m:t>p</m:t>
            </m:r>
            <m:ctrlPr>
              <w:rPr>
                <w:rFonts w:ascii="Cambria Math" w:hAnsi="Cambria Math"/>
                <w:i/>
              </w:rPr>
            </m:ctrlPr>
          </m:e>
        </m:acc>
      </m:oMath>
      <w:r>
        <w:t xml:space="preserve"> is obtained by minimizing a loss function </w:t>
      </w:r>
      <m:oMath>
        <m:sSub>
          <m:sSubPr>
            <m:ctrlPr>
              <w:rPr>
                <w:rFonts w:ascii="Cambria Math" w:hAnsi="Cambria Math"/>
                <w:i/>
              </w:rPr>
            </m:ctrlPr>
          </m:sSubPr>
          <m:e>
            <m:r>
              <m:rPr/>
              <w:rPr>
                <w:rFonts w:ascii="Cambria Math" w:hAnsi="Cambria Math"/>
              </w:rPr>
              <m:t>f</m:t>
            </m:r>
            <m:ctrlPr>
              <w:rPr>
                <w:rFonts w:ascii="Cambria Math" w:hAnsi="Cambria Math"/>
                <w:i/>
              </w:rPr>
            </m:ctrlPr>
          </m:e>
          <m:sub>
            <m:r>
              <m:rPr>
                <m:sty m:val="b"/>
              </m:rPr>
              <w:rPr>
                <w:rFonts w:ascii="Cambria Math" w:hAnsi="Cambria Math"/>
              </w:rPr>
              <m:t>θ</m:t>
            </m:r>
            <m:ctrlPr>
              <w:rPr>
                <w:rFonts w:ascii="Cambria Math" w:hAnsi="Cambria Math"/>
                <w:i/>
              </w:rPr>
            </m:ctrlPr>
          </m:sub>
        </m:sSub>
        <m:d>
          <m:dPr>
            <m:ctrlPr>
              <w:rPr>
                <w:rFonts w:ascii="Cambria Math" w:hAnsi="Cambria Math"/>
                <w:i/>
              </w:rPr>
            </m:ctrlPr>
          </m:dPr>
          <m:e>
            <m:r>
              <m:rPr>
                <m:sty m:val="b"/>
              </m:rPr>
              <w:rPr>
                <w:rFonts w:ascii="Cambria Math" w:hAnsi="Cambria Math"/>
              </w:rPr>
              <m:t>p</m:t>
            </m:r>
            <m:ctrlPr>
              <w:rPr>
                <w:rFonts w:ascii="Cambria Math" w:hAnsi="Cambria Math"/>
                <w:i/>
              </w:rPr>
            </m:ctrlPr>
          </m:e>
        </m:d>
      </m:oMath>
      <w:r>
        <w:t xml:space="preserve"> with respect to </w:t>
      </w:r>
      <m:oMath>
        <m:r>
          <m:rPr>
            <m:sty m:val="b"/>
          </m:rPr>
          <w:rPr>
            <w:rFonts w:ascii="Cambria Math" w:hAnsi="Cambria Math"/>
          </w:rPr>
          <m:t>p</m:t>
        </m:r>
      </m:oMath>
      <w:r>
        <w:t xml:space="preserve">, assuming a vector of neural network outputs </w:t>
      </w:r>
      <m:oMath>
        <m:r>
          <m:rPr>
            <m:sty m:val="b"/>
          </m:rPr>
          <w:rPr>
            <w:rFonts w:ascii="Cambria Math" w:hAnsi="Cambria Math"/>
          </w:rPr>
          <m:t>θ=</m:t>
        </m:r>
        <m:d>
          <m:dPr>
            <m:begChr m:val="["/>
            <m:endChr m:val="]"/>
            <m:ctrlPr>
              <w:rPr>
                <w:rFonts w:ascii="Cambria Math" w:hAnsi="Cambria Math"/>
                <w:b/>
                <w:bCs/>
                <w:iCs/>
              </w:rPr>
            </m:ctrlPr>
          </m:dPr>
          <m:e>
            <m:m>
              <m:mPr>
                <m:mcs>
                  <m:mc>
                    <m:mcPr>
                      <m:count m:val="3"/>
                      <m:mcJc m:val="center"/>
                    </m:mcPr>
                  </m:mc>
                </m:mcs>
                <m:ctrlPr>
                  <w:rPr>
                    <w:rFonts w:ascii="Cambria Math" w:hAnsi="Cambria Math"/>
                    <w:b/>
                    <w:bCs/>
                    <w:i/>
                    <w:iCs/>
                  </w:rPr>
                </m:ctrlPr>
              </m:mPr>
              <m:mr>
                <m:e>
                  <m:sSub>
                    <m:sSubPr>
                      <m:ctrlPr>
                        <w:rPr>
                          <w:rFonts w:ascii="Cambria Math" w:hAnsi="Cambria Math"/>
                          <w:b/>
                          <w:bCs/>
                          <w:i/>
                          <w:iCs/>
                        </w:rPr>
                      </m:ctrlPr>
                    </m:sSubPr>
                    <m:e>
                      <m:r>
                        <m:rPr/>
                        <w:rPr>
                          <w:rFonts w:ascii="Cambria Math" w:hAnsi="Cambria Math"/>
                        </w:rPr>
                        <m:t>θ</m:t>
                      </m:r>
                      <m:ctrlPr>
                        <w:rPr>
                          <w:rFonts w:ascii="Cambria Math" w:hAnsi="Cambria Math"/>
                          <w:b/>
                          <w:bCs/>
                          <w:i/>
                          <w:iCs/>
                        </w:rPr>
                      </m:ctrlPr>
                    </m:e>
                    <m:sub>
                      <m:r>
                        <m:rPr>
                          <m:sty m:val="bi"/>
                        </m:rPr>
                        <w:rPr>
                          <w:rFonts w:ascii="Cambria Math" w:hAnsi="Cambria Math"/>
                        </w:rPr>
                        <m:t>1</m:t>
                      </m:r>
                      <m:ctrlPr>
                        <w:rPr>
                          <w:rFonts w:ascii="Cambria Math" w:hAnsi="Cambria Math"/>
                          <w:b/>
                          <w:bCs/>
                          <w:i/>
                          <w:iCs/>
                        </w:rPr>
                      </m:ctrlPr>
                    </m:sub>
                  </m:sSub>
                  <m:ctrlPr>
                    <w:rPr>
                      <w:rFonts w:ascii="Cambria Math" w:hAnsi="Cambria Math"/>
                      <w:b/>
                      <w:bCs/>
                      <w:i/>
                      <w:iCs/>
                    </w:rPr>
                  </m:ctrlPr>
                </m:e>
                <m:e>
                  <m:r>
                    <m:rPr>
                      <m:sty m:val="bi"/>
                    </m:rPr>
                    <w:rPr>
                      <w:rFonts w:ascii="Cambria Math" w:hAnsi="Cambria Math"/>
                    </w:rPr>
                    <m:t>⋯</m:t>
                  </m:r>
                  <m:ctrlPr>
                    <w:rPr>
                      <w:rFonts w:ascii="Cambria Math" w:hAnsi="Cambria Math"/>
                      <w:b/>
                      <w:bCs/>
                      <w:i/>
                      <w:iCs/>
                    </w:rPr>
                  </m:ctrlPr>
                </m:e>
                <m:e>
                  <m:sSub>
                    <m:sSubPr>
                      <m:ctrlPr>
                        <w:rPr>
                          <w:rFonts w:ascii="Cambria Math" w:hAnsi="Cambria Math"/>
                          <w:b/>
                          <w:bCs/>
                          <w:i/>
                          <w:iCs/>
                        </w:rPr>
                      </m:ctrlPr>
                    </m:sSubPr>
                    <m:e>
                      <m:r>
                        <m:rPr/>
                        <w:rPr>
                          <w:rFonts w:ascii="Cambria Math" w:hAnsi="Cambria Math"/>
                        </w:rPr>
                        <m:t>θ</m:t>
                      </m:r>
                      <m:ctrlPr>
                        <w:rPr>
                          <w:rFonts w:ascii="Cambria Math" w:hAnsi="Cambria Math"/>
                          <w:b/>
                          <w:bCs/>
                          <w:i/>
                          <w:iCs/>
                        </w:rPr>
                      </m:ctrlPr>
                    </m:e>
                    <m:sub>
                      <m:r>
                        <m:rPr>
                          <m:sty m:val="bi"/>
                        </m:rPr>
                        <w:rPr>
                          <w:rFonts w:ascii="Cambria Math" w:hAnsi="Cambria Math"/>
                        </w:rPr>
                        <m:t>m</m:t>
                      </m:r>
                      <m:ctrlPr>
                        <w:rPr>
                          <w:rFonts w:ascii="Cambria Math" w:hAnsi="Cambria Math"/>
                          <w:b/>
                          <w:bCs/>
                          <w:i/>
                          <w:iCs/>
                        </w:rPr>
                      </m:ctrlPr>
                    </m:sub>
                  </m:sSub>
                  <m:ctrlPr>
                    <w:rPr>
                      <w:rFonts w:ascii="Cambria Math" w:hAnsi="Cambria Math"/>
                      <w:b/>
                      <w:bCs/>
                      <w:i/>
                      <w:iCs/>
                    </w:rPr>
                  </m:ctrlPr>
                </m:e>
              </m:mr>
            </m:m>
            <m:ctrlPr>
              <w:rPr>
                <w:rFonts w:ascii="Cambria Math" w:hAnsi="Cambria Math"/>
                <w:b/>
                <w:bCs/>
                <w:iCs/>
              </w:rPr>
            </m:ctrlPr>
          </m:e>
        </m:d>
        <m:r>
          <m:rPr/>
          <w:rPr>
            <w:rFonts w:ascii="Cambria Math" w:hAnsi="Cambria Math"/>
          </w:rPr>
          <m:t>∈</m:t>
        </m:r>
        <m:sSup>
          <m:sSupPr>
            <m:ctrlPr>
              <w:rPr>
                <w:rFonts w:ascii="Cambria Math" w:hAnsi="Cambria Math"/>
                <w:i/>
              </w:rPr>
            </m:ctrlPr>
          </m:sSupPr>
          <m:e>
            <m:r>
              <m:rPr>
                <m:scr m:val="double-struck"/>
              </m:rPr>
              <w:rPr>
                <w:rFonts w:ascii="Cambria Math" w:hAnsi="Cambria Math"/>
              </w:rPr>
              <m:t>ℝ</m:t>
            </m:r>
            <m:ctrlPr>
              <w:rPr>
                <w:rFonts w:ascii="Cambria Math" w:hAnsi="Cambria Math"/>
                <w:i/>
              </w:rPr>
            </m:ctrlPr>
          </m:e>
          <m:sup>
            <m:r>
              <m:rPr/>
              <w:rPr>
                <w:rFonts w:ascii="Cambria Math" w:hAnsi="Cambria Math"/>
              </w:rPr>
              <m:t>m</m:t>
            </m:r>
            <m:ctrlPr>
              <w:rPr>
                <w:rFonts w:ascii="Cambria Math" w:hAnsi="Cambria Math"/>
                <w:i/>
              </w:rPr>
            </m:ctrlPr>
          </m:sup>
        </m:sSup>
      </m:oMath>
      <w:r>
        <w:t xml:space="preserve"> containing e.g., TOAs, soft LOS indicators, etc., then the derivative of </w:t>
      </w:r>
      <m:oMath>
        <m:acc>
          <m:accPr>
            <m:ctrlPr>
              <w:rPr>
                <w:rFonts w:ascii="Cambria Math" w:hAnsi="Cambria Math"/>
                <w:i/>
              </w:rPr>
            </m:ctrlPr>
          </m:accPr>
          <m:e>
            <m:r>
              <m:rPr>
                <m:sty m:val="b"/>
              </m:rPr>
              <w:rPr>
                <w:rFonts w:ascii="Cambria Math" w:hAnsi="Cambria Math"/>
              </w:rPr>
              <m:t>p</m:t>
            </m:r>
            <m:ctrlPr>
              <w:rPr>
                <w:rFonts w:ascii="Cambria Math" w:hAnsi="Cambria Math"/>
                <w:i/>
              </w:rPr>
            </m:ctrlPr>
          </m:e>
        </m:acc>
      </m:oMath>
      <w:r>
        <w:t xml:space="preserve"> with respect to </w:t>
      </w:r>
      <m:oMath>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j</m:t>
            </m:r>
            <m:ctrlPr>
              <w:rPr>
                <w:rFonts w:ascii="Cambria Math" w:hAnsi="Cambria Math"/>
                <w:i/>
              </w:rPr>
            </m:ctrlPr>
          </m:sub>
        </m:sSub>
      </m:oMath>
      <w:r>
        <w:t xml:space="preserve"> is:</w:t>
      </w:r>
    </w:p>
    <w:p w14:paraId="4B71DC3C">
      <m:oMathPara>
        <m:oMath>
          <m:f>
            <m:fPr>
              <m:ctrlPr>
                <w:rPr>
                  <w:rFonts w:ascii="Cambria Math" w:hAnsi="Cambria Math"/>
                  <w:i/>
                  <w:iCs/>
                </w:rPr>
              </m:ctrlPr>
            </m:fPr>
            <m:num>
              <m:r>
                <m:rPr/>
                <w:rPr>
                  <w:rFonts w:ascii="Cambria Math" w:hAnsi="Cambria Math"/>
                </w:rPr>
                <m:t>∂</m:t>
              </m:r>
              <m:acc>
                <m:accPr>
                  <m:ctrlPr>
                    <w:rPr>
                      <w:rFonts w:ascii="Cambria Math" w:hAnsi="Cambria Math"/>
                      <w:i/>
                      <w:iCs/>
                    </w:rPr>
                  </m:ctrlPr>
                </m:accPr>
                <m:e>
                  <m:r>
                    <m:rPr>
                      <m:sty m:val="b"/>
                    </m:rPr>
                    <w:rPr>
                      <w:rFonts w:ascii="Cambria Math" w:hAnsi="Cambria Math"/>
                    </w:rPr>
                    <m:t>p</m:t>
                  </m:r>
                  <m:ctrlPr>
                    <w:rPr>
                      <w:rFonts w:ascii="Cambria Math" w:hAnsi="Cambria Math"/>
                      <w:i/>
                      <w:iCs/>
                    </w:rPr>
                  </m:ctrlPr>
                </m:e>
              </m:acc>
              <m:ctrlPr>
                <w:rPr>
                  <w:rFonts w:ascii="Cambria Math" w:hAnsi="Cambria Math"/>
                  <w:i/>
                  <w:iCs/>
                </w:rPr>
              </m:ctrlPr>
            </m:num>
            <m:den>
              <m:r>
                <m:rPr/>
                <w:rPr>
                  <w:rFonts w:ascii="Cambria Math" w:hAnsi="Cambria Math"/>
                </w:rPr>
                <m:t>∂</m:t>
              </m:r>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k</m:t>
                  </m:r>
                  <m:ctrlPr>
                    <w:rPr>
                      <w:rFonts w:ascii="Cambria Math" w:hAnsi="Cambria Math"/>
                      <w:i/>
                      <w:iCs/>
                    </w:rPr>
                  </m:ctrlPr>
                </m:sub>
              </m:sSub>
              <m:ctrlPr>
                <w:rPr>
                  <w:rFonts w:ascii="Cambria Math" w:hAnsi="Cambria Math"/>
                  <w:i/>
                  <w:iCs/>
                </w:rPr>
              </m:ctrlPr>
            </m:den>
          </m:f>
          <m:r>
            <m:rPr>
              <m:sty m:val="p"/>
            </m:rPr>
            <w:rPr>
              <w:rFonts w:ascii="Cambria Math" w:hAnsi="Cambria Math"/>
            </w:rPr>
            <m:t>=−</m:t>
          </m:r>
          <m:sSup>
            <m:sSupPr>
              <m:ctrlPr>
                <w:rPr>
                  <w:rFonts w:ascii="Cambria Math" w:hAnsi="Cambria Math"/>
                  <w:i/>
                  <w:iCs/>
                </w:rPr>
              </m:ctrlPr>
            </m:sSupPr>
            <m:e>
              <m:sSub>
                <m:sSubPr>
                  <m:ctrlPr>
                    <w:rPr>
                      <w:rFonts w:ascii="Cambria Math" w:hAnsi="Cambria Math"/>
                      <w:i/>
                      <w:iCs/>
                    </w:rPr>
                  </m:ctrlPr>
                </m:sSubPr>
                <m:e>
                  <m:r>
                    <m:rPr>
                      <m:sty m:val="p"/>
                    </m:rPr>
                    <w:rPr>
                      <w:rFonts w:ascii="Cambria Math" w:hAnsi="Cambria Math"/>
                    </w:rPr>
                    <m:t>H</m:t>
                  </m:r>
                  <m:ctrlPr>
                    <w:rPr>
                      <w:rFonts w:ascii="Cambria Math" w:hAnsi="Cambria Math"/>
                      <w:i/>
                      <w:iCs/>
                    </w:rPr>
                  </m:ctrlPr>
                </m:e>
                <m:sub>
                  <m:r>
                    <m:rPr>
                      <m:sty m:val="b"/>
                    </m:rPr>
                    <w:rPr>
                      <w:rFonts w:ascii="Cambria Math" w:hAnsi="Cambria Math"/>
                    </w:rPr>
                    <m:t>p</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f</m:t>
                      </m:r>
                      <m:ctrlPr>
                        <w:rPr>
                          <w:rFonts w:ascii="Cambria Math" w:hAnsi="Cambria Math"/>
                          <w:i/>
                          <w:iCs/>
                        </w:rPr>
                      </m:ctrlPr>
                    </m:e>
                    <m:sub>
                      <m:r>
                        <m:rPr>
                          <m:sty m:val="b"/>
                        </m:rPr>
                        <w:rPr>
                          <w:rFonts w:ascii="Cambria Math" w:hAnsi="Cambria Math"/>
                        </w:rPr>
                        <m:t>θ</m:t>
                      </m:r>
                      <m:ctrlPr>
                        <w:rPr>
                          <w:rFonts w:ascii="Cambria Math" w:hAnsi="Cambria Math"/>
                          <w:i/>
                          <w:iCs/>
                        </w:rPr>
                      </m:ctrlPr>
                    </m:sub>
                  </m:sSub>
                  <m:ctrlPr>
                    <w:rPr>
                      <w:rFonts w:ascii="Cambria Math" w:hAnsi="Cambria Math"/>
                      <w:i/>
                      <w:iCs/>
                    </w:rPr>
                  </m:ctrlPr>
                </m:e>
              </m:d>
              <m:d>
                <m:dPr>
                  <m:ctrlPr>
                    <w:rPr>
                      <w:rFonts w:ascii="Cambria Math" w:hAnsi="Cambria Math"/>
                      <w:i/>
                      <w:iCs/>
                    </w:rPr>
                  </m:ctrlPr>
                </m:dPr>
                <m:e>
                  <m:acc>
                    <m:accPr>
                      <m:ctrlPr>
                        <w:rPr>
                          <w:rFonts w:ascii="Cambria Math" w:hAnsi="Cambria Math"/>
                          <w:i/>
                          <w:iCs/>
                        </w:rPr>
                      </m:ctrlPr>
                    </m:accPr>
                    <m:e>
                      <m:r>
                        <m:rPr>
                          <m:sty m:val="b"/>
                        </m:rPr>
                        <w:rPr>
                          <w:rFonts w:ascii="Cambria Math" w:hAnsi="Cambria Math"/>
                        </w:rPr>
                        <m:t>p</m:t>
                      </m:r>
                      <m:ctrlPr>
                        <w:rPr>
                          <w:rFonts w:ascii="Cambria Math" w:hAnsi="Cambria Math"/>
                          <w:i/>
                          <w:iCs/>
                        </w:rPr>
                      </m:ctrlPr>
                    </m:e>
                  </m:acc>
                  <m:ctrlPr>
                    <w:rPr>
                      <w:rFonts w:ascii="Cambria Math" w:hAnsi="Cambria Math"/>
                      <w:i/>
                      <w:iCs/>
                    </w:rPr>
                  </m:ctrlPr>
                </m:e>
              </m:d>
              <m:ctrlPr>
                <w:rPr>
                  <w:rFonts w:ascii="Cambria Math" w:hAnsi="Cambria Math"/>
                  <w:i/>
                  <w:iCs/>
                </w:rPr>
              </m:ctrlPr>
            </m:e>
            <m:sup>
              <m:r>
                <m:rPr/>
                <w:rPr>
                  <w:rFonts w:ascii="Cambria Math" w:hAnsi="Cambria Math"/>
                </w:rPr>
                <m:t>−1</m:t>
              </m:r>
              <m:ctrlPr>
                <w:rPr>
                  <w:rFonts w:ascii="Cambria Math" w:hAnsi="Cambria Math"/>
                  <w:i/>
                  <w:iCs/>
                </w:rPr>
              </m:ctrlPr>
            </m:sup>
          </m:sSup>
          <m:sSub>
            <m:sSubPr>
              <m:ctrlPr>
                <w:rPr>
                  <w:rFonts w:ascii="Cambria Math" w:hAnsi="Cambria Math"/>
                  <w:i/>
                  <w:iCs/>
                </w:rPr>
              </m:ctrlPr>
            </m:sSubPr>
            <m:e>
              <m:r>
                <m:rPr>
                  <m:sty m:val="p"/>
                </m:rPr>
                <w:rPr>
                  <w:rFonts w:ascii="Cambria Math" w:hAnsi="Cambria Math"/>
                </w:rPr>
                <m:t>∇</m:t>
              </m:r>
              <m:ctrlPr>
                <w:rPr>
                  <w:rFonts w:ascii="Cambria Math" w:hAnsi="Cambria Math"/>
                  <w:i/>
                  <w:iCs/>
                </w:rPr>
              </m:ctrlPr>
            </m:e>
            <m:sub>
              <m:r>
                <m:rPr>
                  <m:sty m:val="b"/>
                </m:rPr>
                <w:rPr>
                  <w:rFonts w:ascii="Cambria Math" w:hAnsi="Cambria Math"/>
                </w:rPr>
                <m:t>p</m:t>
              </m:r>
              <m:ctrlPr>
                <w:rPr>
                  <w:rFonts w:ascii="Cambria Math" w:hAnsi="Cambria Math"/>
                  <w:i/>
                  <w:iCs/>
                </w:rPr>
              </m:ctrlPr>
            </m:sub>
          </m:sSub>
          <m:d>
            <m:dPr>
              <m:begChr m:val="["/>
              <m:endChr m:val="]"/>
              <m:ctrlPr>
                <w:rPr>
                  <w:rFonts w:ascii="Cambria Math" w:hAnsi="Cambria Math"/>
                  <w:b/>
                  <w:bCs/>
                  <w:i/>
                  <w:iCs/>
                </w:rPr>
              </m:ctrlPr>
            </m:dPr>
            <m:e>
              <m:f>
                <m:fPr>
                  <m:ctrlPr>
                    <w:rPr>
                      <w:rFonts w:ascii="Cambria Math" w:hAnsi="Cambria Math"/>
                      <w:b/>
                      <w:bCs/>
                      <w:i/>
                      <w:iCs/>
                    </w:rPr>
                  </m:ctrlPr>
                </m:fPr>
                <m:num>
                  <m:r>
                    <m:rPr/>
                    <w:rPr>
                      <w:rFonts w:ascii="Cambria Math" w:hAnsi="Cambria Math"/>
                    </w:rPr>
                    <m:t>∂</m:t>
                  </m:r>
                  <m:sSub>
                    <m:sSubPr>
                      <m:ctrlPr>
                        <w:rPr>
                          <w:rFonts w:ascii="Cambria Math" w:hAnsi="Cambria Math"/>
                          <w:i/>
                          <w:iCs/>
                        </w:rPr>
                      </m:ctrlPr>
                    </m:sSubPr>
                    <m:e>
                      <m:r>
                        <m:rPr/>
                        <w:rPr>
                          <w:rFonts w:ascii="Cambria Math" w:hAnsi="Cambria Math"/>
                        </w:rPr>
                        <m:t>f</m:t>
                      </m:r>
                      <m:ctrlPr>
                        <w:rPr>
                          <w:rFonts w:ascii="Cambria Math" w:hAnsi="Cambria Math"/>
                          <w:i/>
                          <w:iCs/>
                        </w:rPr>
                      </m:ctrlPr>
                    </m:e>
                    <m:sub>
                      <m:r>
                        <m:rPr>
                          <m:sty m:val="b"/>
                        </m:rPr>
                        <w:rPr>
                          <w:rFonts w:ascii="Cambria Math" w:hAnsi="Cambria Math"/>
                        </w:rPr>
                        <m:t>θ</m:t>
                      </m:r>
                      <m:ctrlPr>
                        <w:rPr>
                          <w:rFonts w:ascii="Cambria Math" w:hAnsi="Cambria Math"/>
                          <w:i/>
                          <w:iCs/>
                        </w:rPr>
                      </m:ctrlPr>
                    </m:sub>
                  </m:sSub>
                  <m:ctrlPr>
                    <w:rPr>
                      <w:rFonts w:ascii="Cambria Math" w:hAnsi="Cambria Math"/>
                      <w:b/>
                      <w:bCs/>
                      <w:i/>
                      <w:iCs/>
                    </w:rPr>
                  </m:ctrlPr>
                </m:num>
                <m:den>
                  <m:r>
                    <m:rPr/>
                    <w:rPr>
                      <w:rFonts w:ascii="Cambria Math" w:hAnsi="Cambria Math"/>
                    </w:rPr>
                    <m:t>∂</m:t>
                  </m:r>
                  <m:sSub>
                    <m:sSubPr>
                      <m:ctrlPr>
                        <w:rPr>
                          <w:rFonts w:ascii="Cambria Math" w:hAnsi="Cambria Math"/>
                          <w:i/>
                          <w:iCs/>
                        </w:rPr>
                      </m:ctrlPr>
                    </m:sSubPr>
                    <m:e>
                      <m:r>
                        <m:rPr/>
                        <w:rPr>
                          <w:rFonts w:ascii="Cambria Math" w:hAnsi="Cambria Math"/>
                        </w:rPr>
                        <m:t>θ</m:t>
                      </m:r>
                      <m:ctrlPr>
                        <w:rPr>
                          <w:rFonts w:ascii="Cambria Math" w:hAnsi="Cambria Math"/>
                          <w:i/>
                          <w:iCs/>
                        </w:rPr>
                      </m:ctrlPr>
                    </m:e>
                    <m:sub>
                      <m:r>
                        <m:rPr/>
                        <w:rPr>
                          <w:rFonts w:ascii="Cambria Math" w:hAnsi="Cambria Math"/>
                        </w:rPr>
                        <m:t>k</m:t>
                      </m:r>
                      <m:ctrlPr>
                        <w:rPr>
                          <w:rFonts w:ascii="Cambria Math" w:hAnsi="Cambria Math"/>
                          <w:i/>
                          <w:iCs/>
                        </w:rPr>
                      </m:ctrlPr>
                    </m:sub>
                  </m:sSub>
                  <m:ctrlPr>
                    <w:rPr>
                      <w:rFonts w:ascii="Cambria Math" w:hAnsi="Cambria Math"/>
                      <w:b/>
                      <w:bCs/>
                      <w:i/>
                      <w:iCs/>
                    </w:rPr>
                  </m:ctrlPr>
                </m:den>
              </m:f>
              <m:ctrlPr>
                <w:rPr>
                  <w:rFonts w:ascii="Cambria Math" w:hAnsi="Cambria Math"/>
                  <w:b/>
                  <w:bCs/>
                  <w:i/>
                  <w:iCs/>
                </w:rPr>
              </m:ctrlPr>
            </m:e>
          </m:d>
          <m:d>
            <m:dPr>
              <m:ctrlPr>
                <w:rPr>
                  <w:rFonts w:ascii="Cambria Math" w:hAnsi="Cambria Math"/>
                  <w:i/>
                  <w:iCs/>
                </w:rPr>
              </m:ctrlPr>
            </m:dPr>
            <m:e>
              <m:acc>
                <m:accPr>
                  <m:ctrlPr>
                    <w:rPr>
                      <w:rFonts w:ascii="Cambria Math" w:hAnsi="Cambria Math"/>
                      <w:i/>
                      <w:iCs/>
                    </w:rPr>
                  </m:ctrlPr>
                </m:accPr>
                <m:e>
                  <m:r>
                    <m:rPr>
                      <m:sty m:val="b"/>
                    </m:rPr>
                    <w:rPr>
                      <w:rFonts w:ascii="Cambria Math" w:hAnsi="Cambria Math"/>
                    </w:rPr>
                    <m:t>p</m:t>
                  </m:r>
                  <m:ctrlPr>
                    <w:rPr>
                      <w:rFonts w:ascii="Cambria Math" w:hAnsi="Cambria Math"/>
                      <w:i/>
                      <w:iCs/>
                    </w:rPr>
                  </m:ctrlPr>
                </m:e>
              </m:acc>
              <m:ctrlPr>
                <w:rPr>
                  <w:rFonts w:ascii="Cambria Math" w:hAnsi="Cambria Math"/>
                  <w:i/>
                  <w:iCs/>
                </w:rPr>
              </m:ctrlPr>
            </m:e>
          </m:d>
        </m:oMath>
      </m:oMathPara>
    </w:p>
    <w:p w14:paraId="6A1ACA27">
      <w:r>
        <w:t xml:space="preserve">where </w:t>
      </w:r>
      <m:oMath>
        <m:sSub>
          <m:sSubPr>
            <m:ctrlPr>
              <w:rPr>
                <w:rFonts w:ascii="Cambria Math" w:hAnsi="Cambria Math"/>
                <w:i/>
                <w:iCs/>
              </w:rPr>
            </m:ctrlPr>
          </m:sSubPr>
          <m:e>
            <m:r>
              <m:rPr>
                <m:sty m:val="p"/>
              </m:rPr>
              <w:rPr>
                <w:rFonts w:ascii="Cambria Math" w:hAnsi="Cambria Math"/>
              </w:rPr>
              <m:t>H</m:t>
            </m:r>
            <m:ctrlPr>
              <w:rPr>
                <w:rFonts w:ascii="Cambria Math" w:hAnsi="Cambria Math"/>
                <w:i/>
                <w:iCs/>
              </w:rPr>
            </m:ctrlPr>
          </m:e>
          <m:sub>
            <m:r>
              <m:rPr>
                <m:sty m:val="b"/>
              </m:rPr>
              <w:rPr>
                <w:rFonts w:ascii="Cambria Math" w:hAnsi="Cambria Math"/>
              </w:rPr>
              <m:t>p</m:t>
            </m:r>
            <m:ctrlPr>
              <w:rPr>
                <w:rFonts w:ascii="Cambria Math" w:hAnsi="Cambria Math"/>
                <w:i/>
                <w:iCs/>
              </w:rPr>
            </m:ctrlPr>
          </m:sub>
        </m:sSub>
        <m:d>
          <m:dPr>
            <m:begChr m:val="["/>
            <m:endChr m:val="]"/>
            <m:ctrlPr>
              <w:rPr>
                <w:rFonts w:ascii="Cambria Math" w:hAnsi="Cambria Math"/>
                <w:i/>
                <w:iCs/>
              </w:rPr>
            </m:ctrlPr>
          </m:dPr>
          <m:e>
            <m:sSub>
              <m:sSubPr>
                <m:ctrlPr>
                  <w:rPr>
                    <w:rFonts w:ascii="Cambria Math" w:hAnsi="Cambria Math"/>
                    <w:i/>
                    <w:iCs/>
                  </w:rPr>
                </m:ctrlPr>
              </m:sSubPr>
              <m:e>
                <m:r>
                  <m:rPr/>
                  <w:rPr>
                    <w:rFonts w:ascii="Cambria Math" w:hAnsi="Cambria Math"/>
                  </w:rPr>
                  <m:t>f</m:t>
                </m:r>
                <m:ctrlPr>
                  <w:rPr>
                    <w:rFonts w:ascii="Cambria Math" w:hAnsi="Cambria Math"/>
                    <w:i/>
                    <w:iCs/>
                  </w:rPr>
                </m:ctrlPr>
              </m:e>
              <m:sub>
                <m:r>
                  <m:rPr>
                    <m:sty m:val="b"/>
                  </m:rPr>
                  <w:rPr>
                    <w:rFonts w:ascii="Cambria Math" w:hAnsi="Cambria Math"/>
                  </w:rPr>
                  <m:t>θ</m:t>
                </m:r>
                <m:ctrlPr>
                  <w:rPr>
                    <w:rFonts w:ascii="Cambria Math" w:hAnsi="Cambria Math"/>
                    <w:i/>
                    <w:iCs/>
                  </w:rPr>
                </m:ctrlPr>
              </m:sub>
            </m:sSub>
            <m:ctrlPr>
              <w:rPr>
                <w:rFonts w:ascii="Cambria Math" w:hAnsi="Cambria Math"/>
                <w:i/>
                <w:iCs/>
              </w:rPr>
            </m:ctrlPr>
          </m:e>
        </m:d>
        <m:d>
          <m:dPr>
            <m:ctrlPr>
              <w:rPr>
                <w:rFonts w:ascii="Cambria Math" w:hAnsi="Cambria Math"/>
                <w:i/>
                <w:iCs/>
              </w:rPr>
            </m:ctrlPr>
          </m:dPr>
          <m:e>
            <m:acc>
              <m:accPr>
                <m:ctrlPr>
                  <w:rPr>
                    <w:rFonts w:ascii="Cambria Math" w:hAnsi="Cambria Math"/>
                    <w:i/>
                    <w:iCs/>
                  </w:rPr>
                </m:ctrlPr>
              </m:accPr>
              <m:e>
                <m:r>
                  <m:rPr>
                    <m:sty m:val="b"/>
                  </m:rPr>
                  <w:rPr>
                    <w:rFonts w:ascii="Cambria Math" w:hAnsi="Cambria Math"/>
                  </w:rPr>
                  <m:t>p</m:t>
                </m:r>
                <m:ctrlPr>
                  <w:rPr>
                    <w:rFonts w:ascii="Cambria Math" w:hAnsi="Cambria Math"/>
                    <w:i/>
                    <w:iCs/>
                  </w:rPr>
                </m:ctrlPr>
              </m:e>
            </m:acc>
            <m:ctrlPr>
              <w:rPr>
                <w:rFonts w:ascii="Cambria Math" w:hAnsi="Cambria Math"/>
                <w:i/>
                <w:iCs/>
              </w:rPr>
            </m:ctrlPr>
          </m:e>
        </m:d>
      </m:oMath>
      <w:r>
        <w:t xml:space="preserve"> is the Hessian with respect to </w:t>
      </w:r>
      <m:oMath>
        <m:r>
          <m:rPr>
            <m:sty m:val="b"/>
          </m:rPr>
          <w:rPr>
            <w:rFonts w:ascii="Cambria Math" w:hAnsi="Cambria Math"/>
          </w:rPr>
          <m:t>p</m:t>
        </m:r>
      </m:oMath>
      <w:r>
        <w:t xml:space="preserve"> at </w:t>
      </w:r>
      <m:oMath>
        <m:acc>
          <m:accPr>
            <m:ctrlPr>
              <w:rPr>
                <w:rFonts w:ascii="Cambria Math" w:hAnsi="Cambria Math"/>
                <w:i/>
              </w:rPr>
            </m:ctrlPr>
          </m:accPr>
          <m:e>
            <m:r>
              <m:rPr>
                <m:sty m:val="b"/>
              </m:rPr>
              <w:rPr>
                <w:rFonts w:ascii="Cambria Math" w:hAnsi="Cambria Math"/>
              </w:rPr>
              <m:t>p</m:t>
            </m:r>
            <m:ctrlPr>
              <w:rPr>
                <w:rFonts w:ascii="Cambria Math" w:hAnsi="Cambria Math"/>
                <w:i/>
              </w:rPr>
            </m:ctrlPr>
          </m:e>
        </m:acc>
      </m:oMath>
      <w:r>
        <w:t>. This expression can be used in training to back propagate over this optimization step using a ground truth label for the UE position. By leveraging real-world location data as a proxy, this method enables the model to infer labels on radio measurements (such as soft LOS indicators, etc) indirectly during training.</w:t>
      </w:r>
    </w:p>
    <w:p w14:paraId="20CA2AA3">
      <w:r>
        <w:t>This technique involves back-propagation across both trainable and untrainable optimization steps, allowing the model’s outputs to align with the desired positioning estimates without needing direct measurement labels. By substituting position data for radio measurement labels, the approach enhances the flexibility and scalability of model training. This indirect labelling strategy not only simplifies the data collection process but also improves the model's adaptability across different network environments, facilitating accurate and efficient positioning.</w:t>
      </w:r>
    </w:p>
    <w:p w14:paraId="06D27B59">
      <w:pPr>
        <w:pStyle w:val="73"/>
      </w:pPr>
      <w:bookmarkStart w:id="2162" w:name="_Toc189845142"/>
      <w:r>
        <w:t>For training data collection Part B, support only ground truth labels in the format of UE location coordinates (x, y, z).</w:t>
      </w:r>
      <w:bookmarkEnd w:id="2162"/>
      <w:r>
        <w:t xml:space="preserve"> </w:t>
      </w:r>
    </w:p>
    <w:p w14:paraId="30D6B89F">
      <w:pPr>
        <w:tabs>
          <w:tab w:val="left" w:pos="2123"/>
        </w:tabs>
      </w:pPr>
    </w:p>
    <w:p w14:paraId="2D419CC9">
      <w:pPr>
        <w:tabs>
          <w:tab w:val="left" w:pos="2123"/>
        </w:tabs>
      </w:pPr>
      <w:r>
        <w:t>For label quality, RAN1 extensively discussed how to attach a quality to part B, with the following being the latest proposal from RAN1#118 bis:</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667D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43D17028">
            <w:pPr>
              <w:suppressAutoHyphens/>
              <w:spacing w:after="0" w:line="276" w:lineRule="auto"/>
              <w:rPr>
                <w:rFonts w:eastAsia="等线" w:cs="等线"/>
                <w:b/>
                <w:sz w:val="20"/>
                <w:szCs w:val="20"/>
                <w:u w:val="single"/>
              </w:rPr>
            </w:pPr>
            <w:r>
              <w:rPr>
                <w:rFonts w:eastAsia="等线" w:cs="等线"/>
                <w:b/>
                <w:sz w:val="20"/>
                <w:szCs w:val="20"/>
                <w:u w:val="single"/>
              </w:rPr>
              <w:t>Proposal 4.1.5-1A</w:t>
            </w:r>
            <w:r>
              <w:rPr>
                <w:b/>
                <w:bCs/>
                <w:sz w:val="20"/>
                <w:szCs w:val="20"/>
                <w:u w:val="single"/>
              </w:rPr>
              <w:t xml:space="preserve"> (RAN1#118bis)</w:t>
            </w:r>
          </w:p>
          <w:p w14:paraId="54C89688">
            <w:pPr>
              <w:suppressAutoHyphens/>
              <w:spacing w:after="0" w:line="276" w:lineRule="auto"/>
              <w:rPr>
                <w:rFonts w:eastAsia="等线" w:cs="等线"/>
                <w:sz w:val="20"/>
                <w:szCs w:val="20"/>
              </w:rPr>
            </w:pPr>
            <w:r>
              <w:rPr>
                <w:rFonts w:eastAsia="等线" w:cs="等线"/>
                <w:sz w:val="20"/>
                <w:szCs w:val="20"/>
              </w:rPr>
              <w:t>For training data collection of AI/ML based positioning Cases 1, 3a, 3b, from RAN1 perspective, when label reporting is applicable, quality indicator of label is represented using one of the following options. RAN1 study and select between Option 1 and Option 2.</w:t>
            </w:r>
          </w:p>
          <w:p w14:paraId="2E43BDBE">
            <w:pPr>
              <w:numPr>
                <w:ilvl w:val="0"/>
                <w:numId w:val="45"/>
              </w:numPr>
              <w:suppressAutoHyphens/>
              <w:spacing w:after="0" w:line="276" w:lineRule="auto"/>
              <w:rPr>
                <w:rFonts w:eastAsia="Times New Roman" w:cs="Calibri"/>
                <w:sz w:val="20"/>
                <w:szCs w:val="20"/>
              </w:rPr>
            </w:pPr>
            <w:r>
              <w:rPr>
                <w:rFonts w:eastAsia="Times New Roman" w:cs="Calibri"/>
                <w:sz w:val="20"/>
                <w:szCs w:val="20"/>
              </w:rPr>
              <w:t>Option 1: reuse an existing IE. For each case, proponent companies provide input on the existing IE to use.</w:t>
            </w:r>
          </w:p>
          <w:p w14:paraId="77D2EFCC">
            <w:pPr>
              <w:numPr>
                <w:ilvl w:val="0"/>
                <w:numId w:val="45"/>
              </w:numPr>
              <w:suppressAutoHyphens/>
              <w:spacing w:after="0" w:line="276" w:lineRule="auto"/>
              <w:rPr>
                <w:rFonts w:eastAsia="Times New Roman" w:cs="Calibri"/>
                <w:sz w:val="20"/>
                <w:szCs w:val="20"/>
              </w:rPr>
            </w:pPr>
            <w:r>
              <w:rPr>
                <w:rFonts w:eastAsia="Times New Roman" w:cs="Calibri"/>
                <w:sz w:val="20"/>
                <w:szCs w:val="20"/>
              </w:rPr>
              <w:t>Option 2: define a new IE on UE location quality. Use hard (0 or 1) and soft values (0, 0.1, 0.2, …, 1.0), with value 1 indicating the highest quality.</w:t>
            </w:r>
          </w:p>
          <w:p w14:paraId="15EAA9B7">
            <w:pPr>
              <w:numPr>
                <w:ilvl w:val="1"/>
                <w:numId w:val="45"/>
              </w:numPr>
              <w:suppressAutoHyphens/>
              <w:spacing w:after="0" w:line="276" w:lineRule="auto"/>
              <w:rPr>
                <w:sz w:val="20"/>
                <w:szCs w:val="20"/>
              </w:rPr>
            </w:pPr>
            <w:r>
              <w:rPr>
                <w:rFonts w:eastAsia="Times New Roman" w:cs="Calibri"/>
                <w:sz w:val="20"/>
                <w:szCs w:val="20"/>
              </w:rPr>
              <w:t>Proponent companies provide information on how to determine the value, entity to generate the label quality, and the applicable signaling.</w:t>
            </w:r>
          </w:p>
        </w:tc>
      </w:tr>
    </w:tbl>
    <w:p w14:paraId="00BC18C1">
      <w:pPr>
        <w:tabs>
          <w:tab w:val="left" w:pos="2123"/>
        </w:tabs>
      </w:pPr>
      <w:r>
        <w:t xml:space="preserve"> </w:t>
      </w:r>
    </w:p>
    <w:p w14:paraId="5806210A">
      <w:pPr>
        <w:tabs>
          <w:tab w:val="left" w:pos="2123"/>
        </w:tabs>
      </w:pPr>
      <w:r>
        <w:t xml:space="preserve">Option 1 can already be supported by a UE or LMF for positioning solutions prior to Rel-19.  Note that when providing a location information, a UE also reports the method used to generate that information (e.g. GNSS, WLAN, DL-TDOA).  </w:t>
      </w:r>
    </w:p>
    <w:p w14:paraId="29F5FF78">
      <w:pPr>
        <w:tabs>
          <w:tab w:val="left" w:pos="2123"/>
        </w:tabs>
      </w:pPr>
      <w:r>
        <w:t xml:space="preserve">Option 2 provides a generic metric for quality. However, the quality level depends also on the specific positioning use case,  the desired positioning accuracy, and the AI/ML model design (e.g., structure, size, parameter quantization, etc). Such information may not be known at the time the training data is collected. Furthermore, a given training data set can be used to train multiple models, potentially each with a different accuracy target and a different model design. Depending on the training context, as an example, some deployment/model may treat 1m accuracy as low quality, while another treat 1m accuracy as high quality. Also, Option 2 requires high standardization effort to define the quality values, e.g., how to determine the quality value given a UE location error in meters.    </w:t>
      </w:r>
    </w:p>
    <w:p w14:paraId="5F0737DB">
      <w:pPr>
        <w:tabs>
          <w:tab w:val="left" w:pos="2123"/>
        </w:tabs>
      </w:pPr>
      <w:r>
        <w:t>During RAN1#119, further discussion on the options clarified that the purpose of option 2 is for the LMF to provide a measurement quality which is computed by the LMF.  The proposal was reworded as follows by a proponent company:</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6420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62" w:type="dxa"/>
          </w:tcPr>
          <w:p w14:paraId="28398F5F">
            <w:pPr>
              <w:rPr>
                <w:b/>
                <w:bCs/>
                <w:sz w:val="20"/>
                <w:szCs w:val="20"/>
                <w:u w:val="single"/>
              </w:rPr>
            </w:pPr>
            <w:r>
              <w:rPr>
                <w:b/>
                <w:bCs/>
                <w:szCs w:val="20"/>
                <w:u w:val="single"/>
              </w:rPr>
              <w:t>Proposal 4.1.4-2</w:t>
            </w:r>
          </w:p>
          <w:p w14:paraId="433DEDDA">
            <w:pPr>
              <w:rPr>
                <w:sz w:val="20"/>
                <w:szCs w:val="20"/>
              </w:rPr>
            </w:pPr>
            <w:r>
              <w:rPr>
                <w:szCs w:val="20"/>
              </w:rPr>
              <w:t xml:space="preserve">For AI/ML based positioning, when </w:t>
            </w:r>
            <w:r>
              <w:rPr>
                <w:color w:val="FF0000"/>
                <w:szCs w:val="20"/>
              </w:rPr>
              <w:t xml:space="preserve">label is UE location </w:t>
            </w:r>
            <w:r>
              <w:rPr>
                <w:szCs w:val="20"/>
              </w:rPr>
              <w:t xml:space="preserve">and reported </w:t>
            </w:r>
            <w:r>
              <w:rPr>
                <w:color w:val="FF0000"/>
                <w:szCs w:val="20"/>
              </w:rPr>
              <w:t>(e.g., LMF to UE over LPP)</w:t>
            </w:r>
            <w:r>
              <w:rPr>
                <w:szCs w:val="20"/>
              </w:rPr>
              <w:t xml:space="preserve">, label and quality indicator of label are provided by the following options: reusing existing IE. </w:t>
            </w:r>
          </w:p>
          <w:p w14:paraId="39DAA2D5">
            <w:pPr>
              <w:pStyle w:val="133"/>
              <w:widowControl w:val="0"/>
              <w:numPr>
                <w:ilvl w:val="0"/>
                <w:numId w:val="49"/>
              </w:numPr>
              <w:spacing w:after="80"/>
              <w:rPr>
                <w:sz w:val="20"/>
              </w:rPr>
            </w:pPr>
            <w:r>
              <w:rPr>
                <w:color w:val="FF0000"/>
              </w:rPr>
              <w:t>Reusing existing IE</w:t>
            </w:r>
            <w:r>
              <w:t xml:space="preserve">, the existing IE can </w:t>
            </w:r>
            <w:r>
              <w:rPr>
                <w:bCs/>
                <w:iCs/>
              </w:rPr>
              <w:t xml:space="preserve">use one of the geographic shapes defined in TS 23.032. </w:t>
            </w:r>
            <w:r>
              <w:rPr>
                <w:bCs/>
                <w:iCs/>
                <w:color w:val="FF0000"/>
              </w:rPr>
              <w:t>The uncertainty and confidence serve as quality indicator of the label.</w:t>
            </w:r>
          </w:p>
          <w:p w14:paraId="13A588AB">
            <w:pPr>
              <w:numPr>
                <w:ilvl w:val="0"/>
                <w:numId w:val="49"/>
              </w:numPr>
              <w:suppressAutoHyphens/>
              <w:spacing w:line="276" w:lineRule="auto"/>
              <w:rPr>
                <w:rFonts w:eastAsia="Times New Roman" w:cs="Calibri"/>
                <w:sz w:val="20"/>
                <w:szCs w:val="20"/>
              </w:rPr>
            </w:pPr>
            <w:r>
              <w:rPr>
                <w:rFonts w:eastAsia="Times New Roman" w:cs="Calibri"/>
                <w:szCs w:val="20"/>
              </w:rPr>
              <w:t xml:space="preserve">Using a new IE on </w:t>
            </w:r>
            <w:r>
              <w:rPr>
                <w:rFonts w:eastAsia="Times New Roman" w:cs="Calibri"/>
                <w:color w:val="FF0000"/>
                <w:szCs w:val="20"/>
              </w:rPr>
              <w:t>UE location quality supported by LMF</w:t>
            </w:r>
            <w:r>
              <w:rPr>
                <w:rFonts w:eastAsia="Times New Roman" w:cs="Calibri"/>
                <w:szCs w:val="20"/>
              </w:rPr>
              <w:t>. Use hard (1 or 0) and soft values (0, 0.1, 0.2, …, 1.0), with value 1 indicate the highest quality.</w:t>
            </w:r>
          </w:p>
          <w:p w14:paraId="1474E920">
            <w:pPr>
              <w:rPr>
                <w:sz w:val="20"/>
                <w:szCs w:val="20"/>
              </w:rPr>
            </w:pPr>
            <w:r>
              <w:rPr>
                <w:color w:val="FF0000"/>
                <w:szCs w:val="20"/>
              </w:rPr>
              <w:t>Note: Label quality indicator may be considered as an additional UE capability.</w:t>
            </w:r>
          </w:p>
        </w:tc>
      </w:tr>
    </w:tbl>
    <w:p w14:paraId="0C2D7450">
      <w:pPr>
        <w:tabs>
          <w:tab w:val="left" w:pos="2123"/>
        </w:tabs>
      </w:pPr>
    </w:p>
    <w:p w14:paraId="63B664C0">
      <w:pPr>
        <w:tabs>
          <w:tab w:val="left" w:pos="2123"/>
        </w:tabs>
      </w:pPr>
      <w:r>
        <w:t xml:space="preserve">Our understanding is that the part B label will be signalled re-using the signalling for providing location, i.e. a new “label IE” will not be introduced. Since there is already a measure of quality of the location in the measurement uncertainty and confidence, we do not see how an additional quality indicator will provide further information to the UE. The existing indicator can already convey the LMF assessment of the location quality. </w:t>
      </w:r>
    </w:p>
    <w:p w14:paraId="27A83DB6">
      <w:pPr>
        <w:tabs>
          <w:tab w:val="left" w:pos="2123"/>
        </w:tabs>
      </w:pPr>
      <w:r>
        <w:t xml:space="preserve">Regarding the specific quality metrics, the existing IE </w:t>
      </w:r>
      <w:r>
        <w:rPr>
          <w:rFonts w:eastAsia="Batang"/>
          <w:i/>
          <w:iCs/>
        </w:rPr>
        <w:t>LocationUncertainty</w:t>
      </w:r>
      <w:r>
        <w:t xml:space="preserve"> has been defined to provide horizontal and vertical information for ARP, as shown below from LPP. Similar IEs exist for NRPPa. Label uncertainty is analogous to ARP location in that these location information are considered known, though with error margins in real-world applications. This is in contrast to location of target UE, which is unknown, and to be determined using the positioning methods.</w:t>
      </w:r>
    </w:p>
    <w:p w14:paraId="25364D28">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suppressAutoHyphens/>
        <w:spacing w:after="0" w:line="276" w:lineRule="auto"/>
        <w:rPr>
          <w:rFonts w:ascii="Courier New" w:hAnsi="Courier New" w:eastAsia="Batang"/>
          <w:sz w:val="16"/>
          <w:lang w:eastAsia="sv-SE"/>
        </w:rPr>
      </w:pPr>
      <w:r>
        <w:rPr>
          <w:rFonts w:ascii="Courier New" w:hAnsi="Courier New" w:eastAsia="Batang"/>
          <w:sz w:val="16"/>
          <w:lang w:eastAsia="sv-SE"/>
        </w:rPr>
        <w:t>locationUNC-r16</w:t>
      </w:r>
      <w:r>
        <w:rPr>
          <w:rFonts w:ascii="Courier New" w:hAnsi="Courier New" w:eastAsia="Batang"/>
          <w:sz w:val="16"/>
          <w:lang w:eastAsia="sv-SE"/>
        </w:rPr>
        <w:tab/>
      </w:r>
      <w:r>
        <w:rPr>
          <w:rFonts w:ascii="Courier New" w:hAnsi="Courier New" w:eastAsia="Batang"/>
          <w:sz w:val="16"/>
          <w:lang w:eastAsia="sv-SE"/>
        </w:rPr>
        <w:tab/>
      </w:r>
      <w:r>
        <w:rPr>
          <w:rFonts w:ascii="Courier New" w:hAnsi="Courier New" w:eastAsia="Batang"/>
          <w:sz w:val="16"/>
          <w:lang w:eastAsia="sv-SE"/>
        </w:rPr>
        <w:tab/>
      </w:r>
      <w:r>
        <w:rPr>
          <w:rFonts w:ascii="Courier New" w:hAnsi="Courier New" w:eastAsia="Batang"/>
          <w:sz w:val="16"/>
          <w:lang w:eastAsia="sv-SE"/>
        </w:rPr>
        <w:tab/>
      </w:r>
      <w:bookmarkStart w:id="2163" w:name="_Hlk176420079"/>
      <w:r>
        <w:rPr>
          <w:rFonts w:ascii="Courier New" w:hAnsi="Courier New" w:eastAsia="Batang"/>
          <w:sz w:val="16"/>
          <w:lang w:eastAsia="sv-SE"/>
        </w:rPr>
        <w:t>LocationUncertainty-r16</w:t>
      </w:r>
      <w:bookmarkEnd w:id="2163"/>
      <w:r>
        <w:rPr>
          <w:rFonts w:ascii="Courier New" w:hAnsi="Courier New" w:eastAsia="Batang"/>
          <w:sz w:val="16"/>
          <w:lang w:eastAsia="sv-SE"/>
        </w:rPr>
        <w:tab/>
      </w:r>
      <w:r>
        <w:rPr>
          <w:rFonts w:ascii="Courier New" w:hAnsi="Courier New" w:eastAsia="Batang"/>
          <w:sz w:val="16"/>
          <w:lang w:eastAsia="sv-SE"/>
        </w:rPr>
        <w:tab/>
      </w:r>
      <w:r>
        <w:rPr>
          <w:rFonts w:ascii="Courier New" w:hAnsi="Courier New" w:eastAsia="Batang"/>
          <w:sz w:val="16"/>
          <w:lang w:eastAsia="sv-SE"/>
        </w:rPr>
        <w:tab/>
      </w:r>
      <w:r>
        <w:rPr>
          <w:rFonts w:ascii="Courier New" w:hAnsi="Courier New" w:eastAsia="Batang"/>
          <w:sz w:val="16"/>
          <w:lang w:eastAsia="sv-SE"/>
        </w:rPr>
        <w:tab/>
      </w:r>
      <w:r>
        <w:rPr>
          <w:rFonts w:ascii="Courier New" w:hAnsi="Courier New" w:eastAsia="Batang"/>
          <w:sz w:val="16"/>
          <w:lang w:eastAsia="sv-SE"/>
        </w:rPr>
        <w:t>OPTIONAL,</w:t>
      </w:r>
      <w:r>
        <w:rPr>
          <w:rFonts w:ascii="Courier New" w:hAnsi="Courier New" w:eastAsia="Batang"/>
          <w:sz w:val="16"/>
          <w:lang w:eastAsia="sv-SE"/>
        </w:rPr>
        <w:tab/>
      </w:r>
      <w:r>
        <w:rPr>
          <w:rFonts w:ascii="Courier New" w:hAnsi="Courier New" w:eastAsia="Batang"/>
          <w:sz w:val="16"/>
          <w:lang w:eastAsia="sv-SE"/>
        </w:rPr>
        <w:tab/>
      </w:r>
      <w:r>
        <w:rPr>
          <w:rFonts w:ascii="Courier New" w:hAnsi="Courier New" w:eastAsia="Batang"/>
          <w:sz w:val="16"/>
          <w:lang w:eastAsia="sv-SE"/>
        </w:rPr>
        <w:t>-- Need OP</w:t>
      </w:r>
    </w:p>
    <w:p w14:paraId="2F3AC6BB">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suppressAutoHyphens/>
        <w:spacing w:after="0" w:line="276" w:lineRule="auto"/>
        <w:rPr>
          <w:rFonts w:ascii="Courier New" w:hAnsi="Courier New" w:eastAsia="Batang"/>
          <w:sz w:val="16"/>
          <w:lang w:eastAsia="sv-SE"/>
        </w:rPr>
      </w:pPr>
      <w:r>
        <w:rPr>
          <w:rFonts w:ascii="Courier New" w:hAnsi="Courier New" w:eastAsia="Batang"/>
          <w:color w:val="FF0000"/>
          <w:sz w:val="16"/>
          <w:lang w:eastAsia="sv-SE"/>
        </w:rPr>
        <w:t>LocationUncertainty</w:t>
      </w:r>
      <w:r>
        <w:rPr>
          <w:rFonts w:ascii="Courier New" w:hAnsi="Courier New" w:eastAsia="Batang"/>
          <w:sz w:val="16"/>
          <w:lang w:eastAsia="sv-SE"/>
        </w:rPr>
        <w:t>-r16 ::= SEQUENCE {</w:t>
      </w:r>
    </w:p>
    <w:p w14:paraId="7CE6CD8B">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suppressAutoHyphens/>
        <w:spacing w:after="0" w:line="276" w:lineRule="auto"/>
        <w:rPr>
          <w:rFonts w:ascii="Courier New" w:hAnsi="Courier New" w:eastAsia="Batang"/>
          <w:snapToGrid w:val="0"/>
          <w:sz w:val="16"/>
          <w:lang w:val="pt-BR" w:eastAsia="sv-SE"/>
        </w:rPr>
      </w:pPr>
      <w:r>
        <w:rPr>
          <w:rFonts w:ascii="Courier New" w:hAnsi="Courier New" w:eastAsia="Batang"/>
          <w:snapToGrid w:val="0"/>
          <w:sz w:val="16"/>
          <w:lang w:eastAsia="sv-SE"/>
        </w:rPr>
        <w:tab/>
      </w:r>
      <w:r>
        <w:rPr>
          <w:rFonts w:ascii="Courier New" w:hAnsi="Courier New" w:eastAsia="Batang"/>
          <w:snapToGrid w:val="0"/>
          <w:sz w:val="16"/>
          <w:lang w:val="pt-BR" w:eastAsia="sv-SE"/>
        </w:rPr>
        <w:t>horizontalUncertainty-r16</w:t>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INTEGER (0..255),</w:t>
      </w:r>
    </w:p>
    <w:p w14:paraId="3D6856FD">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suppressAutoHyphens/>
        <w:spacing w:after="0" w:line="276" w:lineRule="auto"/>
        <w:rPr>
          <w:rFonts w:ascii="Courier New" w:hAnsi="Courier New" w:eastAsia="Batang"/>
          <w:snapToGrid w:val="0"/>
          <w:sz w:val="16"/>
          <w:lang w:val="pt-BR" w:eastAsia="sv-SE"/>
        </w:rPr>
      </w:pPr>
      <w:r>
        <w:rPr>
          <w:rFonts w:ascii="Courier New" w:hAnsi="Courier New" w:eastAsia="Batang"/>
          <w:snapToGrid w:val="0"/>
          <w:sz w:val="16"/>
          <w:lang w:val="pt-BR" w:eastAsia="sv-SE"/>
        </w:rPr>
        <w:tab/>
      </w:r>
      <w:r>
        <w:rPr>
          <w:rFonts w:ascii="Courier New" w:hAnsi="Courier New" w:eastAsia="Batang"/>
          <w:snapToGrid w:val="0"/>
          <w:sz w:val="16"/>
          <w:lang w:val="pt-BR" w:eastAsia="sv-SE"/>
        </w:rPr>
        <w:t>horizontalConfidence-r16</w:t>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INTEGER (0..100),</w:t>
      </w:r>
    </w:p>
    <w:p w14:paraId="66DE0DB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suppressAutoHyphens/>
        <w:spacing w:after="0" w:line="276" w:lineRule="auto"/>
        <w:rPr>
          <w:rFonts w:ascii="Courier New" w:hAnsi="Courier New" w:eastAsia="Batang"/>
          <w:snapToGrid w:val="0"/>
          <w:sz w:val="16"/>
          <w:lang w:val="pt-BR" w:eastAsia="sv-SE"/>
        </w:rPr>
      </w:pPr>
      <w:r>
        <w:rPr>
          <w:rFonts w:ascii="Courier New" w:hAnsi="Courier New" w:eastAsia="Batang"/>
          <w:snapToGrid w:val="0"/>
          <w:sz w:val="16"/>
          <w:lang w:val="pt-BR" w:eastAsia="sv-SE"/>
        </w:rPr>
        <w:tab/>
      </w:r>
      <w:bookmarkStart w:id="2164" w:name="_Hlk178692197"/>
      <w:r>
        <w:rPr>
          <w:rFonts w:ascii="Courier New" w:hAnsi="Courier New" w:eastAsia="Batang"/>
          <w:snapToGrid w:val="0"/>
          <w:sz w:val="16"/>
          <w:lang w:val="pt-BR" w:eastAsia="sv-SE"/>
        </w:rPr>
        <w:t>verticalUncertainty-r16</w:t>
      </w:r>
      <w:bookmarkEnd w:id="2164"/>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INTEGER (0..255),</w:t>
      </w:r>
    </w:p>
    <w:p w14:paraId="6FC1DFBA">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suppressAutoHyphens/>
        <w:spacing w:after="0" w:line="276" w:lineRule="auto"/>
        <w:rPr>
          <w:rFonts w:ascii="Courier New" w:hAnsi="Courier New" w:eastAsia="Batang"/>
          <w:sz w:val="16"/>
          <w:lang w:val="pt-BR" w:eastAsia="sv-SE"/>
        </w:rPr>
      </w:pPr>
      <w:r>
        <w:rPr>
          <w:rFonts w:ascii="Courier New" w:hAnsi="Courier New" w:eastAsia="Batang"/>
          <w:snapToGrid w:val="0"/>
          <w:sz w:val="16"/>
          <w:lang w:val="pt-BR" w:eastAsia="sv-SE"/>
        </w:rPr>
        <w:tab/>
      </w:r>
      <w:r>
        <w:rPr>
          <w:rFonts w:ascii="Courier New" w:hAnsi="Courier New" w:eastAsia="Batang"/>
          <w:snapToGrid w:val="0"/>
          <w:sz w:val="16"/>
          <w:lang w:val="pt-BR" w:eastAsia="sv-SE"/>
        </w:rPr>
        <w:t>verticalConfidence-r16</w:t>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ab/>
      </w:r>
      <w:r>
        <w:rPr>
          <w:rFonts w:ascii="Courier New" w:hAnsi="Courier New" w:eastAsia="Batang"/>
          <w:snapToGrid w:val="0"/>
          <w:sz w:val="16"/>
          <w:lang w:val="pt-BR" w:eastAsia="sv-SE"/>
        </w:rPr>
        <w:t>INTEGER (0..100)</w:t>
      </w:r>
    </w:p>
    <w:p w14:paraId="7BB0DB2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suppressAutoHyphens/>
        <w:spacing w:after="0" w:line="276" w:lineRule="auto"/>
        <w:rPr>
          <w:rFonts w:ascii="Courier New" w:hAnsi="Courier New" w:eastAsia="Batang"/>
          <w:sz w:val="16"/>
          <w:lang w:eastAsia="sv-SE"/>
        </w:rPr>
      </w:pPr>
      <w:r>
        <w:rPr>
          <w:rFonts w:ascii="Courier New" w:hAnsi="Courier New" w:eastAsia="Batang"/>
          <w:sz w:val="16"/>
          <w:lang w:eastAsia="sv-SE"/>
        </w:rPr>
        <w:t>}</w:t>
      </w:r>
    </w:p>
    <w:tbl>
      <w:tblPr>
        <w:tblStyle w:val="51"/>
        <w:tblW w:w="9639"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14:paraId="55FA98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blHeader/>
        </w:trPr>
        <w:tc>
          <w:tcPr>
            <w:tcW w:w="9639" w:type="dxa"/>
          </w:tcPr>
          <w:p w14:paraId="4AD364DE">
            <w:pPr>
              <w:keepNext/>
              <w:keepLines/>
              <w:suppressAutoHyphens/>
              <w:spacing w:after="0" w:line="276" w:lineRule="auto"/>
              <w:rPr>
                <w:rFonts w:eastAsia="等线" w:cs="等线"/>
                <w:b/>
                <w:i/>
                <w:sz w:val="18"/>
                <w:lang w:eastAsia="zh-CN"/>
              </w:rPr>
            </w:pPr>
            <w:r>
              <w:rPr>
                <w:rFonts w:eastAsia="等线" w:cs="等线"/>
                <w:b/>
                <w:i/>
                <w:sz w:val="18"/>
                <w:lang w:eastAsia="zh-CN"/>
              </w:rPr>
              <w:t>locationUNC</w:t>
            </w:r>
          </w:p>
          <w:p w14:paraId="2AD1776F">
            <w:pPr>
              <w:keepNext/>
              <w:keepLines/>
              <w:suppressAutoHyphens/>
              <w:spacing w:after="0" w:line="276" w:lineRule="auto"/>
              <w:rPr>
                <w:rFonts w:eastAsia="等线" w:cs="等线"/>
                <w:sz w:val="18"/>
                <w:lang w:eastAsia="zh-CN"/>
              </w:rPr>
            </w:pPr>
            <w:r>
              <w:rPr>
                <w:rFonts w:eastAsia="等线" w:cs="等线"/>
                <w:sz w:val="18"/>
                <w:lang w:eastAsia="zh-CN"/>
              </w:rPr>
              <w:t>This field specifies the uncertainty of the location coordinates and comprises the following sub-fields:</w:t>
            </w:r>
          </w:p>
          <w:p w14:paraId="40DFAE8C">
            <w:pPr>
              <w:suppressAutoHyphens/>
              <w:spacing w:after="0" w:line="276" w:lineRule="auto"/>
              <w:ind w:left="568" w:hanging="284"/>
              <w:rPr>
                <w:rFonts w:eastAsia="等线" w:cs="Arial"/>
                <w:color w:val="FF0000"/>
                <w:sz w:val="18"/>
                <w:szCs w:val="18"/>
                <w:lang w:eastAsia="zh-CN"/>
              </w:rPr>
            </w:pPr>
            <w:r>
              <w:rPr>
                <w:rFonts w:eastAsia="等线" w:cs="Arial"/>
                <w:sz w:val="18"/>
                <w:szCs w:val="18"/>
                <w:lang w:eastAsia="zh-CN"/>
              </w:rPr>
              <w:t>-</w:t>
            </w:r>
            <w:r>
              <w:rPr>
                <w:rFonts w:eastAsia="等线" w:cs="Arial"/>
                <w:snapToGrid w:val="0"/>
                <w:sz w:val="18"/>
                <w:szCs w:val="18"/>
                <w:lang w:eastAsia="zh-CN"/>
              </w:rPr>
              <w:tab/>
            </w:r>
            <w:r>
              <w:rPr>
                <w:rFonts w:eastAsia="等线" w:cs="Arial"/>
                <w:b/>
                <w:i/>
                <w:snapToGrid w:val="0"/>
                <w:color w:val="FF0000"/>
                <w:sz w:val="18"/>
                <w:szCs w:val="18"/>
                <w:lang w:eastAsia="zh-CN"/>
              </w:rPr>
              <w:t>horizontalUncertainty</w:t>
            </w:r>
            <w:r>
              <w:rPr>
                <w:rFonts w:eastAsia="等线" w:cs="Arial"/>
                <w:snapToGrid w:val="0"/>
                <w:color w:val="FF0000"/>
                <w:sz w:val="18"/>
                <w:szCs w:val="18"/>
                <w:lang w:eastAsia="zh-CN"/>
              </w:rPr>
              <w:t xml:space="preserve"> indicates the horizontal uncertainty of the </w:t>
            </w:r>
            <w:r>
              <w:rPr>
                <w:rFonts w:eastAsia="等线" w:cs="Arial"/>
                <w:snapToGrid w:val="0"/>
                <w:color w:val="FF0000"/>
                <w:sz w:val="18"/>
                <w:szCs w:val="18"/>
                <w:highlight w:val="darkGray"/>
                <w:lang w:eastAsia="zh-CN"/>
              </w:rPr>
              <w:t>ARP</w:t>
            </w:r>
            <w:r>
              <w:rPr>
                <w:rFonts w:eastAsia="等线" w:cs="Arial"/>
                <w:snapToGrid w:val="0"/>
                <w:color w:val="FF0000"/>
                <w:sz w:val="18"/>
                <w:szCs w:val="18"/>
                <w:lang w:eastAsia="zh-CN"/>
              </w:rPr>
              <w:t xml:space="preserve"> latitude/longitude. </w:t>
            </w:r>
            <w:r>
              <w:rPr>
                <w:rFonts w:eastAsia="等线" w:cs="Arial"/>
                <w:color w:val="FF0000"/>
                <w:sz w:val="18"/>
                <w:szCs w:val="18"/>
                <w:lang w:eastAsia="zh-CN"/>
              </w:rPr>
              <w:t>The ′</w:t>
            </w:r>
            <w:r>
              <w:rPr>
                <w:rFonts w:eastAsia="等线" w:cs="Arial"/>
                <w:i/>
                <w:color w:val="FF0000"/>
                <w:sz w:val="18"/>
                <w:szCs w:val="18"/>
                <w:lang w:eastAsia="zh-CN"/>
              </w:rPr>
              <w:t>horizontalUncertainty</w:t>
            </w:r>
            <w:r>
              <w:rPr>
                <w:rFonts w:eastAsia="等线" w:cs="Arial"/>
                <w:color w:val="FF0000"/>
                <w:sz w:val="18"/>
                <w:szCs w:val="18"/>
                <w:lang w:eastAsia="zh-CN"/>
              </w:rPr>
              <w:t xml:space="preserve">′ corresponds to the encoded high accuracy uncertainty as defined in TS 23.032 [15] and </w:t>
            </w:r>
            <w:r>
              <w:rPr>
                <w:rFonts w:hint="eastAsia" w:eastAsia="等线" w:cs="Arial"/>
                <w:color w:val="FF0000"/>
                <w:sz w:val="18"/>
                <w:szCs w:val="18"/>
                <w:lang w:eastAsia="zh-CN"/>
              </w:rPr>
              <w:t>′</w:t>
            </w:r>
            <w:r>
              <w:rPr>
                <w:rFonts w:eastAsia="等线" w:cs="Arial"/>
                <w:i/>
                <w:color w:val="FF0000"/>
                <w:sz w:val="18"/>
                <w:szCs w:val="18"/>
                <w:lang w:eastAsia="zh-CN"/>
              </w:rPr>
              <w:t>horizontalConfidence</w:t>
            </w:r>
            <w:r>
              <w:rPr>
                <w:rFonts w:hint="eastAsia" w:eastAsia="等线" w:cs="Arial"/>
                <w:color w:val="FF0000"/>
                <w:sz w:val="18"/>
                <w:szCs w:val="18"/>
                <w:lang w:eastAsia="zh-CN"/>
              </w:rPr>
              <w:t>′</w:t>
            </w:r>
            <w:r>
              <w:rPr>
                <w:rFonts w:eastAsia="等线" w:cs="Arial"/>
                <w:color w:val="FF0000"/>
                <w:sz w:val="18"/>
                <w:szCs w:val="18"/>
                <w:lang w:eastAsia="zh-CN"/>
              </w:rPr>
              <w:t xml:space="preserve"> corresponds to confidence as defined in TS 23.032 [15].</w:t>
            </w:r>
          </w:p>
          <w:p w14:paraId="603806CD">
            <w:pPr>
              <w:suppressAutoHyphens/>
              <w:spacing w:after="0" w:line="276" w:lineRule="auto"/>
              <w:ind w:left="568" w:hanging="284"/>
              <w:rPr>
                <w:rFonts w:eastAsia="等线" w:cs="Arial"/>
                <w:color w:val="FF0000"/>
                <w:sz w:val="18"/>
                <w:szCs w:val="18"/>
                <w:lang w:eastAsia="zh-CN"/>
              </w:rPr>
            </w:pPr>
            <w:r>
              <w:rPr>
                <w:rFonts w:eastAsia="等线" w:cs="Arial"/>
                <w:snapToGrid w:val="0"/>
                <w:color w:val="FF0000"/>
                <w:sz w:val="18"/>
                <w:szCs w:val="18"/>
                <w:lang w:eastAsia="zh-CN"/>
              </w:rPr>
              <w:t>-</w:t>
            </w:r>
            <w:r>
              <w:rPr>
                <w:rFonts w:eastAsia="等线" w:cs="Arial"/>
                <w:snapToGrid w:val="0"/>
                <w:color w:val="FF0000"/>
                <w:sz w:val="18"/>
                <w:szCs w:val="18"/>
                <w:lang w:eastAsia="zh-CN"/>
              </w:rPr>
              <w:tab/>
            </w:r>
            <w:r>
              <w:rPr>
                <w:rFonts w:eastAsia="等线" w:cs="Arial"/>
                <w:b/>
                <w:i/>
                <w:snapToGrid w:val="0"/>
                <w:color w:val="FF0000"/>
                <w:sz w:val="18"/>
                <w:szCs w:val="18"/>
                <w:lang w:eastAsia="zh-CN"/>
              </w:rPr>
              <w:t>verticalUncertainty</w:t>
            </w:r>
            <w:r>
              <w:rPr>
                <w:rFonts w:eastAsia="等线" w:cs="Arial"/>
                <w:snapToGrid w:val="0"/>
                <w:color w:val="FF0000"/>
                <w:sz w:val="18"/>
                <w:szCs w:val="18"/>
                <w:lang w:eastAsia="zh-CN"/>
              </w:rPr>
              <w:t xml:space="preserve"> indicates the vertical uncertainty of the </w:t>
            </w:r>
            <w:r>
              <w:rPr>
                <w:rFonts w:eastAsia="等线" w:cs="Arial"/>
                <w:snapToGrid w:val="0"/>
                <w:color w:val="FF0000"/>
                <w:sz w:val="18"/>
                <w:szCs w:val="18"/>
                <w:highlight w:val="darkGray"/>
                <w:lang w:eastAsia="zh-CN"/>
              </w:rPr>
              <w:t>ARP</w:t>
            </w:r>
            <w:r>
              <w:rPr>
                <w:rFonts w:eastAsia="等线" w:cs="Arial"/>
                <w:snapToGrid w:val="0"/>
                <w:color w:val="FF0000"/>
                <w:sz w:val="18"/>
                <w:szCs w:val="18"/>
                <w:lang w:eastAsia="zh-CN"/>
              </w:rPr>
              <w:t xml:space="preserve"> altitude. </w:t>
            </w:r>
            <w:r>
              <w:rPr>
                <w:rFonts w:eastAsia="等线" w:cs="Arial"/>
                <w:color w:val="FF0000"/>
                <w:sz w:val="18"/>
                <w:szCs w:val="18"/>
                <w:lang w:eastAsia="zh-CN"/>
              </w:rPr>
              <w:t>The ‘</w:t>
            </w:r>
            <w:r>
              <w:rPr>
                <w:rFonts w:eastAsia="等线" w:cs="Arial"/>
                <w:i/>
                <w:color w:val="FF0000"/>
                <w:sz w:val="18"/>
                <w:szCs w:val="18"/>
                <w:lang w:eastAsia="zh-CN"/>
              </w:rPr>
              <w:t>verticalUncertainty</w:t>
            </w:r>
            <w:r>
              <w:rPr>
                <w:rFonts w:eastAsia="等线" w:cs="Arial"/>
                <w:color w:val="FF0000"/>
                <w:sz w:val="18"/>
                <w:szCs w:val="18"/>
                <w:lang w:eastAsia="zh-CN"/>
              </w:rPr>
              <w:t>’ corresponds to the encoded high accuracy uncertainty as defined in TS 23.032 [15] and ‘</w:t>
            </w:r>
            <w:r>
              <w:rPr>
                <w:rFonts w:eastAsia="等线" w:cs="Arial"/>
                <w:i/>
                <w:color w:val="FF0000"/>
                <w:sz w:val="18"/>
                <w:szCs w:val="18"/>
                <w:lang w:eastAsia="zh-CN"/>
              </w:rPr>
              <w:t>verticalConfidence</w:t>
            </w:r>
            <w:r>
              <w:rPr>
                <w:rFonts w:eastAsia="等线" w:cs="Arial"/>
                <w:color w:val="FF0000"/>
                <w:sz w:val="18"/>
                <w:szCs w:val="18"/>
                <w:lang w:eastAsia="zh-CN"/>
              </w:rPr>
              <w:t>’ corresponds to confidence as defined in TS 23.032 [15].</w:t>
            </w:r>
          </w:p>
          <w:p w14:paraId="6069CD6C">
            <w:pPr>
              <w:keepNext/>
              <w:keepLines/>
              <w:suppressAutoHyphens/>
              <w:spacing w:after="0" w:line="276" w:lineRule="auto"/>
              <w:rPr>
                <w:rFonts w:eastAsia="等线" w:cs="等线"/>
                <w:sz w:val="18"/>
                <w:lang w:val="zh-CN" w:eastAsia="zh-CN"/>
              </w:rPr>
            </w:pPr>
            <w:r>
              <w:rPr>
                <w:rFonts w:eastAsia="等线" w:cs="等线"/>
                <w:sz w:val="18"/>
                <w:lang w:val="zh-CN" w:eastAsia="zh-CN"/>
              </w:rPr>
              <w:t>If this field is absent, the uncertainty is the same as for the associated reference point location.</w:t>
            </w:r>
          </w:p>
        </w:tc>
      </w:tr>
    </w:tbl>
    <w:p w14:paraId="09A9FE8E">
      <w:pPr>
        <w:suppressAutoHyphens/>
        <w:spacing w:line="276" w:lineRule="auto"/>
        <w:rPr>
          <w:rFonts w:eastAsia="等线" w:cs="等线"/>
          <w:lang w:eastAsia="zh-CN"/>
        </w:rPr>
      </w:pPr>
    </w:p>
    <w:p w14:paraId="238A830F">
      <w:pPr>
        <w:tabs>
          <w:tab w:val="left" w:pos="2123"/>
        </w:tabs>
      </w:pPr>
      <w:r>
        <w:t xml:space="preserve">For horizontal and vertical uncertainty, the value range of (0..255) indicate a location error range between 0 and 46.49129 metres, with the smallest indicated value of 6 millimeters, see Appendix A. In our view, the existing </w:t>
      </w:r>
      <w:r>
        <w:rPr>
          <w:i/>
          <w:iCs/>
        </w:rPr>
        <w:t xml:space="preserve">horizontalUncertainty-r16 </w:t>
      </w:r>
      <w:r>
        <w:t xml:space="preserve">and </w:t>
      </w:r>
      <w:r>
        <w:rPr>
          <w:i/>
          <w:iCs/>
          <w:lang w:val="pt-BR"/>
        </w:rPr>
        <w:t>verticalUncertainty-r16</w:t>
      </w:r>
      <w:r>
        <w:rPr>
          <w:lang w:val="pt-BR"/>
        </w:rPr>
        <w:t>, and their corresponding confidence,</w:t>
      </w:r>
      <w:r>
        <w:t xml:space="preserve"> can be reused to indicate the UE location quality for labels, including the encoded high accuracy uncertainty as defined in TS 23.032. The definition of the fields would naturally clarify that the uncertainty values are for UE location (PRU or non-PRU UE), instead of ARP.</w:t>
      </w:r>
    </w:p>
    <w:p w14:paraId="46469768">
      <w:pPr>
        <w:tabs>
          <w:tab w:val="left" w:pos="2123"/>
        </w:tabs>
      </w:pPr>
      <w:r>
        <w:t xml:space="preserve">Additionally, one question is whether the label quality should be provided differently depending on model output, for example, timing information (UL RTOA) for assisted positioning or UE location for direct positioning. As explained earlier, in our view, the training dataset is agnostic of the model architecture and model training methodology. Thus, for the purpose of training data collection, label quality only needs to be recorded as UE location error in meters. If the model training entity has a need of a quality of an intermediate metric (e.g., UL RTOA), then such quality can be calculated using the UE location error in meters. Such procedure is out of scope for RAN1 standardization in our view. </w:t>
      </w:r>
    </w:p>
    <w:p w14:paraId="63E8F993">
      <w:pPr>
        <w:tabs>
          <w:tab w:val="left" w:pos="2123"/>
        </w:tabs>
      </w:pPr>
      <w:r>
        <w:t>Hence, keeping legacy quality metrics is preferable. We support Option 1, and don’t support Option 2.  The following proposal discussed in RAN1#119 can be revised and supported.</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0BBF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51804177">
            <w:pPr>
              <w:rPr>
                <w:b/>
                <w:bCs/>
                <w:sz w:val="20"/>
                <w:szCs w:val="20"/>
                <w:u w:val="single"/>
              </w:rPr>
            </w:pPr>
            <w:r>
              <w:rPr>
                <w:b/>
                <w:bCs/>
                <w:szCs w:val="20"/>
                <w:u w:val="single"/>
              </w:rPr>
              <w:t>Proposal 4.1.4-2</w:t>
            </w:r>
            <w:r>
              <w:rPr>
                <w:b/>
                <w:bCs/>
                <w:sz w:val="20"/>
                <w:szCs w:val="20"/>
                <w:u w:val="single"/>
              </w:rPr>
              <w:t xml:space="preserve"> (RAN1#119)</w:t>
            </w:r>
          </w:p>
          <w:p w14:paraId="405C5F07">
            <w:pPr>
              <w:rPr>
                <w:sz w:val="20"/>
                <w:szCs w:val="20"/>
              </w:rPr>
            </w:pPr>
            <w:r>
              <w:rPr>
                <w:szCs w:val="20"/>
              </w:rPr>
              <w:t xml:space="preserve">For AI/ML based positioning, when label is UE location and reported (e.g., LMF to UE over LPP), label and quality indicator of label are provided by reusing existing IE. </w:t>
            </w:r>
          </w:p>
          <w:p w14:paraId="3E277BA8">
            <w:pPr>
              <w:pStyle w:val="133"/>
              <w:widowControl w:val="0"/>
              <w:numPr>
                <w:ilvl w:val="0"/>
                <w:numId w:val="49"/>
              </w:numPr>
              <w:spacing w:after="80"/>
              <w:rPr>
                <w:sz w:val="20"/>
              </w:rPr>
            </w:pPr>
            <w:r>
              <w:t xml:space="preserve">From RAN1 perspective, the existing IE can </w:t>
            </w:r>
            <w:r>
              <w:rPr>
                <w:bCs/>
                <w:iCs/>
              </w:rPr>
              <w:t>use one of the geographic shapes defined in TS 23.032. The uncertainty and confidence serve as quality indicator of the label.</w:t>
            </w:r>
          </w:p>
        </w:tc>
      </w:tr>
    </w:tbl>
    <w:p w14:paraId="08CFFBB1">
      <w:pPr>
        <w:tabs>
          <w:tab w:val="left" w:pos="2123"/>
        </w:tabs>
      </w:pPr>
    </w:p>
    <w:p w14:paraId="2C67C876">
      <w:pPr>
        <w:tabs>
          <w:tab w:val="left" w:pos="2123"/>
        </w:tabs>
      </w:pPr>
    </w:p>
    <w:p w14:paraId="4E714AE3">
      <w:pPr>
        <w:pStyle w:val="73"/>
      </w:pPr>
      <w:bookmarkStart w:id="2165" w:name="_Toc189845143"/>
      <w:r>
        <w:t>From RAN1 perspective, the same label (UE location) and label quality (UE location uncertainty) are collected, irrespective of the type of model architecture (e.g., assisted or direct positioning) that may be selected by the model training entity.</w:t>
      </w:r>
      <w:bookmarkEnd w:id="2165"/>
      <w:r>
        <w:t xml:space="preserve"> </w:t>
      </w:r>
    </w:p>
    <w:p w14:paraId="60D8DECD">
      <w:pPr>
        <w:pStyle w:val="73"/>
      </w:pPr>
      <w:bookmarkStart w:id="2166" w:name="_Toc189845144"/>
      <w:r>
        <w:t>For training data collection, the label quality for Part B reuse the existing IEs for indicating UE location quality. From RAN1 perspective, the existing IE can use one of the geographic shapes defined in TS 23.032. The uncertainty and confidence serve as quality indicator of the label.</w:t>
      </w:r>
      <w:bookmarkEnd w:id="2166"/>
      <w:r>
        <w:t xml:space="preserve"> </w:t>
      </w:r>
    </w:p>
    <w:p w14:paraId="04F5A2C2">
      <w:pPr>
        <w:pStyle w:val="73"/>
        <w:numPr>
          <w:ilvl w:val="0"/>
          <w:numId w:val="0"/>
        </w:numPr>
      </w:pPr>
    </w:p>
    <w:p w14:paraId="684D9A24">
      <w:pPr>
        <w:pStyle w:val="4"/>
      </w:pPr>
      <w:bookmarkStart w:id="2167" w:name="_Toc189845036"/>
      <w:r>
        <w:t>Pairing of Part A and Part B in data collection</w:t>
      </w:r>
      <w:bookmarkEnd w:id="2167"/>
      <w:r>
        <w:t xml:space="preserve"> </w:t>
      </w:r>
    </w:p>
    <w:p w14:paraId="474FFDF1">
      <w:r>
        <w:t>During RAN1#119, several companies brought forward the issue of pairing part A and part B. Correspondingly, Proposals were drafted to discuss this issue in RAN1#119:</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116A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7EB0C0E3">
            <w:pPr>
              <w:spacing w:after="0"/>
              <w:rPr>
                <w:b/>
                <w:bCs/>
                <w:sz w:val="20"/>
                <w:szCs w:val="20"/>
                <w:u w:val="single"/>
              </w:rPr>
            </w:pPr>
            <w:r>
              <w:rPr>
                <w:b/>
                <w:bCs/>
                <w:szCs w:val="20"/>
                <w:u w:val="single"/>
              </w:rPr>
              <w:t>Proposal 4.4.2-1</w:t>
            </w:r>
          </w:p>
          <w:p w14:paraId="5DE4CFE8">
            <w:pPr>
              <w:spacing w:after="0"/>
              <w:rPr>
                <w:sz w:val="20"/>
                <w:szCs w:val="20"/>
              </w:rPr>
            </w:pPr>
            <w:r>
              <w:rPr>
                <w:szCs w:val="20"/>
              </w:rPr>
              <w:t>For training data collection of AI/ML based positioning, if Part A and Part B are generated by the same entity, the paired Part A and Part B are provided in one report.</w:t>
            </w:r>
          </w:p>
          <w:p w14:paraId="2E08D278">
            <w:pPr>
              <w:pStyle w:val="133"/>
              <w:widowControl w:val="0"/>
              <w:numPr>
                <w:ilvl w:val="0"/>
                <w:numId w:val="49"/>
              </w:numPr>
              <w:rPr>
                <w:sz w:val="20"/>
              </w:rPr>
            </w:pPr>
            <w:r>
              <w:t>If multiple entries of Part A and Part B are reported, the Part A entry and the corresponding Part B entry are grouped in a pair for reporting.</w:t>
            </w:r>
          </w:p>
          <w:p w14:paraId="237F219C">
            <w:pPr>
              <w:pStyle w:val="133"/>
              <w:widowControl w:val="0"/>
              <w:numPr>
                <w:ilvl w:val="0"/>
                <w:numId w:val="49"/>
              </w:numPr>
              <w:rPr>
                <w:sz w:val="20"/>
              </w:rPr>
            </w:pPr>
            <w:r>
              <w:t>The paired Part A and Part B entry share the same time stamp.</w:t>
            </w:r>
          </w:p>
          <w:p w14:paraId="0BD1AEB3">
            <w:pPr>
              <w:spacing w:after="0"/>
              <w:rPr>
                <w:sz w:val="20"/>
                <w:szCs w:val="20"/>
              </w:rPr>
            </w:pPr>
          </w:p>
          <w:p w14:paraId="0627B191">
            <w:pPr>
              <w:spacing w:after="0"/>
              <w:rPr>
                <w:b/>
                <w:bCs/>
                <w:sz w:val="20"/>
                <w:szCs w:val="20"/>
                <w:u w:val="single"/>
              </w:rPr>
            </w:pPr>
            <w:r>
              <w:rPr>
                <w:szCs w:val="20"/>
              </w:rPr>
              <w:t xml:space="preserve"> </w:t>
            </w:r>
            <w:r>
              <w:rPr>
                <w:b/>
                <w:bCs/>
                <w:szCs w:val="20"/>
                <w:u w:val="single"/>
              </w:rPr>
              <w:t>Proposal 4.4.2-2</w:t>
            </w:r>
          </w:p>
          <w:p w14:paraId="3BD3C56B">
            <w:pPr>
              <w:spacing w:after="0"/>
              <w:rPr>
                <w:sz w:val="20"/>
                <w:szCs w:val="20"/>
              </w:rPr>
            </w:pPr>
            <w:bookmarkStart w:id="2168" w:name="_Hlk182817882"/>
            <w:r>
              <w:rPr>
                <w:szCs w:val="20"/>
              </w:rPr>
              <w:t>For training data collection of AI/ML based positioning, if Part A and Part B are generated by different entities, the pairing between a Part A entry and a Part B entry is supported via at least:</w:t>
            </w:r>
          </w:p>
          <w:p w14:paraId="4649671F">
            <w:pPr>
              <w:pStyle w:val="133"/>
              <w:widowControl w:val="0"/>
              <w:numPr>
                <w:ilvl w:val="0"/>
                <w:numId w:val="49"/>
              </w:numPr>
              <w:rPr>
                <w:sz w:val="20"/>
              </w:rPr>
            </w:pPr>
            <w:r>
              <w:t>A UE identifier, and</w:t>
            </w:r>
          </w:p>
          <w:p w14:paraId="0905F485">
            <w:pPr>
              <w:pStyle w:val="133"/>
              <w:widowControl w:val="0"/>
              <w:numPr>
                <w:ilvl w:val="0"/>
                <w:numId w:val="49"/>
              </w:numPr>
              <w:rPr>
                <w:sz w:val="20"/>
              </w:rPr>
            </w:pPr>
            <w:r>
              <w:t xml:space="preserve">The time stamp of Part A and the time stamp of Part B. </w:t>
            </w:r>
          </w:p>
          <w:p w14:paraId="3F5094D3">
            <w:pPr>
              <w:pStyle w:val="133"/>
              <w:widowControl w:val="0"/>
              <w:numPr>
                <w:ilvl w:val="1"/>
                <w:numId w:val="49"/>
              </w:numPr>
              <w:tabs>
                <w:tab w:val="left" w:pos="1440"/>
              </w:tabs>
            </w:pPr>
            <w:r>
              <w:t>Note: Different time stamp granularity can be used for Part A and Part B. For example, “Measurement time” in 38.455 and UTCTime in 37.355 have different granularities.</w:t>
            </w:r>
            <w:bookmarkEnd w:id="2168"/>
          </w:p>
        </w:tc>
      </w:tr>
    </w:tbl>
    <w:p w14:paraId="0F1D8E64"/>
    <w:p w14:paraId="60EFE4F8">
      <w:r>
        <w:t xml:space="preserve">Some companies questioned whether RAN1 is the right WG for the issue, or if there is actually an issue. In our view,  it is paramount that for both the case where part A and part B are generated by the same entity, or separate entity, the node receiving part A and / or part B must be able to relate them. Even if a time stamp is not exactly the same, the pairing may be possible, e.g. when a UE is static for a long time. Moreover, when the UE is either static or slowly moving, it is not efficient for labels to be recorded for every measurement. Instead, a single label can be applied for multiple time stamps, or a span of time stamps.  The issue is relevant to all cases, since all involve label collection in some way. </w:t>
      </w:r>
    </w:p>
    <w:p w14:paraId="63639212"/>
    <w:p w14:paraId="6DEA703E">
      <w:pPr>
        <w:pStyle w:val="97"/>
      </w:pPr>
      <w:bookmarkStart w:id="2169" w:name="_Toc189845087"/>
      <w:r>
        <w:t>Time stamp for Part B may span a period of time for which the location of the UE is consistent.</w:t>
      </w:r>
      <w:bookmarkEnd w:id="2169"/>
      <w:r>
        <w:t xml:space="preserve"> </w:t>
      </w:r>
    </w:p>
    <w:p w14:paraId="518C608B">
      <w:pPr>
        <w:pStyle w:val="97"/>
      </w:pPr>
      <w:bookmarkStart w:id="2170" w:name="_Toc189845088"/>
      <w:r>
        <w:t>Part A-B pairing is an issue across Case 1, 3a and 3b.</w:t>
      </w:r>
      <w:bookmarkEnd w:id="2170"/>
    </w:p>
    <w:p w14:paraId="3F1F90F4">
      <w:pPr>
        <w:pStyle w:val="73"/>
      </w:pPr>
      <w:bookmarkStart w:id="2171" w:name="_Toc189845145"/>
      <w:r>
        <w:t>A label provided by a LMF, PRU, or non-PRU UE can be attached with one or more time stamp, or a span of time stamps, for which the label is valid.</w:t>
      </w:r>
      <w:bookmarkEnd w:id="2171"/>
      <w:r>
        <w:t xml:space="preserve"> </w:t>
      </w:r>
    </w:p>
    <w:p w14:paraId="12144F0B"/>
    <w:p w14:paraId="39C98FE9">
      <w:r>
        <w:t xml:space="preserve">The second issue for part A and part B pairing is knowledge of the UE involved in the collected measurement and label, e.g. securing that the same UE/PRU is used during the collection training measurement data in part A and the label in part B.  such issue involves securing the  UE ID and, when needed, UE consent. It is thus better suited for RAN2/RAN3/SA to resolve this issue. </w:t>
      </w:r>
    </w:p>
    <w:p w14:paraId="4CCD8CEE">
      <w:pPr>
        <w:pStyle w:val="97"/>
      </w:pPr>
      <w:bookmarkStart w:id="2172" w:name="_Toc189845089"/>
      <w:r>
        <w:t>Part A and Part B must be paired for the same UE, even though Part A and Part B may be reported by different entities.</w:t>
      </w:r>
      <w:bookmarkEnd w:id="2172"/>
    </w:p>
    <w:p w14:paraId="7AAF8A22">
      <w:r>
        <w:t xml:space="preserve">The issue is non-trivial at least  in Case 3a when the UE is not measured by its serving cell, which already knows the UE local identity since it has configured the SRS to be transmitted and measured on. A non-serving cell is only performing measurement but does not necessarily know the UE. It is therefore unclear how part B and part A can be paired in that case. </w:t>
      </w:r>
    </w:p>
    <w:p w14:paraId="17D45013">
      <w:pPr>
        <w:pStyle w:val="73"/>
      </w:pPr>
      <w:bookmarkStart w:id="2173" w:name="_Toc189845146"/>
      <w:r>
        <w:t>Send an LS to RAN2 and RAN3 requesting to investigate how Part A and Part B can be matched to the same UE for Case 1/3a/3b.</w:t>
      </w:r>
      <w:bookmarkEnd w:id="2173"/>
    </w:p>
    <w:p w14:paraId="3379CE50"/>
    <w:bookmarkEnd w:id="2146"/>
    <w:bookmarkEnd w:id="2147"/>
    <w:p w14:paraId="419A57C0">
      <w:pPr>
        <w:pStyle w:val="3"/>
        <w:rPr>
          <w:lang w:val="en-US"/>
        </w:rPr>
      </w:pPr>
      <w:bookmarkStart w:id="2174" w:name="_Toc189845037"/>
      <w:bookmarkStart w:id="2175" w:name="_Ref178955360"/>
      <w:bookmarkStart w:id="2176" w:name="_Toc165991012"/>
      <w:r>
        <w:rPr>
          <w:lang w:val="en-US"/>
        </w:rPr>
        <w:t>Metadata for training dataset</w:t>
      </w:r>
      <w:bookmarkEnd w:id="2174"/>
      <w:bookmarkEnd w:id="2175"/>
    </w:p>
    <w:p w14:paraId="2D177961">
      <w:pPr>
        <w:pStyle w:val="4"/>
      </w:pPr>
      <w:bookmarkStart w:id="2177" w:name="_Toc189845038"/>
      <w:r>
        <w:t>Elements in metadata of the training dataset</w:t>
      </w:r>
      <w:bookmarkEnd w:id="2177"/>
    </w:p>
    <w:p w14:paraId="78984D49">
      <w:r>
        <w:t>To keep consistency between training and inference phase, it is crucial that the node operating the model can secure that the assistance data and signals received during inference are the same as what was used for training the model. For this purpose, in addition to the list of training data samples, the training dataset also needs to record the context information of the collected data. Such context information is attached to the training dataset as its metadata. The context information should include basic information like:</w:t>
      </w:r>
    </w:p>
    <w:p w14:paraId="05D9DB90">
      <w:pPr>
        <w:pStyle w:val="133"/>
        <w:numPr>
          <w:ilvl w:val="0"/>
          <w:numId w:val="50"/>
        </w:numPr>
      </w:pPr>
      <w:r>
        <w:t>Where the training data is collected</w:t>
      </w:r>
    </w:p>
    <w:p w14:paraId="11C8E853">
      <w:pPr>
        <w:pStyle w:val="133"/>
        <w:numPr>
          <w:ilvl w:val="0"/>
          <w:numId w:val="50"/>
        </w:numPr>
      </w:pPr>
      <w:r>
        <w:t>When the training data is collected, for example, year/month/date</w:t>
      </w:r>
    </w:p>
    <w:p w14:paraId="638576CA">
      <w:pPr>
        <w:pStyle w:val="133"/>
        <w:numPr>
          <w:ilvl w:val="0"/>
          <w:numId w:val="50"/>
        </w:numPr>
      </w:pPr>
      <w:r>
        <w:t>Which nodes provided the measurement data, for example, TRP ID, UE ID.</w:t>
      </w:r>
    </w:p>
    <w:p w14:paraId="122B1DE5">
      <w:pPr>
        <w:pStyle w:val="133"/>
        <w:numPr>
          <w:ilvl w:val="0"/>
          <w:numId w:val="50"/>
        </w:numPr>
      </w:pPr>
      <w:r>
        <w:t>Which nodes provided the label data, for example, PRU ID, UE ID, LMF ID.</w:t>
      </w:r>
    </w:p>
    <w:p w14:paraId="1B268CFF">
      <w:pPr>
        <w:pStyle w:val="133"/>
        <w:numPr>
          <w:ilvl w:val="0"/>
          <w:numId w:val="50"/>
        </w:numPr>
      </w:pPr>
      <w:r>
        <w:t>What kind of reference signals are used in generating the measurement data, for example, PRS configuration for DL measurement, SRS configuration for UL measurement.</w:t>
      </w:r>
    </w:p>
    <w:p w14:paraId="30FBCBF5">
      <w:pPr>
        <w:pStyle w:val="133"/>
        <w:numPr>
          <w:ilvl w:val="0"/>
          <w:numId w:val="50"/>
        </w:numPr>
      </w:pPr>
      <w:r>
        <w:t xml:space="preserve">Type and format of the measurement data, for example, </w:t>
      </w:r>
    </w:p>
    <w:p w14:paraId="46CC4E1F">
      <w:pPr>
        <w:pStyle w:val="133"/>
        <w:numPr>
          <w:ilvl w:val="1"/>
          <w:numId w:val="50"/>
        </w:numPr>
      </w:pPr>
      <w:r>
        <w:t>Type (e.g., DP/PDP) and size (e.g., N</w:t>
      </w:r>
      <w:r>
        <w:rPr>
          <w:vertAlign w:val="subscript"/>
        </w:rPr>
        <w:t>t</w:t>
      </w:r>
      <w:r>
        <w:t>, N'</w:t>
      </w:r>
      <w:r>
        <w:rPr>
          <w:vertAlign w:val="subscript"/>
        </w:rPr>
        <w:t>t</w:t>
      </w:r>
      <w:r>
        <w:t>) of the measurement data</w:t>
      </w:r>
    </w:p>
    <w:p w14:paraId="26DDC61E">
      <w:pPr>
        <w:pStyle w:val="133"/>
        <w:numPr>
          <w:ilvl w:val="1"/>
          <w:numId w:val="50"/>
        </w:numPr>
      </w:pPr>
      <w:r>
        <w:t xml:space="preserve">Quantization granularity used in recording the measurement values </w:t>
      </w:r>
    </w:p>
    <w:p w14:paraId="250631FC">
      <w:pPr>
        <w:pStyle w:val="133"/>
        <w:numPr>
          <w:ilvl w:val="0"/>
          <w:numId w:val="50"/>
        </w:numPr>
      </w:pPr>
      <w:r>
        <w:t xml:space="preserve">Type and format of the label data, for example, </w:t>
      </w:r>
    </w:p>
    <w:p w14:paraId="79B85627">
      <w:pPr>
        <w:pStyle w:val="133"/>
        <w:numPr>
          <w:ilvl w:val="1"/>
          <w:numId w:val="50"/>
        </w:numPr>
      </w:pPr>
      <w:r>
        <w:t>Type of information for label data, for example, UE location or information corresponding to model output of AI/ML assisted positioning models;</w:t>
      </w:r>
    </w:p>
    <w:p w14:paraId="2FCE0C8E">
      <w:pPr>
        <w:pStyle w:val="133"/>
        <w:numPr>
          <w:ilvl w:val="1"/>
          <w:numId w:val="50"/>
        </w:numPr>
      </w:pPr>
      <w:r>
        <w:t xml:space="preserve">Format used to record the location information (for labels), </w:t>
      </w:r>
    </w:p>
    <w:p w14:paraId="0EC47D21">
      <w:pPr>
        <w:pStyle w:val="133"/>
        <w:numPr>
          <w:ilvl w:val="1"/>
          <w:numId w:val="50"/>
        </w:numPr>
      </w:pPr>
      <w:r>
        <w:t>2D or 3D location coordinates</w:t>
      </w:r>
    </w:p>
    <w:p w14:paraId="230110CA">
      <w:pPr>
        <w:pStyle w:val="133"/>
        <w:numPr>
          <w:ilvl w:val="0"/>
          <w:numId w:val="50"/>
        </w:numPr>
      </w:pPr>
      <w:r>
        <w:t>Criteria (if any) applied before a data sample can be accepted as part of the training dataset, for example, label quality requirement, SINR requirement, etc.</w:t>
      </w:r>
    </w:p>
    <w:p w14:paraId="7AEDD8E4">
      <w:pPr>
        <w:pStyle w:val="133"/>
        <w:numPr>
          <w:ilvl w:val="0"/>
          <w:numId w:val="50"/>
        </w:numPr>
      </w:pPr>
      <w:r>
        <w:t>Version ID of the training dataset, if the training dataset may be updated over time.</w:t>
      </w:r>
    </w:p>
    <w:p w14:paraId="72B4043A"/>
    <w:p w14:paraId="11A695EC">
      <w:r>
        <w:t xml:space="preserve">Regarding the criteria applied to collect data samples of adequate quality, it should cover both measurement data (corresponding to model input) and label data (corresponding to model output). This gives the high-level information on the training dataset: </w:t>
      </w:r>
    </w:p>
    <w:p w14:paraId="3ED23236">
      <w:pPr>
        <w:pStyle w:val="133"/>
        <w:numPr>
          <w:ilvl w:val="0"/>
          <w:numId w:val="51"/>
        </w:numPr>
      </w:pPr>
      <w:r>
        <w:t>The accepted range of measurement data quality.</w:t>
      </w:r>
    </w:p>
    <w:p w14:paraId="20DD134B">
      <w:pPr>
        <w:pStyle w:val="133"/>
        <w:numPr>
          <w:ilvl w:val="0"/>
          <w:numId w:val="51"/>
        </w:numPr>
      </w:pPr>
      <w:r>
        <w:t xml:space="preserve">The accepted range of label error (or: uncertainty of ground truth label). </w:t>
      </w:r>
    </w:p>
    <w:p w14:paraId="56C68DE4"/>
    <w:p w14:paraId="5C39D745">
      <w:r>
        <w:t>When the training dataset is used for training a model, the model training entity may further decide to include only data samples with sufficient quality, where the quality is determined according to the targeted positioning accuracy requirement. For instance, during training data collection, data samples with label error &lt; 2.0 meters are collected into the training dataset. During model training, two models may be trained, one model is trained using filtered data samples with label error &lt; 1.0 m for higher accuracy applications, while the other using all data samples (thus label error &lt; 2.0 m) for lower accuracy applications.</w:t>
      </w:r>
    </w:p>
    <w:p w14:paraId="21F2441B">
      <w:r>
        <w:t>Specific to training data collection of Part A, the model host (TRP, gNB, LMF or UE) will integrate measurements together with related metadata. To enable accurate inference result, the metadata should ideally not differ between the training data set and the measurement performed during inference.  The metadata that need to be recorded for Part A of the training dataset can be grouped as follows:</w:t>
      </w:r>
    </w:p>
    <w:p w14:paraId="662B85A4">
      <w:pPr>
        <w:pStyle w:val="133"/>
        <w:numPr>
          <w:ilvl w:val="0"/>
          <w:numId w:val="51"/>
        </w:numPr>
      </w:pPr>
      <w:r>
        <w:rPr>
          <w:b/>
        </w:rPr>
        <w:t>Group 1, assistance data</w:t>
      </w:r>
      <w:r>
        <w:t xml:space="preserve">.  In the positioning framework, assistance data is sent from LMF to either gNBs or UEs to enable reference signal measurements. For training data collection, the LMF should provide suitable assistance data to the measuring nodes.  </w:t>
      </w:r>
    </w:p>
    <w:p w14:paraId="2EB2C982">
      <w:pPr>
        <w:pStyle w:val="133"/>
        <w:numPr>
          <w:ilvl w:val="0"/>
          <w:numId w:val="51"/>
        </w:numPr>
      </w:pPr>
      <w:r>
        <w:rPr>
          <w:b/>
        </w:rPr>
        <w:t>Group 2, signal measurement configuration</w:t>
      </w:r>
      <w:r>
        <w:t>, for example, PDP or DP, measurement parameters {N</w:t>
      </w:r>
      <w:r>
        <w:rPr>
          <w:vertAlign w:val="subscript"/>
        </w:rPr>
        <w:t>t</w:t>
      </w:r>
      <w:r>
        <w:t>, N</w:t>
      </w:r>
      <w:r>
        <w:rPr>
          <w:vertAlign w:val="subscript"/>
        </w:rPr>
        <w:t>t</w:t>
      </w:r>
      <w:r>
        <w:t xml:space="preserve">', k}. For Case 2b, 3b, and potentially 3a, this is the information included the measurement request, sent from LMF to UE or gNB, for model inference. For cases where the channel measurement is not sent to LMF for model inference (Case 1, 2a, and potentially 3a), the analogous signal measurement information should be recorded as well.  </w:t>
      </w:r>
    </w:p>
    <w:p w14:paraId="1BE94D68">
      <w:pPr>
        <w:pStyle w:val="133"/>
        <w:numPr>
          <w:ilvl w:val="0"/>
          <w:numId w:val="51"/>
        </w:numPr>
      </w:pPr>
      <w:r>
        <w:rPr>
          <w:b/>
        </w:rPr>
        <w:t>Group 3, measurement environment condition and quality</w:t>
      </w:r>
      <w:r>
        <w:t xml:space="preserve">. This may include: network synchronization error range, UE/gNB RX and TX timing error range, interference range, </w:t>
      </w:r>
      <w:r>
        <w:rPr>
          <w:rFonts w:eastAsia="等线"/>
        </w:rPr>
        <w:t xml:space="preserve">channel estimation error range, </w:t>
      </w:r>
      <w:r>
        <w:t>etc.</w:t>
      </w:r>
    </w:p>
    <w:p w14:paraId="604B45B4">
      <w:r>
        <w:t xml:space="preserve">Thus RAN1 should discuss for each of these groups firstly whether new signalling is needed, and second how to keep consistency between training and inference.  </w:t>
      </w:r>
    </w:p>
    <w:p w14:paraId="21CF7404"/>
    <w:p w14:paraId="6DE306C8">
      <w:r>
        <w:t>For Group 3, Rel-18 study item evaluations show that such context information also affect the validity of the trained model in the deployment scenario. Thus such context information about the training dataset also needs to be recorded as part of the metadata, including:</w:t>
      </w:r>
    </w:p>
    <w:p w14:paraId="398818FF">
      <w:pPr>
        <w:pStyle w:val="133"/>
        <w:numPr>
          <w:ilvl w:val="4"/>
          <w:numId w:val="18"/>
        </w:numPr>
        <w:ind w:left="1080"/>
      </w:pPr>
      <w:r>
        <w:t>Range of SNR/SINR</w:t>
      </w:r>
    </w:p>
    <w:p w14:paraId="3533CF85">
      <w:pPr>
        <w:pStyle w:val="133"/>
        <w:numPr>
          <w:ilvl w:val="4"/>
          <w:numId w:val="18"/>
        </w:numPr>
        <w:ind w:left="1080"/>
      </w:pPr>
      <w:r>
        <w:rPr>
          <w:rFonts w:eastAsia="等线"/>
        </w:rPr>
        <w:t>Range of Channel estimation error</w:t>
      </w:r>
    </w:p>
    <w:p w14:paraId="1FACF5D6">
      <w:pPr>
        <w:pStyle w:val="133"/>
        <w:numPr>
          <w:ilvl w:val="4"/>
          <w:numId w:val="18"/>
        </w:numPr>
        <w:ind w:left="1080"/>
      </w:pPr>
      <w:r>
        <w:t xml:space="preserve">Range of NW synchronization error </w:t>
      </w:r>
    </w:p>
    <w:p w14:paraId="495FE863">
      <w:pPr>
        <w:pStyle w:val="133"/>
        <w:numPr>
          <w:ilvl w:val="4"/>
          <w:numId w:val="18"/>
        </w:numPr>
        <w:ind w:left="1080"/>
      </w:pPr>
      <w:r>
        <w:t>Range of UE/gNB RX and TX timing error</w:t>
      </w:r>
    </w:p>
    <w:p w14:paraId="7F62E90A">
      <w:pPr>
        <w:pStyle w:val="133"/>
        <w:numPr>
          <w:ilvl w:val="4"/>
          <w:numId w:val="18"/>
        </w:numPr>
        <w:ind w:left="1080"/>
      </w:pPr>
      <w:r>
        <w:t>…</w:t>
      </w:r>
    </w:p>
    <w:p w14:paraId="109324FD"/>
    <w:p w14:paraId="569534FE">
      <w:pPr>
        <w:pStyle w:val="73"/>
      </w:pPr>
      <w:bookmarkStart w:id="2178" w:name="_Toc189845147"/>
      <w:r>
        <w:t>The training dataset is attached with metadata which describes the context information on the set of collected training data samples.</w:t>
      </w:r>
      <w:bookmarkEnd w:id="2178"/>
    </w:p>
    <w:p w14:paraId="7B55A649">
      <w:pPr>
        <w:pStyle w:val="73"/>
      </w:pPr>
      <w:bookmarkStart w:id="2179" w:name="_Toc189845148"/>
      <w:r>
        <w:t>For training data collection of Part A, the metadata includes: Group 1 for assistance data, Group 2 for signal measurement configuration, and Group 3 for measurement environment condition and quality.</w:t>
      </w:r>
      <w:bookmarkEnd w:id="2179"/>
    </w:p>
    <w:p w14:paraId="77FEB73A">
      <w:pPr>
        <w:pStyle w:val="73"/>
        <w:spacing w:after="0"/>
      </w:pPr>
      <w:bookmarkStart w:id="2180" w:name="_Toc189845149"/>
      <w:r>
        <w:t>RAN1 to study the details of Group 3 metadata to attach to training dataset, including:</w:t>
      </w:r>
      <w:bookmarkEnd w:id="2180"/>
    </w:p>
    <w:p w14:paraId="01C82A8E">
      <w:pPr>
        <w:pStyle w:val="73"/>
        <w:numPr>
          <w:ilvl w:val="0"/>
          <w:numId w:val="52"/>
        </w:numPr>
        <w:tabs>
          <w:tab w:val="clear" w:pos="1304"/>
        </w:tabs>
        <w:spacing w:after="0"/>
        <w:ind w:left="1800" w:hanging="494"/>
      </w:pPr>
      <w:bookmarkStart w:id="2181" w:name="_Toc189845150"/>
      <w:r>
        <w:t>Range of SNR/SINR</w:t>
      </w:r>
      <w:bookmarkEnd w:id="2181"/>
    </w:p>
    <w:p w14:paraId="77152E13">
      <w:pPr>
        <w:pStyle w:val="73"/>
        <w:numPr>
          <w:ilvl w:val="0"/>
          <w:numId w:val="52"/>
        </w:numPr>
        <w:tabs>
          <w:tab w:val="clear" w:pos="1304"/>
        </w:tabs>
        <w:spacing w:after="0"/>
        <w:ind w:left="1800" w:hanging="494"/>
      </w:pPr>
      <w:bookmarkStart w:id="2182" w:name="_Toc189845151"/>
      <w:r>
        <w:t>Range of Channel estimation error</w:t>
      </w:r>
      <w:bookmarkEnd w:id="2182"/>
    </w:p>
    <w:p w14:paraId="02957A5B">
      <w:pPr>
        <w:pStyle w:val="73"/>
        <w:numPr>
          <w:ilvl w:val="0"/>
          <w:numId w:val="52"/>
        </w:numPr>
        <w:tabs>
          <w:tab w:val="clear" w:pos="1304"/>
        </w:tabs>
        <w:spacing w:after="0"/>
        <w:ind w:left="1800" w:hanging="494"/>
      </w:pPr>
      <w:bookmarkStart w:id="2183" w:name="_Toc189845152"/>
      <w:r>
        <w:t>Range of NW synchronization error</w:t>
      </w:r>
      <w:bookmarkEnd w:id="2183"/>
      <w:r>
        <w:t xml:space="preserve"> </w:t>
      </w:r>
    </w:p>
    <w:p w14:paraId="3B83AB3B">
      <w:pPr>
        <w:pStyle w:val="73"/>
        <w:numPr>
          <w:ilvl w:val="0"/>
          <w:numId w:val="52"/>
        </w:numPr>
        <w:tabs>
          <w:tab w:val="clear" w:pos="1304"/>
        </w:tabs>
        <w:spacing w:after="0"/>
        <w:ind w:left="1800" w:hanging="494"/>
      </w:pPr>
      <w:bookmarkStart w:id="2184" w:name="_Toc189845153"/>
      <w:r>
        <w:t>Range of UE/gNB RX and TX timing error</w:t>
      </w:r>
      <w:bookmarkEnd w:id="2184"/>
    </w:p>
    <w:p w14:paraId="454CDCCA"/>
    <w:p w14:paraId="30BF0082">
      <w:r>
        <w:t xml:space="preserve">The metadata of the training dataset is not only necessary for keeping track of the context and versions of the training dataset, it also provides context information of model(s) trained with the given training dataset. During model deployment, the context information of the model is needed to ensure consistency between model training and model inference. Further details are provided in section </w:t>
      </w:r>
      <w:r>
        <w:fldChar w:fldCharType="begin"/>
      </w:r>
      <w:r>
        <w:instrText xml:space="preserve"> REF _Ref163214421 \r </w:instrText>
      </w:r>
      <w:r>
        <w:fldChar w:fldCharType="separate"/>
      </w:r>
      <w:r>
        <w:t>7.1</w:t>
      </w:r>
      <w:r>
        <w:fldChar w:fldCharType="end"/>
      </w:r>
      <w:r>
        <w:t xml:space="preserve"> and </w:t>
      </w:r>
      <w:r>
        <w:fldChar w:fldCharType="begin"/>
      </w:r>
      <w:r>
        <w:instrText xml:space="preserve"> REF _Ref163214427 \r </w:instrText>
      </w:r>
      <w:r>
        <w:fldChar w:fldCharType="separate"/>
      </w:r>
      <w:r>
        <w:t>7.2</w:t>
      </w:r>
      <w:r>
        <w:fldChar w:fldCharType="end"/>
      </w:r>
      <w:r>
        <w:t>.</w:t>
      </w:r>
    </w:p>
    <w:p w14:paraId="2A834DE0">
      <w:r>
        <w:t>Furthermore, the AI/ML solution needs to secure a training dataset of adequate quality as a whole.</w:t>
      </w:r>
    </w:p>
    <w:p w14:paraId="0A4F4B44">
      <w:pPr>
        <w:pStyle w:val="133"/>
        <w:numPr>
          <w:ilvl w:val="0"/>
          <w:numId w:val="51"/>
        </w:numPr>
      </w:pPr>
      <w:r>
        <w:t>Collect a sufficiently large size of training dataset.</w:t>
      </w:r>
    </w:p>
    <w:p w14:paraId="1F072EB8">
      <w:pPr>
        <w:pStyle w:val="133"/>
        <w:numPr>
          <w:ilvl w:val="0"/>
          <w:numId w:val="51"/>
        </w:numPr>
      </w:pPr>
      <w:r>
        <w:t>Collect data that fully reflect the UE distribution during operation, e.g., uniformly distributed over the entire floor.</w:t>
      </w:r>
    </w:p>
    <w:p w14:paraId="71981977">
      <w:pPr>
        <w:pStyle w:val="133"/>
        <w:numPr>
          <w:ilvl w:val="0"/>
          <w:numId w:val="51"/>
        </w:numPr>
      </w:pPr>
      <w:r>
        <w:t xml:space="preserve">Collect data from a variety of UEs to generalize over different UE implementations, including different UE vendors, different UE capabilities, different UE orientation, etc. </w:t>
      </w:r>
    </w:p>
    <w:p w14:paraId="7315D526">
      <w:r>
        <w:t xml:space="preserve">While the training data collection procedure needs to pay attention to the above issues, they are expected to be taken care of via engineering effort and not explicit in the standard specification. </w:t>
      </w:r>
    </w:p>
    <w:p w14:paraId="279F1ACD">
      <w:pPr>
        <w:pStyle w:val="97"/>
      </w:pPr>
      <w:bookmarkStart w:id="2185" w:name="_Toc189845090"/>
      <w:r>
        <w:t>Collecting sufficient data in terms of training dataset size, UE distribution, diversity of UE sources, etc, is up to implementation.</w:t>
      </w:r>
      <w:bookmarkEnd w:id="2185"/>
      <w:r>
        <w:t xml:space="preserve"> </w:t>
      </w:r>
    </w:p>
    <w:p w14:paraId="072B7AE4">
      <w:pPr>
        <w:rPr>
          <w:lang w:val="sv-SE"/>
        </w:rPr>
      </w:pPr>
    </w:p>
    <w:p w14:paraId="62671BE1">
      <w:pPr>
        <w:pStyle w:val="4"/>
      </w:pPr>
      <w:bookmarkStart w:id="2186" w:name="_Ref178955267"/>
      <w:bookmarkStart w:id="2187" w:name="_Toc189845039"/>
      <w:r>
        <w:rPr>
          <w:lang w:val="en-US"/>
        </w:rPr>
        <w:t>Assistance data for consistency between training and inference</w:t>
      </w:r>
      <w:bookmarkEnd w:id="2186"/>
      <w:bookmarkEnd w:id="2187"/>
    </w:p>
    <w:p w14:paraId="1B69364B">
      <w:r>
        <w:t xml:space="preserve">Once the assistance data for data collection is established, the AI/ML positioning framework should also enable consistency between assistance data received during data collection and inference.  In our view, such consistency can be achieved to a large degree using a validity area attached to the training data set. Considering the model generality issues studied in Rel-18 SI, finger-printing based AI/ML methods are very sensitive to the deployment area. A model trained for one deployment area is unlikely to work for a different deployment area without any change. During RAN1#117, it was discussed whether a training data set validity area should be explicitly attached to a training data set, i.e via a validity area ID, or if the training data set should contain information sufficient for a node receiving the training data set to determine the validity area of the model being trained and leave the consistency check to implementation.  In our view, explicit definition of the model validity area is needed. </w:t>
      </w:r>
    </w:p>
    <w:p w14:paraId="2E54AF04">
      <w:r>
        <w:t>We see the need of validity area for the following reason:</w:t>
      </w:r>
    </w:p>
    <w:p w14:paraId="01CB0925">
      <w:pPr>
        <w:pStyle w:val="133"/>
        <w:numPr>
          <w:ilvl w:val="0"/>
          <w:numId w:val="18"/>
        </w:numPr>
      </w:pPr>
      <w:r>
        <w:t xml:space="preserve">Consistency of assistance data between data collection and inference. In case 1 or 2a, the UE perform data collection with a given set of assistance data and train its model, then receive assistance data at the inference phase. The AD for inference must at least overlap with the AD used during data collection to train the model. The UE could of course get a set of AD and request what AD is missing via on-demand PRS request, but this is inefficient signalling, since it is possible for the LMF and the UE to handshake which AD is needed during inference thanks to an agreed upon validity area established during data collection, if a validity area ID is defined. </w:t>
      </w:r>
    </w:p>
    <w:p w14:paraId="652A7800">
      <w:pPr>
        <w:pStyle w:val="133"/>
        <w:numPr>
          <w:ilvl w:val="0"/>
          <w:numId w:val="18"/>
        </w:numPr>
      </w:pPr>
      <w:r>
        <w:t xml:space="preserve">For the LMF, knowledge of the validity area of a model can also be used to decide whether the model is compatible with the AD it intends to send. For example, the network may have changed the PRS configuration between data collection and inference, making the UE untrained for the new deployment. From the overhead perspective, it is more efficient for the network to know in advance if the AD is useful and thus know that starting the procedure for AI use cases is worth it, or if legacy positioning should be used instead. Hence knowledge of validity area is also valuable at the LMF side. </w:t>
      </w:r>
    </w:p>
    <w:p w14:paraId="294A949C">
      <w:r>
        <w:t xml:space="preserve">Hence, an ID associated with the UE’s model training dataset validity area can reduce the amount of overhead to align assistance data between training and inference. </w:t>
      </w:r>
    </w:p>
    <w:p w14:paraId="205A190F">
      <w:r>
        <w:t xml:space="preserve">Thus, for the training data collection stage, it is necessary to define a training dataset validity area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dataset</m:t>
            </m:r>
            <m:ctrlPr>
              <w:rPr>
                <w:rFonts w:ascii="Cambria Math" w:hAnsi="Cambria Math"/>
                <w:i/>
              </w:rPr>
            </m:ctrlPr>
          </m:sub>
        </m:sSub>
      </m:oMath>
      <w:r>
        <w:t>. This describes the area that training dataset is collected, and can be defined as:</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7537"/>
      </w:tblGrid>
      <w:tr w14:paraId="292A7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21709566">
            <w:r>
              <w:t>Training dataset validity area</w:t>
            </w:r>
          </w:p>
        </w:tc>
        <w:tc>
          <w:tcPr>
            <w:tcW w:w="7537" w:type="dxa"/>
          </w:tcPr>
          <w:p w14:paraId="772031FC">
            <w:r>
              <w:rPr>
                <w:snapToGrid w:val="0"/>
              </w:rPr>
              <w:t>The network area for which the training dataset is valid.</w:t>
            </w:r>
          </w:p>
        </w:tc>
      </w:tr>
    </w:tbl>
    <w:p w14:paraId="6CA9A36F"/>
    <w:p w14:paraId="3E84D7D5">
      <w:r>
        <w:t xml:space="preserve">Similar to the existing 'AreaID-CellList', the validity area for AI/ML operation can be defined as a list of TRPs, where the TRPs transmits DL PRS and covers the surrounding area to support positioning. Checking the indication of the TRP ID in TS 37.355, it includes dl-PRS-ID-r16 in addition to the fields in NR-Cell-IDs-r17.  This shows that an IE can be easily defined to provide area information using a list of TRP IDs.  </w:t>
      </w:r>
    </w:p>
    <w:p w14:paraId="0958E398">
      <w:r>
        <w:t>TS 37.355:</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140B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321FF032">
            <w:pPr>
              <w:spacing w:after="0"/>
              <w:rPr>
                <w:sz w:val="20"/>
                <w:szCs w:val="18"/>
              </w:rPr>
            </w:pPr>
            <w:r>
              <w:rPr>
                <w:sz w:val="20"/>
                <w:szCs w:val="20"/>
              </w:rPr>
              <w:t>–</w:t>
            </w:r>
            <w:r>
              <w:rPr>
                <w:sz w:val="20"/>
                <w:szCs w:val="20"/>
              </w:rPr>
              <w:tab/>
            </w:r>
            <w:r>
              <w:rPr>
                <w:sz w:val="20"/>
                <w:szCs w:val="20"/>
              </w:rPr>
              <w:t>AreaID-CellList</w:t>
            </w:r>
          </w:p>
          <w:p w14:paraId="0E4E8DED">
            <w:pPr>
              <w:keepLines/>
              <w:spacing w:after="0"/>
              <w:rPr>
                <w:sz w:val="18"/>
                <w:szCs w:val="18"/>
              </w:rPr>
            </w:pPr>
            <w:r>
              <w:rPr>
                <w:sz w:val="20"/>
                <w:szCs w:val="20"/>
              </w:rPr>
              <w:t xml:space="preserve">The IE </w:t>
            </w:r>
            <w:r>
              <w:rPr>
                <w:i/>
                <w:sz w:val="20"/>
                <w:szCs w:val="20"/>
              </w:rPr>
              <w:t>AreaID-CellList</w:t>
            </w:r>
            <w:r>
              <w:rPr>
                <w:sz w:val="20"/>
                <w:szCs w:val="20"/>
              </w:rPr>
              <w:t xml:space="preserve"> </w:t>
            </w:r>
            <w:r>
              <w:rPr>
                <w:snapToGrid w:val="0"/>
                <w:sz w:val="20"/>
                <w:szCs w:val="20"/>
              </w:rPr>
              <w:t>provides the NR Cell-IDs</w:t>
            </w:r>
            <w:r>
              <w:rPr>
                <w:sz w:val="20"/>
                <w:szCs w:val="20"/>
              </w:rPr>
              <w:t xml:space="preserve"> of the TRPs belonging to a particular network area where the associated assistance data are valid. </w:t>
            </w:r>
            <w:r>
              <w:rPr>
                <w:color w:val="FF0000"/>
                <w:sz w:val="20"/>
                <w:szCs w:val="20"/>
              </w:rPr>
              <w:t>Each cell is included in only one area.</w:t>
            </w:r>
          </w:p>
          <w:p w14:paraId="76A775D1">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6"/>
              </w:rPr>
            </w:pPr>
            <w:r>
              <w:rPr>
                <w:rFonts w:ascii="Courier New" w:hAnsi="Courier New"/>
                <w:sz w:val="16"/>
              </w:rPr>
              <w:t>-- ASN1START</w:t>
            </w:r>
          </w:p>
          <w:p w14:paraId="115FC006">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6"/>
              </w:rPr>
            </w:pPr>
          </w:p>
          <w:p w14:paraId="21566BA4">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6"/>
              </w:rPr>
            </w:pPr>
            <w:r>
              <w:rPr>
                <w:rFonts w:ascii="Courier New" w:hAnsi="Courier New"/>
                <w:sz w:val="16"/>
              </w:rPr>
              <w:t>AreaID-CellList-r17 ::= SEQUENCE (SIZE(1..maxCellIDsPerArea-r17)) OF NR-Cell-IDs-r17</w:t>
            </w:r>
          </w:p>
          <w:p w14:paraId="0B6C34AB">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6"/>
              </w:rPr>
            </w:pPr>
          </w:p>
          <w:p w14:paraId="512D3F8A">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6"/>
              </w:rPr>
            </w:pPr>
            <w:r>
              <w:rPr>
                <w:rFonts w:ascii="Courier New" w:hAnsi="Courier New"/>
                <w:sz w:val="16"/>
              </w:rPr>
              <w:t>NR-Cell-IDs-r17 ::= SEQUENCE {</w:t>
            </w:r>
          </w:p>
          <w:p w14:paraId="4FEB6C8B">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b/>
                <w:bCs/>
                <w:color w:val="0070C0"/>
                <w:sz w:val="16"/>
              </w:rPr>
            </w:pPr>
            <w:r>
              <w:rPr>
                <w:rFonts w:ascii="Courier New" w:hAnsi="Courier New"/>
                <w:b/>
                <w:bCs/>
                <w:color w:val="0070C0"/>
                <w:sz w:val="16"/>
              </w:rPr>
              <w:tab/>
            </w:r>
            <w:r>
              <w:rPr>
                <w:rFonts w:ascii="Courier New" w:hAnsi="Courier New"/>
                <w:b/>
                <w:bCs/>
                <w:snapToGrid w:val="0"/>
                <w:color w:val="0070C0"/>
                <w:sz w:val="16"/>
              </w:rPr>
              <w:t>nr-CellGlobalID-r17</w:t>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NCGI-r15</w:t>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OPTIONAL,</w:t>
            </w:r>
            <w:r>
              <w:rPr>
                <w:rFonts w:ascii="Courier New" w:hAnsi="Courier New"/>
                <w:b/>
                <w:bCs/>
                <w:snapToGrid w:val="0"/>
                <w:color w:val="0070C0"/>
                <w:sz w:val="16"/>
              </w:rPr>
              <w:tab/>
            </w:r>
            <w:r>
              <w:rPr>
                <w:rFonts w:ascii="Courier New" w:hAnsi="Courier New"/>
                <w:b/>
                <w:bCs/>
                <w:snapToGrid w:val="0"/>
                <w:color w:val="0070C0"/>
                <w:sz w:val="16"/>
              </w:rPr>
              <w:t>-- Need ON</w:t>
            </w:r>
          </w:p>
          <w:p w14:paraId="15B0016A">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b/>
                <w:bCs/>
                <w:snapToGrid w:val="0"/>
                <w:color w:val="0070C0"/>
                <w:sz w:val="16"/>
              </w:rPr>
            </w:pPr>
            <w:r>
              <w:rPr>
                <w:rFonts w:ascii="Courier New" w:hAnsi="Courier New"/>
                <w:b/>
                <w:bCs/>
                <w:snapToGrid w:val="0"/>
                <w:color w:val="0070C0"/>
                <w:sz w:val="16"/>
              </w:rPr>
              <w:tab/>
            </w:r>
            <w:r>
              <w:rPr>
                <w:rFonts w:ascii="Courier New" w:hAnsi="Courier New"/>
                <w:b/>
                <w:bCs/>
                <w:snapToGrid w:val="0"/>
                <w:color w:val="0070C0"/>
                <w:sz w:val="16"/>
              </w:rPr>
              <w:t>nr-PhysCellID-r17</w:t>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NR-PhysCellID-r16</w:t>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OPTIONAL,</w:t>
            </w:r>
            <w:r>
              <w:rPr>
                <w:rFonts w:ascii="Courier New" w:hAnsi="Courier New"/>
                <w:b/>
                <w:bCs/>
                <w:snapToGrid w:val="0"/>
                <w:color w:val="0070C0"/>
                <w:sz w:val="16"/>
              </w:rPr>
              <w:tab/>
            </w:r>
            <w:r>
              <w:rPr>
                <w:rFonts w:ascii="Courier New" w:hAnsi="Courier New"/>
                <w:b/>
                <w:bCs/>
                <w:snapToGrid w:val="0"/>
                <w:color w:val="0070C0"/>
                <w:sz w:val="16"/>
              </w:rPr>
              <w:t>-- Need ON</w:t>
            </w:r>
          </w:p>
          <w:p w14:paraId="1C330F16">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b/>
                <w:bCs/>
                <w:color w:val="0070C0"/>
                <w:sz w:val="16"/>
              </w:rPr>
            </w:pPr>
            <w:r>
              <w:rPr>
                <w:rFonts w:ascii="Courier New" w:hAnsi="Courier New"/>
                <w:b/>
                <w:bCs/>
                <w:snapToGrid w:val="0"/>
                <w:color w:val="0070C0"/>
                <w:sz w:val="16"/>
              </w:rPr>
              <w:tab/>
            </w:r>
            <w:r>
              <w:rPr>
                <w:rFonts w:ascii="Courier New" w:hAnsi="Courier New"/>
                <w:b/>
                <w:bCs/>
                <w:color w:val="0070C0"/>
                <w:sz w:val="16"/>
              </w:rPr>
              <w:t>nr-ARFCN</w:t>
            </w:r>
            <w:r>
              <w:rPr>
                <w:rFonts w:ascii="Courier New" w:hAnsi="Courier New"/>
                <w:b/>
                <w:bCs/>
                <w:snapToGrid w:val="0"/>
                <w:color w:val="0070C0"/>
                <w:sz w:val="16"/>
              </w:rPr>
              <w:t>-r17</w:t>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ARFCN-ValueNR-r15</w:t>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ab/>
            </w:r>
            <w:r>
              <w:rPr>
                <w:rFonts w:ascii="Courier New" w:hAnsi="Courier New"/>
                <w:b/>
                <w:bCs/>
                <w:snapToGrid w:val="0"/>
                <w:color w:val="0070C0"/>
                <w:sz w:val="16"/>
              </w:rPr>
              <w:t>OPTIONAL,</w:t>
            </w:r>
            <w:r>
              <w:rPr>
                <w:rFonts w:ascii="Courier New" w:hAnsi="Courier New"/>
                <w:b/>
                <w:bCs/>
                <w:snapToGrid w:val="0"/>
                <w:color w:val="0070C0"/>
                <w:sz w:val="16"/>
              </w:rPr>
              <w:tab/>
            </w:r>
            <w:r>
              <w:rPr>
                <w:rFonts w:ascii="Courier New" w:hAnsi="Courier New"/>
                <w:b/>
                <w:bCs/>
                <w:snapToGrid w:val="0"/>
                <w:color w:val="0070C0"/>
                <w:sz w:val="16"/>
              </w:rPr>
              <w:t>-- Need ON</w:t>
            </w:r>
          </w:p>
          <w:p w14:paraId="6DD66EB8">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6"/>
              </w:rPr>
            </w:pPr>
            <w:r>
              <w:rPr>
                <w:rFonts w:ascii="Courier New" w:hAnsi="Courier New"/>
                <w:sz w:val="16"/>
              </w:rPr>
              <w:tab/>
            </w:r>
            <w:r>
              <w:rPr>
                <w:rFonts w:ascii="Courier New" w:hAnsi="Courier New"/>
                <w:sz w:val="16"/>
              </w:rPr>
              <w:t>...</w:t>
            </w:r>
          </w:p>
          <w:p w14:paraId="56627DBB">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6"/>
              </w:rPr>
            </w:pPr>
            <w:r>
              <w:rPr>
                <w:rFonts w:ascii="Courier New" w:hAnsi="Courier New"/>
                <w:sz w:val="16"/>
              </w:rPr>
              <w:t>}</w:t>
            </w:r>
          </w:p>
          <w:p w14:paraId="1B7E569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6"/>
              </w:rPr>
            </w:pPr>
          </w:p>
          <w:p w14:paraId="58CB8DCE">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6"/>
              </w:rPr>
            </w:pPr>
            <w:r>
              <w:rPr>
                <w:rFonts w:ascii="Courier New" w:hAnsi="Courier New"/>
                <w:sz w:val="16"/>
              </w:rPr>
              <w:t>-- ASN1STOP</w:t>
            </w:r>
          </w:p>
        </w:tc>
      </w:tr>
    </w:tbl>
    <w:p w14:paraId="2A8AFCC7"/>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5BFE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62" w:type="dxa"/>
          </w:tcPr>
          <w:p w14:paraId="31102E3E">
            <w:pPr>
              <w:pStyle w:val="137"/>
              <w:rPr>
                <w:szCs w:val="16"/>
                <w:lang w:val="en-US"/>
              </w:rPr>
            </w:pPr>
            <w:r>
              <w:rPr>
                <w:szCs w:val="16"/>
                <w:lang w:val="en-US"/>
              </w:rPr>
              <w:t>TRP-LocationInfoElement-r16 ::= SEQUENCE {</w:t>
            </w:r>
          </w:p>
          <w:p w14:paraId="54CAD318">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szCs w:val="16"/>
                <w:lang w:eastAsia="sv-SE"/>
              </w:rPr>
            </w:pPr>
            <w:r>
              <w:rPr>
                <w:szCs w:val="16"/>
              </w:rPr>
              <w:tab/>
            </w:r>
            <w:r>
              <w:rPr>
                <w:rFonts w:ascii="Courier New" w:hAnsi="Courier New"/>
                <w:b/>
                <w:bCs/>
                <w:snapToGrid w:val="0"/>
                <w:color w:val="FF0000"/>
                <w:sz w:val="16"/>
                <w:highlight w:val="yellow"/>
              </w:rPr>
              <w:t>dl-PRS-ID-r16</w:t>
            </w:r>
            <w:r>
              <w:rPr>
                <w:rFonts w:ascii="Courier New" w:hAnsi="Courier New"/>
                <w:b/>
                <w:bCs/>
                <w:snapToGrid w:val="0"/>
                <w:color w:val="FF0000"/>
                <w:sz w:val="16"/>
                <w:highlight w:val="yellow"/>
              </w:rPr>
              <w:tab/>
            </w:r>
            <w:r>
              <w:rPr>
                <w:rFonts w:ascii="Courier New" w:hAnsi="Courier New"/>
                <w:b/>
                <w:bCs/>
                <w:snapToGrid w:val="0"/>
                <w:color w:val="FF0000"/>
                <w:sz w:val="16"/>
                <w:highlight w:val="yellow"/>
              </w:rPr>
              <w:tab/>
            </w:r>
            <w:r>
              <w:rPr>
                <w:rFonts w:ascii="Courier New" w:hAnsi="Courier New"/>
                <w:b/>
                <w:bCs/>
                <w:snapToGrid w:val="0"/>
                <w:color w:val="FF0000"/>
                <w:sz w:val="16"/>
                <w:highlight w:val="yellow"/>
              </w:rPr>
              <w:tab/>
            </w:r>
            <w:r>
              <w:rPr>
                <w:rFonts w:ascii="Courier New" w:hAnsi="Courier New"/>
                <w:b/>
                <w:bCs/>
                <w:snapToGrid w:val="0"/>
                <w:color w:val="FF0000"/>
                <w:sz w:val="16"/>
                <w:highlight w:val="yellow"/>
              </w:rPr>
              <w:tab/>
            </w:r>
            <w:r>
              <w:rPr>
                <w:rFonts w:ascii="Courier New" w:hAnsi="Courier New"/>
                <w:b/>
                <w:bCs/>
                <w:snapToGrid w:val="0"/>
                <w:color w:val="FF0000"/>
                <w:sz w:val="16"/>
                <w:highlight w:val="yellow"/>
              </w:rPr>
              <w:tab/>
            </w:r>
            <w:r>
              <w:rPr>
                <w:rFonts w:ascii="Courier New" w:hAnsi="Courier New"/>
                <w:b/>
                <w:bCs/>
                <w:snapToGrid w:val="0"/>
                <w:color w:val="FF0000"/>
                <w:sz w:val="16"/>
                <w:highlight w:val="yellow"/>
              </w:rPr>
              <w:t>INTEGER (0..255),</w:t>
            </w:r>
          </w:p>
          <w:p w14:paraId="04112001">
            <w:pPr>
              <w:pStyle w:val="137"/>
              <w:rPr>
                <w:b/>
                <w:color w:val="0070C0"/>
                <w:szCs w:val="16"/>
                <w:lang w:val="en-US"/>
              </w:rPr>
            </w:pPr>
            <w:r>
              <w:rPr>
                <w:b/>
                <w:color w:val="0070C0"/>
                <w:szCs w:val="16"/>
                <w:lang w:val="en-US"/>
              </w:rPr>
              <w:tab/>
            </w:r>
            <w:r>
              <w:rPr>
                <w:b/>
                <w:color w:val="0070C0"/>
                <w:szCs w:val="16"/>
                <w:lang w:val="en-US"/>
              </w:rPr>
              <w:t>nr-PhysCellID-r16</w:t>
            </w:r>
            <w:r>
              <w:rPr>
                <w:b/>
                <w:color w:val="0070C0"/>
                <w:szCs w:val="16"/>
                <w:lang w:val="en-US"/>
              </w:rPr>
              <w:tab/>
            </w:r>
            <w:r>
              <w:rPr>
                <w:b/>
                <w:color w:val="0070C0"/>
                <w:szCs w:val="16"/>
                <w:lang w:val="en-US"/>
              </w:rPr>
              <w:tab/>
            </w:r>
            <w:r>
              <w:rPr>
                <w:b/>
                <w:color w:val="0070C0"/>
                <w:szCs w:val="16"/>
                <w:lang w:val="en-US"/>
              </w:rPr>
              <w:tab/>
            </w:r>
            <w:r>
              <w:rPr>
                <w:b/>
                <w:color w:val="0070C0"/>
                <w:szCs w:val="16"/>
                <w:lang w:val="en-US"/>
              </w:rPr>
              <w:tab/>
            </w:r>
            <w:r>
              <w:rPr>
                <w:b/>
                <w:color w:val="0070C0"/>
                <w:szCs w:val="16"/>
                <w:lang w:val="en-US"/>
              </w:rPr>
              <w:t>NR-PhysCellID-r16</w:t>
            </w:r>
            <w:r>
              <w:rPr>
                <w:b/>
                <w:color w:val="0070C0"/>
                <w:szCs w:val="16"/>
                <w:lang w:val="en-US"/>
              </w:rPr>
              <w:tab/>
            </w:r>
            <w:r>
              <w:rPr>
                <w:b/>
                <w:color w:val="0070C0"/>
                <w:szCs w:val="16"/>
                <w:lang w:val="en-US"/>
              </w:rPr>
              <w:tab/>
            </w:r>
            <w:r>
              <w:rPr>
                <w:b/>
                <w:color w:val="0070C0"/>
                <w:szCs w:val="16"/>
                <w:lang w:val="en-US"/>
              </w:rPr>
              <w:tab/>
            </w:r>
            <w:r>
              <w:rPr>
                <w:b/>
                <w:color w:val="0070C0"/>
                <w:szCs w:val="16"/>
                <w:lang w:val="en-US"/>
              </w:rPr>
              <w:t>OPTIONAL,</w:t>
            </w:r>
            <w:r>
              <w:rPr>
                <w:b/>
                <w:color w:val="0070C0"/>
                <w:szCs w:val="16"/>
                <w:lang w:val="en-US"/>
              </w:rPr>
              <w:tab/>
            </w:r>
            <w:r>
              <w:rPr>
                <w:b/>
                <w:color w:val="0070C0"/>
                <w:szCs w:val="16"/>
                <w:lang w:val="en-US"/>
              </w:rPr>
              <w:t>-- Need ON</w:t>
            </w:r>
          </w:p>
          <w:p w14:paraId="20058980">
            <w:pPr>
              <w:pStyle w:val="137"/>
              <w:rPr>
                <w:b/>
                <w:color w:val="0070C0"/>
                <w:szCs w:val="16"/>
                <w:lang w:val="en-US"/>
              </w:rPr>
            </w:pPr>
            <w:r>
              <w:rPr>
                <w:b/>
                <w:color w:val="0070C0"/>
                <w:szCs w:val="16"/>
                <w:lang w:val="en-US"/>
              </w:rPr>
              <w:tab/>
            </w:r>
            <w:r>
              <w:rPr>
                <w:b/>
                <w:color w:val="0070C0"/>
                <w:szCs w:val="16"/>
                <w:lang w:val="en-US"/>
              </w:rPr>
              <w:t>nr-CellGlobalID-r16</w:t>
            </w:r>
            <w:r>
              <w:rPr>
                <w:b/>
                <w:color w:val="0070C0"/>
                <w:szCs w:val="16"/>
                <w:lang w:val="en-US"/>
              </w:rPr>
              <w:tab/>
            </w:r>
            <w:r>
              <w:rPr>
                <w:b/>
                <w:color w:val="0070C0"/>
                <w:szCs w:val="16"/>
                <w:lang w:val="en-US"/>
              </w:rPr>
              <w:tab/>
            </w:r>
            <w:r>
              <w:rPr>
                <w:b/>
                <w:color w:val="0070C0"/>
                <w:szCs w:val="16"/>
                <w:lang w:val="en-US"/>
              </w:rPr>
              <w:tab/>
            </w:r>
            <w:r>
              <w:rPr>
                <w:b/>
                <w:color w:val="0070C0"/>
                <w:szCs w:val="16"/>
                <w:lang w:val="en-US"/>
              </w:rPr>
              <w:t>NCGI-r15</w:t>
            </w:r>
            <w:r>
              <w:rPr>
                <w:b/>
                <w:color w:val="0070C0"/>
                <w:szCs w:val="16"/>
                <w:lang w:val="en-US"/>
              </w:rPr>
              <w:tab/>
            </w:r>
            <w:r>
              <w:rPr>
                <w:b/>
                <w:color w:val="0070C0"/>
                <w:szCs w:val="16"/>
                <w:lang w:val="en-US"/>
              </w:rPr>
              <w:tab/>
            </w:r>
            <w:r>
              <w:rPr>
                <w:b/>
                <w:color w:val="0070C0"/>
                <w:szCs w:val="16"/>
                <w:lang w:val="en-US"/>
              </w:rPr>
              <w:tab/>
            </w:r>
            <w:r>
              <w:rPr>
                <w:b/>
                <w:color w:val="0070C0"/>
                <w:szCs w:val="16"/>
                <w:lang w:val="en-US"/>
              </w:rPr>
              <w:tab/>
            </w:r>
            <w:r>
              <w:rPr>
                <w:b/>
                <w:color w:val="0070C0"/>
                <w:szCs w:val="16"/>
                <w:lang w:val="en-US"/>
              </w:rPr>
              <w:tab/>
            </w:r>
            <w:r>
              <w:rPr>
                <w:b/>
                <w:color w:val="0070C0"/>
                <w:szCs w:val="16"/>
                <w:lang w:val="en-US"/>
              </w:rPr>
              <w:t>OPTIONAL,</w:t>
            </w:r>
            <w:r>
              <w:rPr>
                <w:b/>
                <w:color w:val="0070C0"/>
                <w:szCs w:val="16"/>
                <w:lang w:val="en-US"/>
              </w:rPr>
              <w:tab/>
            </w:r>
            <w:r>
              <w:rPr>
                <w:b/>
                <w:color w:val="0070C0"/>
                <w:szCs w:val="16"/>
                <w:lang w:val="en-US"/>
              </w:rPr>
              <w:t>-- Need ON</w:t>
            </w:r>
          </w:p>
          <w:p w14:paraId="0F78C3C0">
            <w:pPr>
              <w:pStyle w:val="137"/>
              <w:rPr>
                <w:b/>
                <w:color w:val="0070C0"/>
                <w:szCs w:val="16"/>
                <w:lang w:val="en-US"/>
              </w:rPr>
            </w:pPr>
            <w:r>
              <w:rPr>
                <w:b/>
                <w:color w:val="0070C0"/>
                <w:szCs w:val="16"/>
                <w:lang w:val="en-US"/>
              </w:rPr>
              <w:tab/>
            </w:r>
            <w:r>
              <w:rPr>
                <w:b/>
                <w:color w:val="0070C0"/>
                <w:szCs w:val="16"/>
                <w:lang w:val="en-US"/>
              </w:rPr>
              <w:t>nr-ARFCN-r16</w:t>
            </w:r>
            <w:r>
              <w:rPr>
                <w:b/>
                <w:color w:val="0070C0"/>
                <w:szCs w:val="16"/>
                <w:lang w:val="en-US"/>
              </w:rPr>
              <w:tab/>
            </w:r>
            <w:r>
              <w:rPr>
                <w:b/>
                <w:color w:val="0070C0"/>
                <w:szCs w:val="16"/>
                <w:lang w:val="en-US"/>
              </w:rPr>
              <w:tab/>
            </w:r>
            <w:r>
              <w:rPr>
                <w:b/>
                <w:color w:val="0070C0"/>
                <w:szCs w:val="16"/>
                <w:lang w:val="en-US"/>
              </w:rPr>
              <w:tab/>
            </w:r>
            <w:r>
              <w:rPr>
                <w:b/>
                <w:color w:val="0070C0"/>
                <w:szCs w:val="16"/>
                <w:lang w:val="en-US"/>
              </w:rPr>
              <w:tab/>
            </w:r>
            <w:r>
              <w:rPr>
                <w:b/>
                <w:color w:val="0070C0"/>
                <w:szCs w:val="16"/>
                <w:lang w:val="en-US"/>
              </w:rPr>
              <w:tab/>
            </w:r>
            <w:r>
              <w:rPr>
                <w:b/>
                <w:color w:val="0070C0"/>
                <w:szCs w:val="16"/>
                <w:lang w:val="en-US"/>
              </w:rPr>
              <w:t>ARFCN-ValueNR-r15</w:t>
            </w:r>
            <w:r>
              <w:rPr>
                <w:b/>
                <w:color w:val="0070C0"/>
                <w:szCs w:val="16"/>
                <w:lang w:val="en-US"/>
              </w:rPr>
              <w:tab/>
            </w:r>
            <w:r>
              <w:rPr>
                <w:b/>
                <w:color w:val="0070C0"/>
                <w:szCs w:val="16"/>
                <w:lang w:val="en-US"/>
              </w:rPr>
              <w:tab/>
            </w:r>
            <w:r>
              <w:rPr>
                <w:b/>
                <w:color w:val="0070C0"/>
                <w:szCs w:val="16"/>
                <w:lang w:val="en-US"/>
              </w:rPr>
              <w:tab/>
            </w:r>
            <w:r>
              <w:rPr>
                <w:b/>
                <w:color w:val="0070C0"/>
                <w:szCs w:val="16"/>
                <w:lang w:val="en-US"/>
              </w:rPr>
              <w:t>OPTIONAL,</w:t>
            </w:r>
            <w:r>
              <w:rPr>
                <w:b/>
                <w:color w:val="0070C0"/>
                <w:szCs w:val="16"/>
                <w:lang w:val="en-US"/>
              </w:rPr>
              <w:tab/>
            </w:r>
            <w:r>
              <w:rPr>
                <w:b/>
                <w:color w:val="0070C0"/>
                <w:szCs w:val="16"/>
                <w:lang w:val="en-US"/>
              </w:rPr>
              <w:t>-- Need ON</w:t>
            </w:r>
          </w:p>
          <w:p w14:paraId="26FA64D5">
            <w:pPr>
              <w:pStyle w:val="137"/>
              <w:rPr>
                <w:szCs w:val="16"/>
                <w:lang w:val="en-US"/>
              </w:rPr>
            </w:pPr>
            <w:r>
              <w:rPr>
                <w:szCs w:val="16"/>
                <w:lang w:val="en-US"/>
              </w:rPr>
              <w:tab/>
            </w:r>
            <w:r>
              <w:rPr>
                <w:szCs w:val="16"/>
                <w:lang w:val="en-US"/>
              </w:rPr>
              <w:t>associated-DL-PRS-ID-r16</w:t>
            </w:r>
            <w:r>
              <w:rPr>
                <w:szCs w:val="16"/>
                <w:lang w:val="en-US"/>
              </w:rPr>
              <w:tab/>
            </w:r>
            <w:r>
              <w:rPr>
                <w:szCs w:val="16"/>
                <w:lang w:val="en-US"/>
              </w:rPr>
              <w:tab/>
            </w:r>
            <w:r>
              <w:rPr>
                <w:szCs w:val="16"/>
                <w:lang w:val="en-US"/>
              </w:rPr>
              <w:t>INTEGER (0..255)</w:t>
            </w:r>
            <w:r>
              <w:rPr>
                <w:szCs w:val="16"/>
                <w:lang w:val="en-US"/>
              </w:rPr>
              <w:tab/>
            </w:r>
            <w:r>
              <w:rPr>
                <w:szCs w:val="16"/>
                <w:lang w:val="en-US"/>
              </w:rPr>
              <w:tab/>
            </w:r>
            <w:r>
              <w:rPr>
                <w:szCs w:val="16"/>
                <w:lang w:val="en-US"/>
              </w:rPr>
              <w:tab/>
            </w:r>
            <w:r>
              <w:rPr>
                <w:szCs w:val="16"/>
                <w:lang w:val="en-US"/>
              </w:rPr>
              <w:t>OPTIONAL,</w:t>
            </w:r>
            <w:r>
              <w:rPr>
                <w:szCs w:val="16"/>
                <w:lang w:val="en-US"/>
              </w:rPr>
              <w:tab/>
            </w:r>
            <w:r>
              <w:rPr>
                <w:szCs w:val="16"/>
                <w:lang w:val="en-US"/>
              </w:rPr>
              <w:t>-- Need OP</w:t>
            </w:r>
          </w:p>
          <w:p w14:paraId="6EFB0F2D">
            <w:pPr>
              <w:pStyle w:val="137"/>
              <w:rPr>
                <w:snapToGrid w:val="0"/>
                <w:szCs w:val="16"/>
                <w:lang w:val="en-US"/>
              </w:rPr>
            </w:pPr>
            <w:r>
              <w:rPr>
                <w:szCs w:val="16"/>
                <w:lang w:val="en-US"/>
              </w:rPr>
              <w:tab/>
            </w:r>
            <w:r>
              <w:rPr>
                <w:szCs w:val="16"/>
                <w:lang w:val="en-US"/>
              </w:rPr>
              <w:t>trp-Location-r16</w:t>
            </w:r>
            <w:r>
              <w:rPr>
                <w:szCs w:val="16"/>
                <w:lang w:val="en-US"/>
              </w:rPr>
              <w:tab/>
            </w:r>
            <w:r>
              <w:rPr>
                <w:szCs w:val="16"/>
                <w:lang w:val="en-US"/>
              </w:rPr>
              <w:tab/>
            </w:r>
            <w:r>
              <w:rPr>
                <w:szCs w:val="16"/>
                <w:lang w:val="en-US"/>
              </w:rPr>
              <w:tab/>
            </w:r>
            <w:r>
              <w:rPr>
                <w:szCs w:val="16"/>
                <w:lang w:val="en-US"/>
              </w:rPr>
              <w:tab/>
            </w:r>
            <w:r>
              <w:rPr>
                <w:snapToGrid w:val="0"/>
                <w:szCs w:val="16"/>
                <w:lang w:val="en-US"/>
              </w:rPr>
              <w:t>RelativeLocation-r16</w:t>
            </w:r>
            <w:r>
              <w:rPr>
                <w:snapToGrid w:val="0"/>
                <w:szCs w:val="16"/>
                <w:lang w:val="en-US"/>
              </w:rPr>
              <w:tab/>
            </w:r>
            <w:r>
              <w:rPr>
                <w:snapToGrid w:val="0"/>
                <w:szCs w:val="16"/>
                <w:lang w:val="en-US"/>
              </w:rPr>
              <w:tab/>
            </w:r>
            <w:r>
              <w:rPr>
                <w:snapToGrid w:val="0"/>
                <w:szCs w:val="16"/>
                <w:lang w:val="en-US"/>
              </w:rPr>
              <w:tab/>
            </w:r>
            <w:r>
              <w:rPr>
                <w:snapToGrid w:val="0"/>
                <w:szCs w:val="16"/>
                <w:lang w:val="en-US"/>
              </w:rPr>
              <w:tab/>
            </w:r>
            <w:r>
              <w:rPr>
                <w:snapToGrid w:val="0"/>
                <w:szCs w:val="16"/>
                <w:lang w:val="en-US"/>
              </w:rPr>
              <w:tab/>
            </w:r>
            <w:r>
              <w:rPr>
                <w:snapToGrid w:val="0"/>
                <w:szCs w:val="16"/>
                <w:lang w:val="en-US"/>
              </w:rPr>
              <w:t>OPTIONAL,</w:t>
            </w:r>
            <w:r>
              <w:rPr>
                <w:snapToGrid w:val="0"/>
                <w:szCs w:val="16"/>
                <w:lang w:val="en-US"/>
              </w:rPr>
              <w:tab/>
            </w:r>
            <w:r>
              <w:rPr>
                <w:snapToGrid w:val="0"/>
                <w:szCs w:val="16"/>
                <w:lang w:val="en-US"/>
              </w:rPr>
              <w:t>-- Need OP</w:t>
            </w:r>
          </w:p>
          <w:p w14:paraId="30821C59">
            <w:pPr>
              <w:pStyle w:val="137"/>
              <w:rPr>
                <w:snapToGrid w:val="0"/>
                <w:szCs w:val="16"/>
                <w:lang w:val="en-US"/>
              </w:rPr>
            </w:pPr>
            <w:r>
              <w:rPr>
                <w:snapToGrid w:val="0"/>
                <w:szCs w:val="16"/>
                <w:lang w:val="en-US"/>
              </w:rPr>
              <w:t>…</w:t>
            </w:r>
          </w:p>
          <w:p w14:paraId="0A86447F">
            <w:pPr>
              <w:pStyle w:val="137"/>
              <w:rPr>
                <w:snapToGrid w:val="0"/>
                <w:sz w:val="14"/>
                <w:szCs w:val="18"/>
                <w:lang w:val="en-US"/>
              </w:rPr>
            </w:pPr>
            <w:r>
              <w:rPr>
                <w:snapToGrid w:val="0"/>
                <w:szCs w:val="16"/>
                <w:lang w:val="en-US"/>
              </w:rPr>
              <w:t>}</w:t>
            </w:r>
          </w:p>
        </w:tc>
      </w:tr>
    </w:tbl>
    <w:p w14:paraId="54116A04"/>
    <w:p w14:paraId="5070C378">
      <w:r>
        <w:t>Therefore, the training dataset validity area can be defined using the following:</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1467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1CE1B90E">
            <w:pPr>
              <w:spacing w:after="0"/>
              <w:rPr>
                <w:sz w:val="20"/>
                <w:szCs w:val="18"/>
              </w:rPr>
            </w:pPr>
            <w:r>
              <w:rPr>
                <w:sz w:val="20"/>
                <w:szCs w:val="20"/>
              </w:rPr>
              <w:t>–</w:t>
            </w:r>
            <w:r>
              <w:rPr>
                <w:sz w:val="20"/>
                <w:szCs w:val="20"/>
              </w:rPr>
              <w:tab/>
            </w:r>
            <w:r>
              <w:rPr>
                <w:sz w:val="20"/>
                <w:szCs w:val="20"/>
              </w:rPr>
              <w:t>AreaID-TRPList</w:t>
            </w:r>
          </w:p>
          <w:p w14:paraId="1A851233">
            <w:pPr>
              <w:keepLines/>
              <w:spacing w:after="0"/>
              <w:rPr>
                <w:sz w:val="18"/>
                <w:szCs w:val="18"/>
              </w:rPr>
            </w:pPr>
            <w:r>
              <w:rPr>
                <w:sz w:val="20"/>
                <w:szCs w:val="20"/>
              </w:rPr>
              <w:t xml:space="preserve">The IE </w:t>
            </w:r>
            <w:r>
              <w:rPr>
                <w:i/>
                <w:sz w:val="20"/>
                <w:szCs w:val="20"/>
              </w:rPr>
              <w:t>AreaID-TRPList</w:t>
            </w:r>
            <w:r>
              <w:rPr>
                <w:sz w:val="20"/>
                <w:szCs w:val="20"/>
              </w:rPr>
              <w:t xml:space="preserve"> </w:t>
            </w:r>
            <w:r>
              <w:rPr>
                <w:snapToGrid w:val="0"/>
                <w:sz w:val="20"/>
                <w:szCs w:val="20"/>
              </w:rPr>
              <w:t>provides the NR TRP IDs</w:t>
            </w:r>
            <w:r>
              <w:rPr>
                <w:sz w:val="20"/>
                <w:szCs w:val="20"/>
              </w:rPr>
              <w:t xml:space="preserve"> of the TRPs belonging to a particular network area. For AI/ML training data collection, </w:t>
            </w:r>
            <w:r>
              <w:rPr>
                <w:i/>
                <w:sz w:val="20"/>
                <w:szCs w:val="20"/>
              </w:rPr>
              <w:t>AreaID-TRPList</w:t>
            </w:r>
            <w:r>
              <w:rPr>
                <w:sz w:val="20"/>
                <w:szCs w:val="20"/>
              </w:rPr>
              <w:t xml:space="preserve"> </w:t>
            </w:r>
            <w:r>
              <w:rPr>
                <w:snapToGrid w:val="0"/>
                <w:sz w:val="20"/>
                <w:szCs w:val="20"/>
              </w:rPr>
              <w:t>provides the network area where the training data is collected. For a trained AI/ML model,</w:t>
            </w:r>
            <w:r>
              <w:rPr>
                <w:sz w:val="20"/>
                <w:szCs w:val="20"/>
              </w:rPr>
              <w:t xml:space="preserve"> </w:t>
            </w:r>
            <w:r>
              <w:rPr>
                <w:i/>
                <w:sz w:val="20"/>
                <w:szCs w:val="20"/>
              </w:rPr>
              <w:t>AreaID-TRPList</w:t>
            </w:r>
            <w:r>
              <w:rPr>
                <w:sz w:val="20"/>
                <w:szCs w:val="20"/>
              </w:rPr>
              <w:t xml:space="preserve"> </w:t>
            </w:r>
            <w:r>
              <w:rPr>
                <w:snapToGrid w:val="0"/>
                <w:sz w:val="20"/>
                <w:szCs w:val="20"/>
              </w:rPr>
              <w:t xml:space="preserve">provides the network area </w:t>
            </w:r>
            <w:r>
              <w:rPr>
                <w:sz w:val="20"/>
                <w:szCs w:val="20"/>
              </w:rPr>
              <w:t>where the AI/ML model is valid. A TRP ID can be included in different network areas described by AreaID-TRPList.</w:t>
            </w:r>
          </w:p>
          <w:p w14:paraId="7E17E64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6"/>
              </w:rPr>
            </w:pPr>
            <w:r>
              <w:rPr>
                <w:rFonts w:ascii="Courier New" w:hAnsi="Courier New"/>
                <w:sz w:val="16"/>
              </w:rPr>
              <w:t>-- ASN1START</w:t>
            </w:r>
          </w:p>
          <w:p w14:paraId="75E9EAA9">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6"/>
              </w:rPr>
            </w:pPr>
          </w:p>
          <w:p w14:paraId="29DC5081">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b/>
                <w:bCs/>
                <w:color w:val="FF0000"/>
                <w:sz w:val="16"/>
              </w:rPr>
            </w:pPr>
            <w:r>
              <w:rPr>
                <w:rFonts w:ascii="Courier New" w:hAnsi="Courier New"/>
                <w:b/>
                <w:bCs/>
                <w:color w:val="FF0000"/>
                <w:sz w:val="16"/>
              </w:rPr>
              <w:t>AreaID-TRPList-r19 ::= SEQUENCE (SIZE(1..maxTRPIDsPerArea-r19)) OF NR-TRP-IDs-r19</w:t>
            </w:r>
          </w:p>
          <w:p w14:paraId="0409292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b/>
                <w:bCs/>
                <w:color w:val="FF0000"/>
                <w:sz w:val="16"/>
              </w:rPr>
            </w:pPr>
          </w:p>
          <w:p w14:paraId="6E7B764E">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b/>
                <w:bCs/>
                <w:color w:val="FF0000"/>
                <w:sz w:val="16"/>
              </w:rPr>
            </w:pPr>
            <w:r>
              <w:rPr>
                <w:rFonts w:ascii="Courier New" w:hAnsi="Courier New"/>
                <w:b/>
                <w:bCs/>
                <w:color w:val="FF0000"/>
                <w:sz w:val="16"/>
              </w:rPr>
              <w:t>NR-TRP-IDs-r19 ::= SEQUENCE {</w:t>
            </w:r>
          </w:p>
          <w:p w14:paraId="27911F5B">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b/>
                <w:bCs/>
                <w:snapToGrid w:val="0"/>
                <w:color w:val="FF0000"/>
                <w:sz w:val="16"/>
              </w:rPr>
            </w:pPr>
            <w:r>
              <w:rPr>
                <w:rFonts w:ascii="Courier New" w:hAnsi="Courier New"/>
                <w:b/>
                <w:bCs/>
                <w:snapToGrid w:val="0"/>
                <w:color w:val="FF0000"/>
                <w:sz w:val="16"/>
              </w:rPr>
              <w:tab/>
            </w:r>
            <w:r>
              <w:rPr>
                <w:rFonts w:ascii="Courier New" w:hAnsi="Courier New"/>
                <w:b/>
                <w:bCs/>
                <w:snapToGrid w:val="0"/>
                <w:color w:val="FF0000"/>
                <w:sz w:val="16"/>
                <w:highlight w:val="yellow"/>
              </w:rPr>
              <w:t>dl-PRS-ID-r16</w:t>
            </w:r>
            <w:r>
              <w:rPr>
                <w:rFonts w:ascii="Courier New" w:hAnsi="Courier New"/>
                <w:b/>
                <w:bCs/>
                <w:snapToGrid w:val="0"/>
                <w:color w:val="FF0000"/>
                <w:sz w:val="16"/>
                <w:highlight w:val="yellow"/>
              </w:rPr>
              <w:tab/>
            </w:r>
            <w:r>
              <w:rPr>
                <w:rFonts w:ascii="Courier New" w:hAnsi="Courier New"/>
                <w:b/>
                <w:bCs/>
                <w:snapToGrid w:val="0"/>
                <w:color w:val="FF0000"/>
                <w:sz w:val="16"/>
                <w:highlight w:val="yellow"/>
              </w:rPr>
              <w:tab/>
            </w:r>
            <w:r>
              <w:rPr>
                <w:rFonts w:ascii="Courier New" w:hAnsi="Courier New"/>
                <w:b/>
                <w:bCs/>
                <w:snapToGrid w:val="0"/>
                <w:color w:val="FF0000"/>
                <w:sz w:val="16"/>
                <w:highlight w:val="yellow"/>
              </w:rPr>
              <w:tab/>
            </w:r>
            <w:r>
              <w:rPr>
                <w:rFonts w:ascii="Courier New" w:hAnsi="Courier New"/>
                <w:b/>
                <w:bCs/>
                <w:snapToGrid w:val="0"/>
                <w:color w:val="FF0000"/>
                <w:sz w:val="16"/>
                <w:highlight w:val="yellow"/>
              </w:rPr>
              <w:tab/>
            </w:r>
            <w:r>
              <w:rPr>
                <w:rFonts w:ascii="Courier New" w:hAnsi="Courier New"/>
                <w:b/>
                <w:bCs/>
                <w:snapToGrid w:val="0"/>
                <w:color w:val="FF0000"/>
                <w:sz w:val="16"/>
                <w:highlight w:val="yellow"/>
              </w:rPr>
              <w:tab/>
            </w:r>
            <w:r>
              <w:rPr>
                <w:rFonts w:ascii="Courier New" w:hAnsi="Courier New"/>
                <w:b/>
                <w:bCs/>
                <w:snapToGrid w:val="0"/>
                <w:color w:val="FF0000"/>
                <w:sz w:val="16"/>
                <w:highlight w:val="yellow"/>
              </w:rPr>
              <w:t>INTEGER (0..255),</w:t>
            </w:r>
          </w:p>
          <w:p w14:paraId="11768BB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b/>
                <w:bCs/>
                <w:color w:val="FF0000"/>
                <w:sz w:val="16"/>
              </w:rPr>
            </w:pPr>
            <w:r>
              <w:rPr>
                <w:rFonts w:ascii="Courier New" w:hAnsi="Courier New"/>
                <w:b/>
                <w:bCs/>
                <w:color w:val="FF0000"/>
                <w:sz w:val="16"/>
              </w:rPr>
              <w:tab/>
            </w:r>
            <w:r>
              <w:rPr>
                <w:rFonts w:ascii="Courier New" w:hAnsi="Courier New"/>
                <w:b/>
                <w:bCs/>
                <w:snapToGrid w:val="0"/>
                <w:color w:val="FF0000"/>
                <w:sz w:val="16"/>
              </w:rPr>
              <w:t>nr-CellGlobalID-r17</w:t>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NCGI-r15</w:t>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OPTIONAL,</w:t>
            </w:r>
            <w:r>
              <w:rPr>
                <w:rFonts w:ascii="Courier New" w:hAnsi="Courier New"/>
                <w:b/>
                <w:bCs/>
                <w:snapToGrid w:val="0"/>
                <w:color w:val="FF0000"/>
                <w:sz w:val="16"/>
              </w:rPr>
              <w:tab/>
            </w:r>
            <w:r>
              <w:rPr>
                <w:rFonts w:ascii="Courier New" w:hAnsi="Courier New"/>
                <w:b/>
                <w:bCs/>
                <w:snapToGrid w:val="0"/>
                <w:color w:val="FF0000"/>
                <w:sz w:val="16"/>
              </w:rPr>
              <w:t>-- Need ON</w:t>
            </w:r>
          </w:p>
          <w:p w14:paraId="0BD9DAC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b/>
                <w:bCs/>
                <w:snapToGrid w:val="0"/>
                <w:color w:val="FF0000"/>
                <w:sz w:val="16"/>
              </w:rPr>
            </w:pPr>
            <w:r>
              <w:rPr>
                <w:rFonts w:ascii="Courier New" w:hAnsi="Courier New"/>
                <w:b/>
                <w:bCs/>
                <w:snapToGrid w:val="0"/>
                <w:color w:val="FF0000"/>
                <w:sz w:val="16"/>
              </w:rPr>
              <w:tab/>
            </w:r>
            <w:r>
              <w:rPr>
                <w:rFonts w:ascii="Courier New" w:hAnsi="Courier New"/>
                <w:b/>
                <w:bCs/>
                <w:snapToGrid w:val="0"/>
                <w:color w:val="FF0000"/>
                <w:sz w:val="16"/>
              </w:rPr>
              <w:t>nr-PhysCellID-r17</w:t>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NR-PhysCellID-r16</w:t>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OPTIONAL,</w:t>
            </w:r>
            <w:r>
              <w:rPr>
                <w:rFonts w:ascii="Courier New" w:hAnsi="Courier New"/>
                <w:b/>
                <w:bCs/>
                <w:snapToGrid w:val="0"/>
                <w:color w:val="FF0000"/>
                <w:sz w:val="16"/>
              </w:rPr>
              <w:tab/>
            </w:r>
            <w:r>
              <w:rPr>
                <w:rFonts w:ascii="Courier New" w:hAnsi="Courier New"/>
                <w:b/>
                <w:bCs/>
                <w:snapToGrid w:val="0"/>
                <w:color w:val="FF0000"/>
                <w:sz w:val="16"/>
              </w:rPr>
              <w:t>-- Need ON</w:t>
            </w:r>
          </w:p>
          <w:p w14:paraId="3FAB814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b/>
                <w:bCs/>
                <w:color w:val="FF0000"/>
                <w:sz w:val="16"/>
              </w:rPr>
            </w:pPr>
            <w:r>
              <w:rPr>
                <w:rFonts w:ascii="Courier New" w:hAnsi="Courier New"/>
                <w:b/>
                <w:bCs/>
                <w:snapToGrid w:val="0"/>
                <w:color w:val="FF0000"/>
                <w:sz w:val="16"/>
              </w:rPr>
              <w:tab/>
            </w:r>
            <w:r>
              <w:rPr>
                <w:rFonts w:ascii="Courier New" w:hAnsi="Courier New"/>
                <w:b/>
                <w:bCs/>
                <w:color w:val="FF0000"/>
                <w:sz w:val="16"/>
              </w:rPr>
              <w:t>nr-ARFCN</w:t>
            </w:r>
            <w:r>
              <w:rPr>
                <w:rFonts w:ascii="Courier New" w:hAnsi="Courier New"/>
                <w:b/>
                <w:bCs/>
                <w:snapToGrid w:val="0"/>
                <w:color w:val="FF0000"/>
                <w:sz w:val="16"/>
              </w:rPr>
              <w:t>-r17</w:t>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ARFCN-ValueNR-r15</w:t>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ab/>
            </w:r>
            <w:r>
              <w:rPr>
                <w:rFonts w:ascii="Courier New" w:hAnsi="Courier New"/>
                <w:b/>
                <w:bCs/>
                <w:snapToGrid w:val="0"/>
                <w:color w:val="FF0000"/>
                <w:sz w:val="16"/>
              </w:rPr>
              <w:t>OPTIONAL,</w:t>
            </w:r>
            <w:r>
              <w:rPr>
                <w:rFonts w:ascii="Courier New" w:hAnsi="Courier New"/>
                <w:b/>
                <w:bCs/>
                <w:snapToGrid w:val="0"/>
                <w:color w:val="FF0000"/>
                <w:sz w:val="16"/>
              </w:rPr>
              <w:tab/>
            </w:r>
            <w:r>
              <w:rPr>
                <w:rFonts w:ascii="Courier New" w:hAnsi="Courier New"/>
                <w:b/>
                <w:bCs/>
                <w:snapToGrid w:val="0"/>
                <w:color w:val="FF0000"/>
                <w:sz w:val="16"/>
              </w:rPr>
              <w:t>-- Need ON</w:t>
            </w:r>
          </w:p>
          <w:p w14:paraId="318A567B">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6"/>
              </w:rPr>
            </w:pPr>
            <w:r>
              <w:rPr>
                <w:rFonts w:ascii="Courier New" w:hAnsi="Courier New"/>
                <w:sz w:val="16"/>
              </w:rPr>
              <w:tab/>
            </w:r>
            <w:r>
              <w:rPr>
                <w:rFonts w:ascii="Courier New" w:hAnsi="Courier New"/>
                <w:sz w:val="16"/>
              </w:rPr>
              <w:t>...</w:t>
            </w:r>
          </w:p>
          <w:p w14:paraId="23248B8B">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6"/>
              </w:rPr>
            </w:pPr>
            <w:r>
              <w:rPr>
                <w:rFonts w:ascii="Courier New" w:hAnsi="Courier New"/>
                <w:sz w:val="16"/>
              </w:rPr>
              <w:t>}</w:t>
            </w:r>
          </w:p>
          <w:p w14:paraId="4C0A2BB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6"/>
              </w:rPr>
            </w:pPr>
          </w:p>
          <w:p w14:paraId="3D3AD0C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6"/>
              </w:rPr>
            </w:pPr>
            <w:r>
              <w:rPr>
                <w:rFonts w:ascii="Courier New" w:hAnsi="Courier New"/>
                <w:sz w:val="16"/>
              </w:rPr>
              <w:t>-- ASN1STOP</w:t>
            </w:r>
          </w:p>
        </w:tc>
      </w:tr>
    </w:tbl>
    <w:p w14:paraId="6CA5E48E"/>
    <w:p w14:paraId="6317779A">
      <w:r>
        <w:t>The training dataset validity area can be recorded as a part of the metadata for the training dataset, where the metadata describes the model training context. With the list of TRPs recorded as a part of the meta data for the training dataset, the measurements collected for each data sample can be organized with the same hierarchy as for legacy assistance data, i.e. per TRP/frequency layers for the UE, and per TRP for the gNB assistance data.</w:t>
      </w:r>
    </w:p>
    <w:p w14:paraId="4538090D"/>
    <w:p w14:paraId="63346EB9">
      <w:pPr>
        <w:pStyle w:val="73"/>
      </w:pPr>
      <w:bookmarkStart w:id="2188" w:name="_Toc189845154"/>
      <w:r>
        <w:t>The training dataset validity area is recorded as a part of metadata of the training dataset. The validity area is defined as a list of TRPs where data is collected.</w:t>
      </w:r>
      <w:bookmarkEnd w:id="2188"/>
    </w:p>
    <w:p w14:paraId="6D88A7C4">
      <w:pPr>
        <w:pStyle w:val="73"/>
      </w:pPr>
      <w:bookmarkStart w:id="2189" w:name="_Toc189845155"/>
      <w:r>
        <w:t>Training data provided to UE/gNB is organized with the same hierarchy as for legacy assistance data, i.e. per TRP/frequency layers for the UE, and per TRP for the gNB assistance data.</w:t>
      </w:r>
      <w:bookmarkEnd w:id="2189"/>
      <w:r>
        <w:t xml:space="preserve"> </w:t>
      </w:r>
    </w:p>
    <w:p w14:paraId="696B0D61">
      <w:pPr>
        <w:rPr>
          <w:highlight w:val="yellow"/>
        </w:rPr>
      </w:pPr>
    </w:p>
    <w:p w14:paraId="116CAF46">
      <w:r>
        <w:t>If the UE collects measurement data based on PRS from a list of TRPs, then the UE record the associated TRP IDs as the validity area of the training data.  Assistance data on the PRS configuration, PRS index used in measurement, etc, are also recorded as metadata of training dataset as well.</w:t>
      </w:r>
    </w:p>
    <w:p w14:paraId="6747610E">
      <w:r>
        <w:t xml:space="preserve">Furthermore, while the validity area and the RS assistance data are very similar to the assistance data for legacy positioning methods, a new assistance data needs to be introduced for associated ID. For AI/ML based positioning, the associated ID indicates the additional network conditions, and provides information on the consistency between training data collection and model inference, see related discussion in section </w:t>
      </w:r>
      <w:r>
        <w:fldChar w:fldCharType="begin"/>
      </w:r>
      <w:r>
        <w:instrText xml:space="preserve"> REF _Ref178770342 \r </w:instrText>
      </w:r>
      <w:r>
        <w:fldChar w:fldCharType="separate"/>
      </w:r>
      <w:r>
        <w:t>7.2.3</w:t>
      </w:r>
      <w:r>
        <w:fldChar w:fldCharType="end"/>
      </w:r>
      <w:r>
        <w:t>.</w:t>
      </w:r>
    </w:p>
    <w:p w14:paraId="3C4C1B45">
      <w:r>
        <w:t>In summary, for Case 1/2a, the assistance data for training data collection includes:</w:t>
      </w:r>
    </w:p>
    <w:p w14:paraId="490AF079">
      <w:pPr>
        <w:pStyle w:val="133"/>
        <w:numPr>
          <w:ilvl w:val="1"/>
          <w:numId w:val="11"/>
        </w:numPr>
        <w:ind w:left="630"/>
      </w:pPr>
      <w:r>
        <w:t>Training dataset validity area,</w:t>
      </w:r>
    </w:p>
    <w:p w14:paraId="680B73CC">
      <w:pPr>
        <w:pStyle w:val="133"/>
        <w:numPr>
          <w:ilvl w:val="1"/>
          <w:numId w:val="11"/>
        </w:numPr>
        <w:ind w:left="630"/>
      </w:pPr>
      <w:r>
        <w:t xml:space="preserve">The assistance data necessary for PRS reception. In general, the assistance data that can be provided from LMF to UE (info #1-15, except info #7) as agreed in RAN1#119 is more than enough. </w:t>
      </w:r>
    </w:p>
    <w:p w14:paraId="50878DCF">
      <w:pPr>
        <w:pStyle w:val="133"/>
        <w:numPr>
          <w:ilvl w:val="1"/>
          <w:numId w:val="11"/>
        </w:numPr>
        <w:ind w:left="630"/>
      </w:pPr>
      <w:r>
        <w:t xml:space="preserve">Associated ID to indicate the additional network conditions. The additional network conditions are those that are not explicitly signaled but may affect the consistency between training data collection and model inference, for example, info #7. Details of associated ID are discussed further in section 7.1. </w:t>
      </w:r>
    </w:p>
    <w:p w14:paraId="01F98033"/>
    <w:p w14:paraId="6E342B9F">
      <w:pPr>
        <w:pStyle w:val="73"/>
      </w:pPr>
      <w:bookmarkStart w:id="2190" w:name="_Toc189845156"/>
      <w:r>
        <w:t>For Part A training data collection of Case 1/2a, the assistance data include: training dataset validity area, assistance data necessary for PRS reception, and associated ID for additional network conditions. Corresponding assistance data is sent during model inference as well for consistency checking.</w:t>
      </w:r>
      <w:bookmarkEnd w:id="2190"/>
    </w:p>
    <w:p w14:paraId="1014EB77">
      <w:pPr>
        <w:pStyle w:val="73"/>
      </w:pPr>
      <w:bookmarkStart w:id="2191" w:name="_Toc189845157"/>
      <w:r>
        <w:t>The assistance data required for PRS/SRS reception is the same across all use cases for both direct and AI/ML assisted positioning.</w:t>
      </w:r>
      <w:bookmarkEnd w:id="2191"/>
      <w:r>
        <w:t xml:space="preserve"> </w:t>
      </w:r>
    </w:p>
    <w:p w14:paraId="4F0C41E1">
      <w:pPr>
        <w:pStyle w:val="2"/>
        <w:rPr>
          <w:lang w:val="en-US"/>
        </w:rPr>
      </w:pPr>
      <w:bookmarkStart w:id="2192" w:name="_Ref178767633"/>
      <w:bookmarkStart w:id="2193" w:name="_Toc189845040"/>
      <w:r>
        <w:rPr>
          <w:lang w:val="en-US"/>
        </w:rPr>
        <w:t>LCM and Model performance monitoring</w:t>
      </w:r>
      <w:bookmarkEnd w:id="2176"/>
      <w:bookmarkEnd w:id="2192"/>
      <w:bookmarkEnd w:id="2193"/>
    </w:p>
    <w:p w14:paraId="464BC905">
      <w:pPr>
        <w:pStyle w:val="3"/>
        <w:rPr>
          <w:lang w:val="en-US"/>
        </w:rPr>
      </w:pPr>
      <w:bookmarkStart w:id="2194" w:name="_Toc189042864"/>
      <w:bookmarkEnd w:id="2194"/>
      <w:bookmarkStart w:id="2195" w:name="_Toc189042861"/>
      <w:bookmarkEnd w:id="2195"/>
      <w:bookmarkStart w:id="2196" w:name="_Toc189042862"/>
      <w:bookmarkEnd w:id="2196"/>
      <w:bookmarkStart w:id="2197" w:name="_Toc189042863"/>
      <w:bookmarkEnd w:id="2197"/>
      <w:bookmarkStart w:id="2198" w:name="_Toc189042865"/>
      <w:bookmarkEnd w:id="2198"/>
      <w:bookmarkStart w:id="2199" w:name="_Toc189845041"/>
      <w:bookmarkStart w:id="2200" w:name="_Ref189836870"/>
      <w:r>
        <w:t>Model-level and functionality-level</w:t>
      </w:r>
      <w:r>
        <w:rPr>
          <w:lang w:val="en-US"/>
        </w:rPr>
        <w:t xml:space="preserve"> monitoring</w:t>
      </w:r>
      <w:bookmarkEnd w:id="2199"/>
      <w:bookmarkEnd w:id="2200"/>
    </w:p>
    <w:p w14:paraId="646B93CA"/>
    <w:p w14:paraId="53EC2CA2">
      <w:r>
        <w:t>During RAN1#118, we discussed which entity (LMF, gNB, TRP, UE) should make LCM decision, particularly whether entity beside the model hosting entity should make LCM decision for the model hosting entity:</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05900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10EC715A">
            <w:pPr>
              <w:rPr>
                <w:b/>
                <w:color w:val="000000" w:themeColor="text1"/>
                <w:sz w:val="20"/>
                <w:szCs w:val="20"/>
                <w:u w:val="single"/>
                <w14:textFill>
                  <w14:solidFill>
                    <w14:schemeClr w14:val="tx1"/>
                  </w14:solidFill>
                </w14:textFill>
              </w:rPr>
            </w:pPr>
            <w:r>
              <w:rPr>
                <w:b/>
                <w:color w:val="000000" w:themeColor="text1"/>
                <w:sz w:val="20"/>
                <w:szCs w:val="20"/>
                <w:u w:val="single"/>
                <w14:textFill>
                  <w14:solidFill>
                    <w14:schemeClr w14:val="tx1"/>
                  </w14:solidFill>
                </w14:textFill>
              </w:rPr>
              <w:t>Proposal 6.2.5-1</w:t>
            </w:r>
          </w:p>
          <w:p w14:paraId="59C5511A">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For </w:t>
            </w:r>
            <w:r>
              <w:rPr>
                <w:b/>
                <w:bCs/>
                <w:color w:val="000000" w:themeColor="text1"/>
                <w:sz w:val="20"/>
                <w:szCs w:val="20"/>
                <w14:textFill>
                  <w14:solidFill>
                    <w14:schemeClr w14:val="tx1"/>
                  </w14:solidFill>
                </w14:textFill>
              </w:rPr>
              <w:t>label-based</w:t>
            </w:r>
            <w:r>
              <w:rPr>
                <w:color w:val="000000" w:themeColor="text1"/>
                <w:sz w:val="20"/>
                <w:szCs w:val="20"/>
                <w14:textFill>
                  <w14:solidFill>
                    <w14:schemeClr w14:val="tx1"/>
                  </w14:solidFill>
                </w14:textFill>
              </w:rPr>
              <w:t xml:space="preserve"> model performance monitoring of AI/ML positioning Case 1, study the following options:</w:t>
            </w:r>
          </w:p>
          <w:p w14:paraId="01C53042">
            <w:pPr>
              <w:pStyle w:val="133"/>
              <w:numPr>
                <w:ilvl w:val="0"/>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 xml:space="preserve">Option 1: the target UE makes the functionality/model management decision/recommendation (e.g., activate or deactivate a model, update a model, fallback to legacy positioning methods) as a result of model performance monitoring. </w:t>
            </w:r>
          </w:p>
          <w:p w14:paraId="04D91757">
            <w:pPr>
              <w:pStyle w:val="133"/>
              <w:numPr>
                <w:ilvl w:val="1"/>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The target UE notifies the LMF of its functionality/model management decision/recommendation.</w:t>
            </w:r>
          </w:p>
          <w:p w14:paraId="17612367">
            <w:pPr>
              <w:pStyle w:val="133"/>
              <w:numPr>
                <w:ilvl w:val="1"/>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Option 1 is at least applicable if Option A (The target UE side performs monitoring metric calculation) is supported.</w:t>
            </w:r>
          </w:p>
          <w:p w14:paraId="0497D2C6">
            <w:pPr>
              <w:pStyle w:val="133"/>
              <w:numPr>
                <w:ilvl w:val="0"/>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Option 2: LMF makes the functionality/model management decision (e.g., functionality/model deactivation, fallback) as a result of model performance monitoring, and notifies the target UE.</w:t>
            </w:r>
          </w:p>
          <w:p w14:paraId="4F7DB629">
            <w:pPr>
              <w:pStyle w:val="133"/>
              <w:numPr>
                <w:ilvl w:val="1"/>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Option 2 is at least applicable if Option B (The LMF performs monitoring metric calculation) is supported.</w:t>
            </w:r>
          </w:p>
          <w:p w14:paraId="24C22E70">
            <w:pPr>
              <w:tabs>
                <w:tab w:val="left" w:pos="786"/>
              </w:tabs>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Note: From RAN1 perspective, related to model inference and model monitoring of AI/ML based positioning, LMF makes the decision on whether to activate or deactivate positioning methods, including methods using  AI/ML positioning.</w:t>
            </w:r>
          </w:p>
          <w:p w14:paraId="487C4366">
            <w:pPr>
              <w:rPr>
                <w:b/>
                <w:color w:val="000000" w:themeColor="text1"/>
                <w:sz w:val="20"/>
                <w:szCs w:val="20"/>
                <w:u w:val="single"/>
                <w14:textFill>
                  <w14:solidFill>
                    <w14:schemeClr w14:val="tx1"/>
                  </w14:solidFill>
                </w14:textFill>
              </w:rPr>
            </w:pPr>
            <w:r>
              <w:rPr>
                <w:b/>
                <w:color w:val="000000" w:themeColor="text1"/>
                <w:sz w:val="20"/>
                <w:szCs w:val="20"/>
                <w:u w:val="single"/>
                <w14:textFill>
                  <w14:solidFill>
                    <w14:schemeClr w14:val="tx1"/>
                  </w14:solidFill>
                </w14:textFill>
              </w:rPr>
              <w:t>Proposal 6.3.4-1</w:t>
            </w:r>
          </w:p>
          <w:p w14:paraId="6232692F">
            <w:pPr>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For </w:t>
            </w:r>
            <w:r>
              <w:rPr>
                <w:b/>
                <w:bCs/>
                <w:color w:val="000000" w:themeColor="text1"/>
                <w:sz w:val="20"/>
                <w:szCs w:val="20"/>
                <w14:textFill>
                  <w14:solidFill>
                    <w14:schemeClr w14:val="tx1"/>
                  </w14:solidFill>
                </w14:textFill>
              </w:rPr>
              <w:t>label-based</w:t>
            </w:r>
            <w:r>
              <w:rPr>
                <w:color w:val="000000" w:themeColor="text1"/>
                <w:sz w:val="20"/>
                <w:szCs w:val="20"/>
                <w14:textFill>
                  <w14:solidFill>
                    <w14:schemeClr w14:val="tx1"/>
                  </w14:solidFill>
                </w14:textFill>
              </w:rPr>
              <w:t xml:space="preserve"> model performance monitoring of AI/ML positioning Case 3a, study the following options:</w:t>
            </w:r>
          </w:p>
          <w:p w14:paraId="42FA14B4">
            <w:pPr>
              <w:pStyle w:val="133"/>
              <w:numPr>
                <w:ilvl w:val="0"/>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 xml:space="preserve">Option 1: the gNB makes the functionality/model management decision/recommendation (e.g., activate or deactivate a model, update a model, fallback to legacy positioning methods) as a result of model performance monitoring. </w:t>
            </w:r>
          </w:p>
          <w:p w14:paraId="0EF9150F">
            <w:pPr>
              <w:pStyle w:val="133"/>
              <w:numPr>
                <w:ilvl w:val="1"/>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The gNB notifies the LMF of its functionality/model management decision/recommendation.</w:t>
            </w:r>
          </w:p>
          <w:p w14:paraId="04A9A7DC">
            <w:pPr>
              <w:pStyle w:val="133"/>
              <w:numPr>
                <w:ilvl w:val="1"/>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Option 1 is at least applicable if Option A (NG-RAN node performs monitoring metric calculation for its own model) is supported.</w:t>
            </w:r>
          </w:p>
          <w:p w14:paraId="7B995A5E">
            <w:pPr>
              <w:pStyle w:val="133"/>
              <w:numPr>
                <w:ilvl w:val="1"/>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Send an LS to RAN3 asking whether existing procedures are sufficient to enable this notification.</w:t>
            </w:r>
          </w:p>
          <w:p w14:paraId="452CB1DF">
            <w:pPr>
              <w:pStyle w:val="133"/>
              <w:numPr>
                <w:ilvl w:val="0"/>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Option 2: LMF makes the functionality/model management decision (e.g., functionality/model deactivation, fallback) as a result of model performance monitoring, and notifies the gNB.</w:t>
            </w:r>
          </w:p>
          <w:p w14:paraId="1799E26C">
            <w:pPr>
              <w:pStyle w:val="133"/>
              <w:numPr>
                <w:ilvl w:val="1"/>
                <w:numId w:val="45"/>
              </w:numPr>
              <w:spacing w:line="276" w:lineRule="auto"/>
              <w:rPr>
                <w:color w:val="000000" w:themeColor="text1"/>
                <w:sz w:val="20"/>
                <w14:textFill>
                  <w14:solidFill>
                    <w14:schemeClr w14:val="tx1"/>
                  </w14:solidFill>
                </w14:textFill>
              </w:rPr>
            </w:pPr>
            <w:r>
              <w:rPr>
                <w:color w:val="000000" w:themeColor="text1"/>
                <w:sz w:val="20"/>
                <w14:textFill>
                  <w14:solidFill>
                    <w14:schemeClr w14:val="tx1"/>
                  </w14:solidFill>
                </w14:textFill>
              </w:rPr>
              <w:t>Option 2 is at least applicable if Option B (LMF performs monitoring metric calculation for the model located at the NG-RAN node) is supported.</w:t>
            </w:r>
          </w:p>
        </w:tc>
      </w:tr>
    </w:tbl>
    <w:p w14:paraId="2AD2CD9B"/>
    <w:p w14:paraId="2DC15BAC">
      <w:r>
        <w:t>During RAN1#119, RAN1 discussed the following proposals on model monitoring.</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3221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42E9D5F7">
            <w:pPr>
              <w:rPr>
                <w:b/>
                <w:bCs/>
                <w:sz w:val="20"/>
                <w:szCs w:val="20"/>
                <w:u w:val="single"/>
              </w:rPr>
            </w:pPr>
            <w:r>
              <w:rPr>
                <w:b/>
                <w:bCs/>
                <w:szCs w:val="20"/>
                <w:u w:val="single"/>
              </w:rPr>
              <w:t>Proposal 6.1.2-2</w:t>
            </w:r>
          </w:p>
          <w:p w14:paraId="1FC24AB6">
            <w:pPr>
              <w:rPr>
                <w:sz w:val="20"/>
                <w:szCs w:val="20"/>
              </w:rPr>
            </w:pPr>
            <w:r>
              <w:rPr>
                <w:szCs w:val="20"/>
              </w:rPr>
              <w:t>For AI/ML based positioning, regarding model performance monitoring, the same entity performs the monitoring metric calculation and model-level monitoring decision making.</w:t>
            </w:r>
          </w:p>
          <w:p w14:paraId="7BB8E3C2">
            <w:pPr>
              <w:rPr>
                <w:b/>
                <w:bCs/>
                <w:sz w:val="20"/>
                <w:szCs w:val="20"/>
                <w:u w:val="single"/>
              </w:rPr>
            </w:pPr>
            <w:r>
              <w:rPr>
                <w:b/>
                <w:bCs/>
                <w:szCs w:val="20"/>
                <w:u w:val="single"/>
              </w:rPr>
              <w:t>Proposal 6.1.2-3</w:t>
            </w:r>
          </w:p>
          <w:p w14:paraId="367B4560">
            <w:pPr>
              <w:rPr>
                <w:sz w:val="20"/>
                <w:szCs w:val="20"/>
              </w:rPr>
            </w:pPr>
            <w:r>
              <w:rPr>
                <w:szCs w:val="20"/>
              </w:rPr>
              <w:t>For AI/ML based positioning all cases, LMF is responsible for functionality-level performance monitoring and management decision making (e.g., functionality selection, activation, deactivation, fallback to a legacy method).</w:t>
            </w:r>
          </w:p>
        </w:tc>
      </w:tr>
    </w:tbl>
    <w:p w14:paraId="269461AB"/>
    <w:p w14:paraId="249B4706">
      <w:r>
        <w:t>Performance monitoring can be roughly split between two levels:</w:t>
      </w:r>
    </w:p>
    <w:p w14:paraId="6C090817">
      <w:r>
        <w:t xml:space="preserve">- </w:t>
      </w:r>
      <w:r>
        <w:rPr>
          <w:b/>
          <w:bCs/>
        </w:rPr>
        <w:t>Model-level</w:t>
      </w:r>
      <w:r>
        <w:t xml:space="preserve"> performance monitoring and management, </w:t>
      </w:r>
    </w:p>
    <w:p w14:paraId="06B9673C">
      <w:r>
        <w:t xml:space="preserve">- </w:t>
      </w:r>
      <w:r>
        <w:rPr>
          <w:b/>
          <w:bCs/>
        </w:rPr>
        <w:t>Functionality-level</w:t>
      </w:r>
      <w:r>
        <w:t xml:space="preserve"> performance monitoring and management. </w:t>
      </w:r>
    </w:p>
    <w:p w14:paraId="11BA16A8">
      <w:r>
        <w:t xml:space="preserve">For the </w:t>
      </w:r>
      <w:r>
        <w:rPr>
          <w:b/>
          <w:bCs/>
        </w:rPr>
        <w:t>model-level</w:t>
      </w:r>
      <w:r>
        <w:t xml:space="preserve"> performance monitoring and management, this includes model performance monitoring metric calculation, the decision making on whether the model performs satisfactorily, and actions to take if the model no longer performs well (e.g., deactivate the current model, switch to an alternative model, trigger model update). For this set of procedure, only the model inference entity has the necessary information to carry out, for example, UE for Case 1, gNB for Case 3a. External entities (e.g., LMF) has no knowledge about the details on the model design to make judgements. There are many detailed information on the model that can affect the performance monitoring and management decisions, including:</w:t>
      </w:r>
    </w:p>
    <w:p w14:paraId="2B03E4CD">
      <w:pPr>
        <w:pStyle w:val="133"/>
        <w:numPr>
          <w:ilvl w:val="1"/>
          <w:numId w:val="11"/>
        </w:numPr>
        <w:ind w:left="720"/>
      </w:pPr>
      <w:r>
        <w:t xml:space="preserve">the type/size/granularity of channel measurements used as model input, </w:t>
      </w:r>
    </w:p>
    <w:p w14:paraId="4F6D6809">
      <w:pPr>
        <w:pStyle w:val="133"/>
        <w:numPr>
          <w:ilvl w:val="1"/>
          <w:numId w:val="11"/>
        </w:numPr>
        <w:ind w:left="720"/>
      </w:pPr>
      <w:r>
        <w:t xml:space="preserve">the model structure (e.g., distributed or centralized model), </w:t>
      </w:r>
    </w:p>
    <w:p w14:paraId="333CF9C3">
      <w:pPr>
        <w:pStyle w:val="133"/>
        <w:numPr>
          <w:ilvl w:val="1"/>
          <w:numId w:val="11"/>
        </w:numPr>
        <w:ind w:left="720"/>
      </w:pPr>
      <w:r>
        <w:t xml:space="preserve">how the model was trained (e.g., whether the model can accommodate a varying number of active TRPs), </w:t>
      </w:r>
    </w:p>
    <w:p w14:paraId="4546752C">
      <w:pPr>
        <w:pStyle w:val="133"/>
        <w:numPr>
          <w:ilvl w:val="1"/>
          <w:numId w:val="11"/>
        </w:numPr>
        <w:ind w:left="720"/>
      </w:pPr>
      <w:r>
        <w:t xml:space="preserve">the generalization capability of the trained model (e.g., whether/what mixed dataset was used in training), </w:t>
      </w:r>
    </w:p>
    <w:p w14:paraId="3B09EFD4">
      <w:pPr>
        <w:pStyle w:val="133"/>
        <w:numPr>
          <w:ilvl w:val="1"/>
          <w:numId w:val="11"/>
        </w:numPr>
        <w:ind w:left="720"/>
      </w:pPr>
      <w:r>
        <w:t xml:space="preserve">pre-processing and feature engineering applied at model input, </w:t>
      </w:r>
    </w:p>
    <w:p w14:paraId="07425F80">
      <w:pPr>
        <w:pStyle w:val="133"/>
        <w:numPr>
          <w:ilvl w:val="1"/>
          <w:numId w:val="11"/>
        </w:numPr>
        <w:ind w:left="720"/>
      </w:pPr>
      <w:r>
        <w:t>postprocessing applied at model output,</w:t>
      </w:r>
    </w:p>
    <w:p w14:paraId="18566FEB">
      <w:pPr>
        <w:pStyle w:val="133"/>
        <w:numPr>
          <w:ilvl w:val="1"/>
          <w:numId w:val="11"/>
        </w:numPr>
        <w:ind w:left="720"/>
      </w:pPr>
      <w:r>
        <w:t>whether an alternative model is available, and if so, the details of the alternative model,</w:t>
      </w:r>
    </w:p>
    <w:p w14:paraId="4710499C">
      <w:pPr>
        <w:pStyle w:val="133"/>
        <w:numPr>
          <w:ilvl w:val="1"/>
          <w:numId w:val="11"/>
        </w:numPr>
        <w:ind w:left="720"/>
      </w:pPr>
      <w:r>
        <w:t xml:space="preserve">whether a performance degradation is intentional and temporary due to run-time constraints of the model host, e.g., power consumption, memory, processing pipeline, coexistence with other functionalities, etc. </w:t>
      </w:r>
    </w:p>
    <w:p w14:paraId="22544217">
      <w:r>
        <w:t xml:space="preserve">With the above considerations, it is clear that the model-level performance monitoring and management have to be handled by the model inference entity, i.e., UE for Case 1, gNB for Case 3a. In other words, self-monitoring should be supported as a baseline, with the detailed procedure up to the implementation.   </w:t>
      </w:r>
    </w:p>
    <w:p w14:paraId="157828AD">
      <w:r>
        <w:t>For direct positioning, the model inference entity should act as the core entity that performs model monitoring. This includes calculation of model monitoring metrics and making (preliminary) model monitoring decision. To support the model monitoring procedure, assistance information may be provided between nodes, for example, LMF may send LOS/NLOS assistance information to UE for Case 1. This is much more efficient than UE sends raw information about the model input and/or model output to LMF, and LMF calculates the model monitoring metrics for the UE.</w:t>
      </w:r>
    </w:p>
    <w:p w14:paraId="3DBD30CA">
      <w:r>
        <w:t xml:space="preserve">For Case 2b and 3b, LMF is the model inference entity. Thus there is no need to define signaling for reporting model performance monitoring decisions. There can be, however, additional signaling to support the LMF decision making in model monitoring. One need is assistance information from UE/gNB to LMF to provide LoS link information (see section </w:t>
      </w:r>
      <w:r>
        <w:fldChar w:fldCharType="begin"/>
      </w:r>
      <w:r>
        <w:instrText xml:space="preserve"> REF _Ref166248755 \r </w:instrText>
      </w:r>
      <w:r>
        <w:fldChar w:fldCharType="separate"/>
      </w:r>
      <w:r>
        <w:t>11.1.1</w:t>
      </w:r>
      <w:r>
        <w:fldChar w:fldCharType="end"/>
      </w:r>
      <w:r>
        <w:t xml:space="preserve">). Also LMF could request support from UE/gNB to validate the AI/ML model input. </w:t>
      </w:r>
    </w:p>
    <w:p w14:paraId="1E059B36">
      <w:r>
        <w:t>For assisted positioning, the model inference entity should also act as the core entity that performs model monitoring for itself. To support the calculation of model monitoring metrics, the LMF can help by providing the estimated ground truth to the model inference entity (i.e., UE for Case 2a, gNB for Case 3a), where the estimated ground truth is generated by the LMF using the associated conventional positioning methods.</w:t>
      </w:r>
    </w:p>
    <w:p w14:paraId="4ADA61DB">
      <w:r>
        <w:t xml:space="preserve">For </w:t>
      </w:r>
      <w:r>
        <w:rPr>
          <w:b/>
          <w:bCs/>
        </w:rPr>
        <w:t>functionality-level</w:t>
      </w:r>
      <w:r>
        <w:t xml:space="preserve"> performance monitoring and management, the LMF is the responsible node in the positioning framework architecture. For Rel-19, LMF should continue to be responsible. That is, with the introduction of AI/ML based positioning, LMF continues to maintain its role as described in TS 38.305:</w:t>
      </w:r>
    </w:p>
    <w:p w14:paraId="36E8FA28">
      <w:pPr>
        <w:ind w:left="567"/>
        <w:rPr>
          <w:i/>
          <w:iCs/>
        </w:rPr>
      </w:pPr>
      <w:r>
        <w:rPr>
          <w:i/>
          <w:iCs/>
        </w:rPr>
        <w:t xml:space="preserve">“For positioning of a target UE, the </w:t>
      </w:r>
      <w:r>
        <w:rPr>
          <w:i/>
          <w:iCs/>
          <w:color w:val="FF0000"/>
        </w:rPr>
        <w:t>LMF decides on the position methods to be used</w:t>
      </w:r>
      <w:r>
        <w:rPr>
          <w:i/>
          <w:iCs/>
        </w:rPr>
        <w:t xml:space="preserve">, based on factors that may include the LCS Client type, the required QoS, UE positioning capabilities, gNB positioning capabilities and ng-eNB positioning capabilities. </w:t>
      </w:r>
      <w:r>
        <w:rPr>
          <w:i/>
          <w:iCs/>
          <w:color w:val="FF0000"/>
        </w:rPr>
        <w:t>The LMF then invokes these positioning methods in the UE, serving gNB and/or serving ng</w:t>
      </w:r>
      <w:r>
        <w:rPr>
          <w:i/>
          <w:iCs/>
          <w:color w:val="FF0000"/>
        </w:rPr>
        <w:noBreakHyphen/>
      </w:r>
      <w:r>
        <w:rPr>
          <w:i/>
          <w:iCs/>
          <w:color w:val="FF0000"/>
        </w:rPr>
        <w:t xml:space="preserve">eNB. </w:t>
      </w:r>
      <w:r>
        <w:rPr>
          <w:i/>
          <w:iCs/>
        </w:rPr>
        <w:t xml:space="preserve">The positioning methods may yield a location estimate for UE-based position methods and/or positioning measurements for UE-assisted and network-based position methods. </w:t>
      </w:r>
      <w:r>
        <w:rPr>
          <w:i/>
          <w:iCs/>
          <w:color w:val="FF0000"/>
        </w:rPr>
        <w:t xml:space="preserve">The LMF may combine all the received results and determine a single location estimate for the target UE (hybrid positioning). </w:t>
      </w:r>
      <w:r>
        <w:rPr>
          <w:i/>
          <w:iCs/>
        </w:rPr>
        <w:t>Additional information like accuracy of the location estimate and velocity may also be determined.”</w:t>
      </w:r>
    </w:p>
    <w:p w14:paraId="22D1A414">
      <w:pPr>
        <w:tabs>
          <w:tab w:val="left" w:pos="0"/>
        </w:tabs>
      </w:pPr>
      <w:r>
        <w:t>In general, LMF is responsible for selecting/activating the desired positioning methods, taking into account the positioning accuracy requirement. LMF manage the positioning functionality, but it does not have detailed information to manage individual models residing at gNB or UE.</w:t>
      </w:r>
    </w:p>
    <w:p w14:paraId="1A4B5481">
      <w:r>
        <w:t xml:space="preserve">Thus, for functionality-level decision making, the LMF is responsible.  RAN2 has agreed to continue with the legacy principle based on LMF-driven functionality management for the positioning method, with UE providing feedback  on whether the functionality is applicable to the UE based on capability reporting or error cause reporting: </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1BD02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01E35385">
            <w:pPr>
              <w:rPr>
                <w:rFonts w:ascii="Times New Roman" w:hAnsi="Times New Roman" w:cs="Times New Roman"/>
                <w:b/>
                <w:sz w:val="20"/>
                <w:szCs w:val="20"/>
              </w:rPr>
            </w:pPr>
            <w:r>
              <w:rPr>
                <w:rFonts w:ascii="Times New Roman" w:hAnsi="Times New Roman" w:eastAsia="Calibri" w:cs="Times New Roman"/>
                <w:b/>
                <w:sz w:val="20"/>
                <w:szCs w:val="20"/>
                <w:highlight w:val="green"/>
              </w:rPr>
              <w:t>Agreements</w:t>
            </w:r>
            <w:r>
              <w:rPr>
                <w:rFonts w:ascii="Times New Roman" w:hAnsi="Times New Roman" w:eastAsia="Calibri" w:cs="Times New Roman"/>
                <w:b/>
                <w:sz w:val="20"/>
                <w:szCs w:val="20"/>
              </w:rPr>
              <w:t xml:space="preserve"> (RAN2#125bis):</w:t>
            </w:r>
          </w:p>
          <w:p w14:paraId="0907C13A">
            <w:pPr>
              <w:rPr>
                <w:rFonts w:ascii="Times New Roman" w:hAnsi="Times New Roman" w:cs="Times New Roman"/>
                <w:sz w:val="20"/>
                <w:szCs w:val="20"/>
              </w:rPr>
            </w:pPr>
            <w:r>
              <w:rPr>
                <w:rFonts w:ascii="Times New Roman" w:hAnsi="Times New Roman" w:eastAsia="Calibri" w:cs="Times New Roman"/>
                <w:sz w:val="20"/>
                <w:szCs w:val="20"/>
              </w:rPr>
              <w:t>1</w:t>
            </w:r>
            <w:r>
              <w:rPr>
                <w:rFonts w:ascii="Times New Roman" w:hAnsi="Times New Roman" w:eastAsia="Calibri" w:cs="Times New Roman"/>
                <w:sz w:val="20"/>
                <w:szCs w:val="20"/>
              </w:rPr>
              <w:tab/>
            </w:r>
            <w:r>
              <w:rPr>
                <w:rFonts w:ascii="Times New Roman" w:hAnsi="Times New Roman" w:eastAsia="Calibri" w:cs="Times New Roman"/>
                <w:sz w:val="20"/>
                <w:szCs w:val="20"/>
              </w:rPr>
              <w:t xml:space="preserve">For UE-sided model, for the functionality management, the “network decision, network-initiated” AI/ML management is supported as a baseline.  The following can be considered further “UE autonomous, decision reported to the network”, “Network decision, UE-initiated” (i.e. proactive approach).  </w:t>
            </w:r>
          </w:p>
          <w:p w14:paraId="0F3CBE34">
            <w:pPr>
              <w:pStyle w:val="176"/>
              <w:spacing w:before="0" w:beforeAutospacing="0" w:after="0" w:afterAutospacing="0"/>
              <w:ind w:left="360" w:hanging="360"/>
              <w:textAlignment w:val="baseline"/>
              <w:rPr>
                <w:rFonts w:eastAsia="Calibri"/>
                <w:sz w:val="20"/>
                <w:szCs w:val="20"/>
              </w:rPr>
            </w:pPr>
            <w:r>
              <w:rPr>
                <w:rFonts w:eastAsia="Calibri"/>
                <w:sz w:val="20"/>
                <w:szCs w:val="20"/>
              </w:rPr>
              <w:t>2</w:t>
            </w:r>
            <w:r>
              <w:rPr>
                <w:rFonts w:eastAsia="Calibri"/>
                <w:sz w:val="20"/>
                <w:szCs w:val="20"/>
              </w:rPr>
              <w:tab/>
            </w:r>
            <w:r>
              <w:rPr>
                <w:rFonts w:eastAsia="Calibri"/>
                <w:sz w:val="20"/>
                <w:szCs w:val="20"/>
              </w:rPr>
              <w:t>“UE-autonomous, UE’s decision is not reported to the network” is not considered for Rel-19</w:t>
            </w:r>
          </w:p>
          <w:p w14:paraId="31EE6325">
            <w:pPr>
              <w:pStyle w:val="176"/>
              <w:spacing w:before="0" w:beforeAutospacing="0" w:after="0" w:afterAutospacing="0"/>
              <w:ind w:left="360" w:hanging="360"/>
              <w:textAlignment w:val="baseline"/>
              <w:rPr>
                <w:rStyle w:val="177"/>
                <w:rFonts w:eastAsia="Calibri"/>
                <w:b/>
                <w:sz w:val="20"/>
                <w:szCs w:val="20"/>
              </w:rPr>
            </w:pPr>
          </w:p>
          <w:p w14:paraId="56F59554">
            <w:pPr>
              <w:pStyle w:val="176"/>
              <w:spacing w:before="0" w:beforeAutospacing="0" w:after="0" w:afterAutospacing="0"/>
              <w:ind w:left="360" w:hanging="360"/>
              <w:textAlignment w:val="baseline"/>
              <w:rPr>
                <w:sz w:val="20"/>
                <w:szCs w:val="20"/>
              </w:rPr>
            </w:pPr>
            <w:r>
              <w:rPr>
                <w:rStyle w:val="177"/>
                <w:b/>
                <w:sz w:val="20"/>
                <w:szCs w:val="20"/>
                <w:highlight w:val="green"/>
              </w:rPr>
              <w:t>Agreements</w:t>
            </w:r>
            <w:r>
              <w:rPr>
                <w:rStyle w:val="177"/>
                <w:b/>
                <w:sz w:val="20"/>
                <w:szCs w:val="20"/>
              </w:rPr>
              <w:t> (RAN2#128, Nov 2024)</w:t>
            </w:r>
            <w:r>
              <w:rPr>
                <w:rStyle w:val="178"/>
                <w:sz w:val="20"/>
                <w:szCs w:val="20"/>
              </w:rPr>
              <w:t> </w:t>
            </w:r>
          </w:p>
          <w:p w14:paraId="266EA7C3">
            <w:pPr>
              <w:pStyle w:val="176"/>
              <w:spacing w:before="0" w:beforeAutospacing="0" w:after="0" w:afterAutospacing="0"/>
              <w:ind w:left="360" w:hanging="360"/>
              <w:textAlignment w:val="baseline"/>
              <w:rPr>
                <w:sz w:val="20"/>
                <w:szCs w:val="20"/>
              </w:rPr>
            </w:pPr>
            <w:r>
              <w:rPr>
                <w:rStyle w:val="177"/>
                <w:sz w:val="20"/>
                <w:szCs w:val="20"/>
              </w:rPr>
              <w:t>1</w:t>
            </w:r>
            <w:r>
              <w:rPr>
                <w:rStyle w:val="179"/>
                <w:sz w:val="20"/>
                <w:szCs w:val="20"/>
              </w:rPr>
              <w:tab/>
            </w:r>
            <w:r>
              <w:rPr>
                <w:rStyle w:val="177"/>
                <w:sz w:val="20"/>
                <w:szCs w:val="20"/>
              </w:rPr>
              <w:t>For POS Case 1, RAN2 confirm that the existing unsolicited UE capability report mechanism in LPP can support UE to report the applicable functionality in both “proactive” and “reactive” as a baseline.</w:t>
            </w:r>
            <w:r>
              <w:rPr>
                <w:rStyle w:val="178"/>
                <w:sz w:val="20"/>
                <w:szCs w:val="20"/>
              </w:rPr>
              <w:t> </w:t>
            </w:r>
          </w:p>
          <w:p w14:paraId="7E269B0F">
            <w:pPr>
              <w:pStyle w:val="176"/>
              <w:spacing w:before="0" w:beforeAutospacing="0" w:after="0" w:afterAutospacing="0"/>
              <w:ind w:left="540" w:hanging="360"/>
              <w:textAlignment w:val="baseline"/>
              <w:rPr>
                <w:sz w:val="20"/>
                <w:szCs w:val="20"/>
              </w:rPr>
            </w:pPr>
            <w:r>
              <w:rPr>
                <w:rStyle w:val="177"/>
                <w:sz w:val="20"/>
                <w:szCs w:val="20"/>
              </w:rPr>
              <w:t xml:space="preserve">- </w:t>
            </w:r>
            <w:r>
              <w:rPr>
                <w:rStyle w:val="179"/>
                <w:sz w:val="20"/>
                <w:szCs w:val="20"/>
              </w:rPr>
              <w:tab/>
            </w:r>
            <w:r>
              <w:rPr>
                <w:rStyle w:val="177"/>
                <w:sz w:val="20"/>
                <w:szCs w:val="20"/>
              </w:rPr>
              <w:t>Proactive case: When the applicability change, UE can send an unsolicited LPP ProvideCapabilities message to LMF .</w:t>
            </w:r>
            <w:r>
              <w:rPr>
                <w:rStyle w:val="178"/>
                <w:sz w:val="20"/>
                <w:szCs w:val="20"/>
              </w:rPr>
              <w:t> </w:t>
            </w:r>
          </w:p>
          <w:p w14:paraId="2A1789A2">
            <w:pPr>
              <w:pStyle w:val="176"/>
              <w:spacing w:before="0" w:beforeAutospacing="0" w:after="0" w:afterAutospacing="0"/>
              <w:ind w:left="540" w:hanging="360"/>
              <w:textAlignment w:val="baseline"/>
              <w:rPr>
                <w:sz w:val="20"/>
                <w:szCs w:val="20"/>
              </w:rPr>
            </w:pPr>
            <w:r>
              <w:rPr>
                <w:rStyle w:val="177"/>
                <w:sz w:val="20"/>
                <w:szCs w:val="20"/>
              </w:rPr>
              <w:t>-</w:t>
            </w:r>
            <w:r>
              <w:rPr>
                <w:rStyle w:val="179"/>
                <w:sz w:val="20"/>
                <w:szCs w:val="20"/>
              </w:rPr>
              <w:tab/>
            </w:r>
            <w:r>
              <w:rPr>
                <w:rStyle w:val="177"/>
                <w:sz w:val="20"/>
                <w:szCs w:val="20"/>
              </w:rPr>
              <w:t>Reactive case: If the applicability changes based on the configuration in LPP ProvideAssistanceData message in step 3, UE can send an unsolicited LPP ProvideCapabilities message to LMF.  Configuration details are FFS </w:t>
            </w:r>
            <w:r>
              <w:rPr>
                <w:rStyle w:val="178"/>
                <w:sz w:val="20"/>
                <w:szCs w:val="20"/>
              </w:rPr>
              <w:t> </w:t>
            </w:r>
          </w:p>
          <w:p w14:paraId="6407D701">
            <w:pPr>
              <w:pStyle w:val="176"/>
              <w:spacing w:before="0" w:beforeAutospacing="0" w:after="0" w:afterAutospacing="0"/>
              <w:ind w:left="360" w:hanging="360"/>
              <w:textAlignment w:val="baseline"/>
              <w:rPr>
                <w:sz w:val="20"/>
                <w:szCs w:val="20"/>
              </w:rPr>
            </w:pPr>
            <w:r>
              <w:rPr>
                <w:rStyle w:val="177"/>
                <w:sz w:val="20"/>
                <w:szCs w:val="20"/>
              </w:rPr>
              <w:t>2     As a baseline, If the AIML based positioning method becomes non-applicable when LMF requests UE location estimation, UE cannot perform the AIML based positioning, and reply with LPP Providelocationinformation message with error cause.  FFS if other fallback options are considered</w:t>
            </w:r>
            <w:r>
              <w:rPr>
                <w:rStyle w:val="178"/>
                <w:sz w:val="20"/>
                <w:szCs w:val="20"/>
              </w:rPr>
              <w:t> </w:t>
            </w:r>
          </w:p>
        </w:tc>
      </w:tr>
    </w:tbl>
    <w:p w14:paraId="28C21B02"/>
    <w:p w14:paraId="4145CE8C">
      <w:r>
        <w:t xml:space="preserve">Thus, for both label-based or label-free monitoring, the LMF should still be able to request the UE/gNB to send model-level monitoring updates. </w:t>
      </w:r>
    </w:p>
    <w:p w14:paraId="2E11BAA9"/>
    <w:p w14:paraId="7932AB26">
      <w:pPr>
        <w:pStyle w:val="73"/>
      </w:pPr>
      <w:bookmarkStart w:id="2201" w:name="_Toc189845158"/>
      <w:r>
        <w:t>The model inference entity is responsible for model-level performance monitoring and management, including calculation of model monitoring metrics. The detailed algorithm and procedure are up to implementation.</w:t>
      </w:r>
      <w:bookmarkEnd w:id="2201"/>
    </w:p>
    <w:p w14:paraId="27DCD521">
      <w:pPr>
        <w:pStyle w:val="73"/>
      </w:pPr>
      <w:bookmarkStart w:id="2202" w:name="_Toc189845159"/>
      <w:r>
        <w:t>For AI/ML based positioning, LMF is responsible for functionality-level performance monitoring and management.</w:t>
      </w:r>
      <w:bookmarkEnd w:id="2202"/>
      <w:r>
        <w:t xml:space="preserve">  </w:t>
      </w:r>
    </w:p>
    <w:p w14:paraId="23251C23"/>
    <w:p w14:paraId="03BD221B">
      <w:r>
        <w:t xml:space="preserve">For Case 1, beyond monitoring the deployed model by UE, some additional validation or supervision may be necessary to ensure a reliable system-level performance. </w:t>
      </w:r>
      <w:r>
        <w:rPr>
          <w:rFonts w:eastAsia="Calibri"/>
        </w:rPr>
        <w:t>Specifically,</w:t>
      </w:r>
      <w:r>
        <w:t xml:space="preserve"> LMF may need to check from time to time whether the AI/ML model in UE works well or not. For this purpose, the UE can report model quality information to LMF periodically or when triggered by LMF. The model quality information may include: model monitoring decisions by UE, quality of the model output (e.g., uncertainty and confidence of model output). This allows the LMF to supervise the UE's AI/ML positioning functionality at a high level.</w:t>
      </w:r>
    </w:p>
    <w:p w14:paraId="5C885289">
      <w:r>
        <w:t>Similarly, for Case 3a, the LMF need to supervise gNB’s AI/ML positioning functionality at a high level. LMF can check the quality of model output reported by gNB. In addition, the gNB can report its model monitoring decisions to LMF periodically or when triggered by LMF. Specifically, the gNB can feedback model monitoring decision to the LMF using e.g. measurement error with cause value. The signaling details are up to RAN3.</w:t>
      </w:r>
    </w:p>
    <w:p w14:paraId="41459B94">
      <w:r>
        <w:rPr>
          <w:i/>
          <w:iCs/>
        </w:rPr>
        <w:t>i</w:t>
      </w:r>
      <w:r>
        <w:t xml:space="preserve">n terms of functionality management, the LMF can decide to deactivate the AI/ML based positioning </w:t>
      </w:r>
      <w:r>
        <w:rPr>
          <w:i/>
          <w:iCs/>
          <w:u w:val="single"/>
        </w:rPr>
        <w:t>methods</w:t>
      </w:r>
      <w:r>
        <w:t xml:space="preserve">, e.g., if the LMF decides that the model is no longer appropriate for the deployment. For example, for Case 1/2a/3a, it can be understood the model inference entity (UE, gNB) performs model monitoring and makes preliminary model monitoring decision, while LMF can make the final decision such as </w:t>
      </w:r>
      <w:r>
        <w:rPr>
          <w:color w:val="000000" w:themeColor="text1"/>
          <w:szCs w:val="20"/>
          <w14:textFill>
            <w14:solidFill>
              <w14:schemeClr w14:val="tx1"/>
            </w14:solidFill>
          </w14:textFill>
        </w:rPr>
        <w:t>functionality deactivation, fallback to a legacy method</w:t>
      </w:r>
      <w:r>
        <w:t xml:space="preserve">. Fallback can be done by implementation in the LMF, no additional specification is needed. </w:t>
      </w:r>
    </w:p>
    <w:p w14:paraId="70ADBE75">
      <w:pPr>
        <w:pStyle w:val="73"/>
      </w:pPr>
      <w:bookmarkStart w:id="2203" w:name="_Toc189845160"/>
      <w:r>
        <w:t>For AI/ML based positioning, LMF can decide on a fallback method based on performance monitoring reports from the UE/gNB</w:t>
      </w:r>
      <w:bookmarkEnd w:id="2203"/>
    </w:p>
    <w:p w14:paraId="3863CCD8">
      <w:pPr>
        <w:pStyle w:val="73"/>
        <w:numPr>
          <w:ilvl w:val="1"/>
          <w:numId w:val="11"/>
        </w:numPr>
      </w:pPr>
      <w:bookmarkStart w:id="2204" w:name="_Toc189845161"/>
      <w:r>
        <w:t>Note: there is no specification impact needed to enable a fallback mechanism.</w:t>
      </w:r>
      <w:bookmarkEnd w:id="2204"/>
      <w:r>
        <w:t xml:space="preserve"> </w:t>
      </w:r>
    </w:p>
    <w:p w14:paraId="71D5A7CD">
      <w:pPr>
        <w:pStyle w:val="3"/>
      </w:pPr>
      <w:bookmarkStart w:id="2205" w:name="_Toc189125207"/>
      <w:bookmarkEnd w:id="2205"/>
      <w:bookmarkStart w:id="2206" w:name="_Toc189125209"/>
      <w:bookmarkEnd w:id="2206"/>
      <w:bookmarkStart w:id="2207" w:name="_Toc189125208"/>
      <w:bookmarkEnd w:id="2207"/>
      <w:bookmarkStart w:id="2208" w:name="_Toc189845042"/>
      <w:bookmarkStart w:id="2209" w:name="_Ref189836809"/>
      <w:r>
        <w:rPr>
          <w:lang w:val="en-US"/>
        </w:rPr>
        <w:t>Self-monitoring: Label-free or label-based</w:t>
      </w:r>
      <w:bookmarkEnd w:id="2208"/>
      <w:bookmarkEnd w:id="2209"/>
    </w:p>
    <w:p w14:paraId="2C936327"/>
    <w:p w14:paraId="2D4F966D">
      <w:r>
        <w:t>During RAN1#119 label-free monitoring was captured in the FL summary with the following proposal:</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0E84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614AA378">
            <w:pPr>
              <w:rPr>
                <w:b/>
                <w:bCs/>
                <w:sz w:val="20"/>
                <w:szCs w:val="20"/>
                <w:u w:val="single"/>
              </w:rPr>
            </w:pPr>
            <w:r>
              <w:rPr>
                <w:b/>
                <w:bCs/>
                <w:szCs w:val="20"/>
                <w:u w:val="single"/>
              </w:rPr>
              <w:t>Proposal 6.1.2-1</w:t>
            </w:r>
          </w:p>
          <w:p w14:paraId="076E2490">
            <w:pPr>
              <w:rPr>
                <w:sz w:val="20"/>
                <w:szCs w:val="20"/>
              </w:rPr>
            </w:pPr>
            <w:r>
              <w:rPr>
                <w:szCs w:val="20"/>
              </w:rPr>
              <w:t xml:space="preserve">For AI/ML positioning Cases, label-free monitoring methods are supported, where the model inference entity performs self-monitoring without external information on the ground truth label. </w:t>
            </w:r>
          </w:p>
          <w:p w14:paraId="277D665B">
            <w:pPr>
              <w:pStyle w:val="133"/>
              <w:widowControl w:val="0"/>
              <w:numPr>
                <w:ilvl w:val="0"/>
                <w:numId w:val="53"/>
              </w:numPr>
              <w:spacing w:after="80"/>
              <w:rPr>
                <w:sz w:val="20"/>
              </w:rPr>
            </w:pPr>
            <w:r>
              <w:t xml:space="preserve">For Case 1 and Case 3a, the UE (Case 1) and gNB (Case 3a) sends the monitoring decision to LMF, at least when the monitoring decision indicates that the model becomes inappropriate for inference. </w:t>
            </w:r>
          </w:p>
          <w:p w14:paraId="10CC73D3">
            <w:pPr>
              <w:pStyle w:val="133"/>
              <w:widowControl w:val="0"/>
              <w:numPr>
                <w:ilvl w:val="0"/>
                <w:numId w:val="53"/>
              </w:numPr>
              <w:spacing w:after="80"/>
              <w:rPr>
                <w:sz w:val="20"/>
              </w:rPr>
            </w:pPr>
            <w:r>
              <w:t>FFS: other specification impact (e.g., assistance data).</w:t>
            </w:r>
          </w:p>
        </w:tc>
      </w:tr>
    </w:tbl>
    <w:p w14:paraId="427123A4"/>
    <w:p w14:paraId="097120D3">
      <w:r>
        <w:t xml:space="preserve">For AI/ML based positioning, model performance monitoring was studied in Rel-18 study item phase. Both label-based methods and label-free methods were explored. If true ground truth label can be found, it is preferred to use label-based method and monitor the accuracy of model output directly. However, for real life deployment, the problem is, ground truth label or its estimation is rarely available during model deployment. </w:t>
      </w:r>
    </w:p>
    <w:p w14:paraId="5404F4C0">
      <w:r>
        <w:t>For label-free model performance monitoring, as discussed in Rel-18 SI, the monitoring metrics can be various formats depending on the method:</w:t>
      </w:r>
    </w:p>
    <w:p w14:paraId="5D2E4922">
      <w:pPr>
        <w:pStyle w:val="133"/>
        <w:numPr>
          <w:ilvl w:val="0"/>
          <w:numId w:val="51"/>
        </w:numPr>
      </w:pPr>
      <w:r>
        <w:t xml:space="preserve">statistics of measurement(s) compared to the statistics associated with the training data, </w:t>
      </w:r>
    </w:p>
    <w:p w14:paraId="53B87FF5">
      <w:pPr>
        <w:pStyle w:val="133"/>
        <w:numPr>
          <w:ilvl w:val="0"/>
          <w:numId w:val="51"/>
        </w:numPr>
      </w:pPr>
      <w:r>
        <w:t>statistics associated with the model output,</w:t>
      </w:r>
    </w:p>
    <w:p w14:paraId="6811B557">
      <w:pPr>
        <w:pStyle w:val="133"/>
        <w:numPr>
          <w:ilvl w:val="0"/>
          <w:numId w:val="51"/>
        </w:numPr>
      </w:pPr>
      <w:r>
        <w:t xml:space="preserve">relative displacement, </w:t>
      </w:r>
    </w:p>
    <w:p w14:paraId="0A66B48F">
      <w:pPr>
        <w:pStyle w:val="133"/>
        <w:numPr>
          <w:ilvl w:val="0"/>
          <w:numId w:val="51"/>
        </w:numPr>
      </w:pPr>
      <w:r>
        <w:t xml:space="preserve">inference output inconsistency (e.g., approach 3 in section </w:t>
      </w:r>
      <w:r>
        <w:fldChar w:fldCharType="begin"/>
      </w:r>
      <w:r>
        <w:instrText xml:space="preserve"> REF _Ref166232203 \r </w:instrText>
      </w:r>
      <w:r>
        <w:fldChar w:fldCharType="separate"/>
      </w:r>
      <w:r>
        <w:t>11.1.3</w:t>
      </w:r>
      <w:r>
        <w:fldChar w:fldCharType="end"/>
      </w:r>
      <w:r>
        <w:t>),</w:t>
      </w:r>
    </w:p>
    <w:p w14:paraId="21297F48">
      <w:pPr>
        <w:pStyle w:val="133"/>
        <w:numPr>
          <w:ilvl w:val="0"/>
          <w:numId w:val="51"/>
        </w:numPr>
      </w:pPr>
      <w:r>
        <w:t>…</w:t>
      </w:r>
    </w:p>
    <w:p w14:paraId="5004C2E0">
      <w:r>
        <w:t xml:space="preserve">There is no effort to acquire ground truth label or its approximation or substitution. The calculation of monitoring metric is up to implementation. It is not feasible to align the monitoring metric among the different monitoring methods, or align on a threshold for decision making at the end of model monitoring. Hence the entire model performance monitoring procedure is self-contained within the model inference entity, i.e., no need to receive assistance data on ground truth label; no need to send monitoring metric to another entity; no need to receive thresholds or criteria for decision making. The only potential specification impact is to notify other entities of the model monitoring decision, if necessary. </w:t>
      </w:r>
    </w:p>
    <w:p w14:paraId="61B4DD6B">
      <w:pPr>
        <w:pStyle w:val="97"/>
      </w:pPr>
      <w:bookmarkStart w:id="2210" w:name="_Toc189845091"/>
      <w:r>
        <w:t>Label-free model performance monitoring is up to implementation of model inference entity. The only potential specification impact is to notify other entities of the model monitoring decision, if necessary.</w:t>
      </w:r>
      <w:bookmarkEnd w:id="2210"/>
    </w:p>
    <w:p w14:paraId="729F4E19"/>
    <w:p w14:paraId="64841B6D">
      <w:r>
        <w:t>For label-based model performance monitoring, as discussed in Rel-18 SI, the monitoring metric is:</w:t>
      </w:r>
    </w:p>
    <w:p w14:paraId="3B1D18AA">
      <w:pPr>
        <w:pStyle w:val="133"/>
        <w:numPr>
          <w:ilvl w:val="0"/>
          <w:numId w:val="51"/>
        </w:numPr>
      </w:pPr>
      <w:r>
        <w:t>statistics of the difference between model output and provided ground truth label (or its approximation/substitution).</w:t>
      </w:r>
    </w:p>
    <w:p w14:paraId="4F622210"/>
    <w:p w14:paraId="6647F318">
      <w:r>
        <w:t xml:space="preserve">Thus there is a need to provide ground truth label (or its approximation/substitution). </w:t>
      </w:r>
    </w:p>
    <w:p w14:paraId="7145C88A">
      <w:pPr>
        <w:pStyle w:val="133"/>
        <w:numPr>
          <w:ilvl w:val="0"/>
          <w:numId w:val="51"/>
        </w:numPr>
      </w:pPr>
      <w:r>
        <w:t xml:space="preserve">If certain information on the ground truth label can be generated by the model inference entity (e.g., a variant of approach 1 of section </w:t>
      </w:r>
      <w:r>
        <w:fldChar w:fldCharType="begin"/>
      </w:r>
      <w:r>
        <w:instrText xml:space="preserve">REF _Ref166232055 \r</w:instrText>
      </w:r>
      <w:r>
        <w:fldChar w:fldCharType="separate"/>
      </w:r>
      <w:r>
        <w:t>11.1.1</w:t>
      </w:r>
      <w:r>
        <w:fldChar w:fldCharType="end"/>
      </w:r>
      <w:r>
        <w:t xml:space="preserve">), then such label-based model performance monitoring is also self-contained and up to implementation of model inference entity. </w:t>
      </w:r>
    </w:p>
    <w:p w14:paraId="1D2B5AC2">
      <w:pPr>
        <w:pStyle w:val="133"/>
        <w:numPr>
          <w:ilvl w:val="0"/>
          <w:numId w:val="51"/>
        </w:numPr>
      </w:pPr>
      <w:r>
        <w:t>On the other hand, if the information on the ground truth label has to be provided by another entity, then signaling needs to be specified so that model output and ground truth label information are brought together to the model monitoring entity. If the model monitoring entity is different than the model inference entity, then signaling is also needed to send the monitoring decision.</w:t>
      </w:r>
    </w:p>
    <w:p w14:paraId="6BD2CE4C">
      <w:pPr>
        <w:pStyle w:val="133"/>
        <w:numPr>
          <w:ilvl w:val="1"/>
          <w:numId w:val="51"/>
        </w:numPr>
      </w:pPr>
      <w:r>
        <w:t xml:space="preserve">Still, it is infeasible to align the exact monitoring metric calculation, or align on a threshold for decision making at the end of model monitoring. This imposes unacceptable difficulty to specify them over a standardized interface. </w:t>
      </w:r>
    </w:p>
    <w:p w14:paraId="65CFF920">
      <w:pPr>
        <w:ind w:left="1080"/>
      </w:pPr>
    </w:p>
    <w:p w14:paraId="23458B49">
      <w:r>
        <w:t xml:space="preserve">Considering the above, similar to label-free monitoring, for label-based monitoring, a same entity should perform both monitoring metric calculation and monitoring decision making regarding how to handle the </w:t>
      </w:r>
      <w:r>
        <w:rPr>
          <w:i/>
          <w:iCs/>
        </w:rPr>
        <w:t>model</w:t>
      </w:r>
      <w:r>
        <w:t>. That is, self-monitoring is the baseline for all cases.  Note that the network (i.e., LMF) is still in charge of the positioning procedure at large (i.e., LMF for functionality-level monitoring), and may decide to interrupt the positioning procedure based on received information.</w:t>
      </w:r>
    </w:p>
    <w:p w14:paraId="3DFD3BF2">
      <w:pPr>
        <w:pStyle w:val="133"/>
        <w:numPr>
          <w:ilvl w:val="0"/>
          <w:numId w:val="0"/>
        </w:numPr>
        <w:ind w:left="1440"/>
      </w:pPr>
    </w:p>
    <w:p w14:paraId="6D4407AD">
      <w:pPr>
        <w:pStyle w:val="97"/>
      </w:pPr>
      <w:bookmarkStart w:id="2211" w:name="_Toc189845092"/>
      <w:r>
        <w:t>If certain information on the ground truth label can be generated by the model inference entity, then such label-based model performance monitoring is also self-contained and up to implementation of model inference entity. The only potential specification impact is to notify other entities of the model monitoring decision, if necessary.</w:t>
      </w:r>
      <w:bookmarkEnd w:id="2211"/>
    </w:p>
    <w:p w14:paraId="7BAA9FD4">
      <w:pPr>
        <w:rPr>
          <w:b/>
          <w:bCs/>
        </w:rPr>
      </w:pPr>
    </w:p>
    <w:p w14:paraId="5BC286CB">
      <w:pPr>
        <w:pStyle w:val="73"/>
      </w:pPr>
      <w:bookmarkStart w:id="2212" w:name="_Toc189845162"/>
      <w:r>
        <w:t>For AI/ML positioning Cases, LMF based functionality management using label-free monitoring methods are supported, where the model inference entity performs self-monitoring without external information on the ground truth label.</w:t>
      </w:r>
      <w:bookmarkEnd w:id="2212"/>
    </w:p>
    <w:p w14:paraId="2EC6BDC5">
      <w:pPr>
        <w:pStyle w:val="73"/>
      </w:pPr>
      <w:bookmarkStart w:id="2213" w:name="_Toc189845163"/>
      <w:r>
        <w:t>For AI/ML positioning Cases, self-monitoring is the baseline,  where the model inference entity performs self-monitoring with or without external information on the ground truth label (i.e., label-free or label-based).</w:t>
      </w:r>
      <w:bookmarkEnd w:id="2213"/>
    </w:p>
    <w:p w14:paraId="50BA0079">
      <w:pPr>
        <w:pStyle w:val="73"/>
        <w:numPr>
          <w:ilvl w:val="1"/>
          <w:numId w:val="11"/>
        </w:numPr>
      </w:pPr>
      <w:bookmarkStart w:id="2214" w:name="_Toc189845164"/>
      <w:r>
        <w:t>The detailed self-monitoring method and decision-making are up to the implementation of the model inference entity (gNB or UE or LMF).</w:t>
      </w:r>
      <w:bookmarkEnd w:id="2214"/>
    </w:p>
    <w:p w14:paraId="0AB0FCEC">
      <w:pPr>
        <w:pStyle w:val="73"/>
        <w:numPr>
          <w:ilvl w:val="1"/>
          <w:numId w:val="11"/>
        </w:numPr>
      </w:pPr>
      <w:bookmarkStart w:id="2215" w:name="_Toc189845165"/>
      <w:r>
        <w:t>The LMF can request / configure the reporting of monitoring outcome by the model inference entity when it’s gNB or UE.</w:t>
      </w:r>
      <w:bookmarkEnd w:id="2215"/>
      <w:r>
        <w:t xml:space="preserve"> </w:t>
      </w:r>
    </w:p>
    <w:p w14:paraId="42E3B0D7">
      <w:pPr>
        <w:pStyle w:val="73"/>
        <w:numPr>
          <w:ilvl w:val="1"/>
          <w:numId w:val="11"/>
        </w:numPr>
      </w:pPr>
      <w:bookmarkStart w:id="2216" w:name="_Toc189845166"/>
      <w:r>
        <w:t>For Case 1 and Case 3a, the UE (Case 1) and gNB (Case 3a) sends the monitoring decision to LMF, at least when the monitoring decision indicates that the model becomes inappropriate for inference.</w:t>
      </w:r>
      <w:bookmarkEnd w:id="2216"/>
      <w:r>
        <w:t xml:space="preserve"> </w:t>
      </w:r>
    </w:p>
    <w:p w14:paraId="1AF639A1">
      <w:pPr>
        <w:pStyle w:val="73"/>
        <w:numPr>
          <w:ilvl w:val="1"/>
          <w:numId w:val="11"/>
        </w:numPr>
      </w:pPr>
      <w:bookmarkStart w:id="2217" w:name="_Toc189845167"/>
      <w:r>
        <w:t>For model inference at UE (Case 1, 2a) or gNB (Case 3a), the LMF can provide assistance information to support the calculation of model monitoring metrics. FFS: what assistance data may be provided.</w:t>
      </w:r>
      <w:bookmarkEnd w:id="2217"/>
    </w:p>
    <w:p w14:paraId="730D92C7">
      <w:pPr>
        <w:pStyle w:val="73"/>
        <w:numPr>
          <w:ilvl w:val="0"/>
          <w:numId w:val="0"/>
        </w:numPr>
        <w:ind w:left="1080"/>
      </w:pPr>
    </w:p>
    <w:p w14:paraId="6AC4CC75">
      <w:pPr>
        <w:pStyle w:val="3"/>
      </w:pPr>
      <w:bookmarkStart w:id="2218" w:name="_Toc189845043"/>
      <w:r>
        <w:rPr>
          <w:lang w:val="en-US"/>
        </w:rPr>
        <w:t>Model performance monitoring metric calculation for Case 1</w:t>
      </w:r>
      <w:bookmarkEnd w:id="2218"/>
    </w:p>
    <w:p w14:paraId="1AE4A190">
      <w:r>
        <w:t xml:space="preserve">Several label-based options for case 1 were proposed for further study </w:t>
      </w:r>
      <w:r>
        <w:tab/>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21E4A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5016CAEF">
            <w:pPr>
              <w:spacing w:after="0"/>
              <w:rPr>
                <w:rFonts w:ascii="Times New Roman" w:hAnsi="Times New Roman" w:eastAsia="等线" w:cs="Times New Roman"/>
                <w:sz w:val="18"/>
                <w:szCs w:val="18"/>
              </w:rPr>
            </w:pPr>
            <w:r>
              <w:rPr>
                <w:rFonts w:ascii="Times New Roman" w:hAnsi="Times New Roman" w:eastAsia="等线" w:cs="Times New Roman"/>
                <w:sz w:val="18"/>
                <w:szCs w:val="18"/>
              </w:rPr>
              <w:t>RAN1 #116-bis</w:t>
            </w:r>
          </w:p>
          <w:p w14:paraId="15740074">
            <w:pPr>
              <w:spacing w:after="0"/>
              <w:rPr>
                <w:rFonts w:ascii="Times New Roman" w:hAnsi="Times New Roman" w:eastAsia="等线" w:cs="Times New Roman"/>
                <w:b/>
                <w:sz w:val="18"/>
                <w:szCs w:val="18"/>
                <w:highlight w:val="green"/>
              </w:rPr>
            </w:pPr>
            <w:r>
              <w:rPr>
                <w:rFonts w:hint="eastAsia" w:ascii="Times New Roman" w:hAnsi="Times New Roman" w:eastAsia="等线" w:cs="Times New Roman"/>
                <w:b/>
                <w:sz w:val="18"/>
                <w:szCs w:val="18"/>
                <w:highlight w:val="green"/>
              </w:rPr>
              <w:t>Agreement</w:t>
            </w:r>
          </w:p>
          <w:p w14:paraId="1E421C83">
            <w:pPr>
              <w:spacing w:after="0"/>
              <w:rPr>
                <w:rFonts w:ascii="Times New Roman" w:hAnsi="Times New Roman" w:cs="Times New Roman"/>
                <w:strike/>
                <w:sz w:val="18"/>
                <w:szCs w:val="18"/>
              </w:rPr>
            </w:pPr>
            <w:r>
              <w:rPr>
                <w:rFonts w:ascii="Times New Roman" w:hAnsi="Times New Roman" w:cs="Times New Roman"/>
                <w:sz w:val="18"/>
                <w:szCs w:val="18"/>
              </w:rPr>
              <w:t xml:space="preserve">For model performance monitoring of AI/ML positioning Case 1, for model performance monitoring metric calculation in label-based model monitoring, study the feasibility, benefits, and </w:t>
            </w:r>
            <w:r>
              <w:rPr>
                <w:rFonts w:ascii="Times New Roman" w:hAnsi="Times New Roman" w:eastAsia="等线" w:cs="Times New Roman"/>
                <w:sz w:val="18"/>
                <w:szCs w:val="18"/>
              </w:rPr>
              <w:t>potential</w:t>
            </w:r>
            <w:r>
              <w:rPr>
                <w:rFonts w:hint="eastAsia" w:ascii="Times New Roman" w:hAnsi="Times New Roman" w:eastAsia="等线" w:cs="Times New Roman"/>
                <w:sz w:val="18"/>
                <w:szCs w:val="18"/>
              </w:rPr>
              <w:t xml:space="preserve"> </w:t>
            </w:r>
            <w:r>
              <w:rPr>
                <w:rFonts w:ascii="Times New Roman" w:hAnsi="Times New Roman" w:cs="Times New Roman"/>
                <w:sz w:val="18"/>
                <w:szCs w:val="18"/>
              </w:rPr>
              <w:t xml:space="preserve">specification impact of the following options with regard to how to generate information on ground truth label: </w:t>
            </w:r>
          </w:p>
          <w:p w14:paraId="694C942C">
            <w:pPr>
              <w:widowControl w:val="0"/>
              <w:numPr>
                <w:ilvl w:val="0"/>
                <w:numId w:val="54"/>
              </w:numPr>
              <w:spacing w:after="0"/>
              <w:rPr>
                <w:rFonts w:ascii="Times New Roman" w:hAnsi="Times New Roman" w:cs="Times New Roman"/>
                <w:sz w:val="18"/>
                <w:szCs w:val="18"/>
                <w:lang w:eastAsia="zh-CN"/>
              </w:rPr>
            </w:pPr>
            <w:r>
              <w:rPr>
                <w:rFonts w:ascii="Times New Roman" w:hAnsi="Times New Roman" w:cs="Times New Roman"/>
                <w:sz w:val="18"/>
                <w:szCs w:val="18"/>
                <w:lang w:eastAsia="zh-CN"/>
              </w:rPr>
              <w:t xml:space="preserve">Option A. The target UE side performs monitoring metric calculation. </w:t>
            </w:r>
          </w:p>
          <w:p w14:paraId="39DD39DF">
            <w:pPr>
              <w:widowControl w:val="0"/>
              <w:numPr>
                <w:ilvl w:val="1"/>
                <w:numId w:val="55"/>
              </w:numPr>
              <w:spacing w:after="0"/>
              <w:rPr>
                <w:rFonts w:ascii="Times New Roman" w:hAnsi="Times New Roman" w:cs="Times New Roman"/>
                <w:sz w:val="18"/>
                <w:szCs w:val="18"/>
                <w:lang w:eastAsia="zh-CN"/>
              </w:rPr>
            </w:pPr>
            <w:r>
              <w:rPr>
                <w:rFonts w:ascii="Times New Roman" w:hAnsi="Times New Roman" w:cs="Times New Roman"/>
                <w:sz w:val="18"/>
                <w:szCs w:val="18"/>
                <w:lang w:eastAsia="zh-CN"/>
              </w:rPr>
              <w:t xml:space="preserve">Option A-1. At least information on ground truth label of the target UE is generated by LMF and provided to the target UE. </w:t>
            </w:r>
          </w:p>
          <w:p w14:paraId="7701EA56">
            <w:pPr>
              <w:widowControl w:val="0"/>
              <w:numPr>
                <w:ilvl w:val="2"/>
                <w:numId w:val="55"/>
              </w:numPr>
              <w:spacing w:after="0"/>
              <w:ind w:left="2360" w:hanging="560"/>
              <w:rPr>
                <w:rFonts w:ascii="Times New Roman" w:hAnsi="Times New Roman" w:cs="Times New Roman"/>
                <w:sz w:val="18"/>
                <w:szCs w:val="18"/>
                <w:lang w:eastAsia="zh-CN"/>
              </w:rPr>
            </w:pPr>
            <w:r>
              <w:rPr>
                <w:rFonts w:ascii="Times New Roman" w:hAnsi="Times New Roman" w:cs="Times New Roman"/>
                <w:sz w:val="18"/>
                <w:szCs w:val="18"/>
                <w:lang w:eastAsia="zh-CN"/>
              </w:rPr>
              <w:t>In one example, target UE and/or gNB sends measurement (e.g., legacy measurement) to LMF so that LMF can derive the information on ground truth label.</w:t>
            </w:r>
          </w:p>
          <w:p w14:paraId="1F87ECA4">
            <w:pPr>
              <w:widowControl w:val="0"/>
              <w:numPr>
                <w:ilvl w:val="1"/>
                <w:numId w:val="55"/>
              </w:numPr>
              <w:spacing w:after="0"/>
              <w:rPr>
                <w:rFonts w:ascii="Times New Roman" w:hAnsi="Times New Roman" w:cs="Times New Roman"/>
                <w:sz w:val="18"/>
                <w:szCs w:val="18"/>
                <w:lang w:eastAsia="zh-CN"/>
              </w:rPr>
            </w:pPr>
            <w:r>
              <w:rPr>
                <w:rFonts w:ascii="Times New Roman" w:hAnsi="Times New Roman" w:cs="Times New Roman"/>
                <w:sz w:val="18"/>
                <w:szCs w:val="18"/>
                <w:lang w:eastAsia="zh-CN"/>
              </w:rPr>
              <w:t>Option A-2. At least position calculation assistance data (e.g., existing information for UE-based positioning method) is provided from LMF to the target UE.</w:t>
            </w:r>
          </w:p>
          <w:p w14:paraId="3C8E0BBF">
            <w:pPr>
              <w:widowControl w:val="0"/>
              <w:numPr>
                <w:ilvl w:val="1"/>
                <w:numId w:val="55"/>
              </w:numPr>
              <w:spacing w:after="0"/>
              <w:rPr>
                <w:rFonts w:ascii="Times New Roman" w:hAnsi="Times New Roman" w:cs="Times New Roman"/>
                <w:sz w:val="18"/>
                <w:szCs w:val="18"/>
                <w:lang w:eastAsia="zh-CN"/>
              </w:rPr>
            </w:pPr>
            <w:r>
              <w:rPr>
                <w:rFonts w:ascii="Times New Roman" w:hAnsi="Times New Roman" w:cs="Times New Roman"/>
                <w:sz w:val="18"/>
                <w:szCs w:val="18"/>
                <w:lang w:eastAsia="zh-CN"/>
              </w:rPr>
              <w:t xml:space="preserve">Option A-3. Reuse Rel-18 assistance data transfer framework from LMF to the target UE, where the PRU measurement (e.g., legacy measurement) and the corresponding PRU location are sent via LMF to the target UE. </w:t>
            </w:r>
          </w:p>
          <w:p w14:paraId="306572C2">
            <w:pPr>
              <w:widowControl w:val="0"/>
              <w:numPr>
                <w:ilvl w:val="1"/>
                <w:numId w:val="55"/>
              </w:numPr>
              <w:spacing w:after="0"/>
              <w:rPr>
                <w:rFonts w:ascii="Times New Roman" w:hAnsi="Times New Roman" w:cs="Times New Roman"/>
                <w:sz w:val="18"/>
                <w:szCs w:val="18"/>
                <w:lang w:eastAsia="zh-CN"/>
              </w:rPr>
            </w:pPr>
            <w:r>
              <w:rPr>
                <w:rFonts w:ascii="Times New Roman" w:hAnsi="Times New Roman" w:cs="Times New Roman"/>
                <w:sz w:val="18"/>
                <w:szCs w:val="18"/>
                <w:lang w:eastAsia="zh-CN"/>
              </w:rPr>
              <w:t xml:space="preserve">Option A-4. PRU measurement (and the corresponding PRU location if not already known at the UE-side) are sent from PRU to the target UE side. </w:t>
            </w:r>
          </w:p>
          <w:p w14:paraId="3EF0442F">
            <w:pPr>
              <w:widowControl w:val="0"/>
              <w:numPr>
                <w:ilvl w:val="2"/>
                <w:numId w:val="55"/>
              </w:numPr>
              <w:spacing w:after="0"/>
              <w:ind w:left="2360" w:hanging="560"/>
              <w:rPr>
                <w:rFonts w:ascii="Times New Roman" w:hAnsi="Times New Roman" w:cs="Times New Roman"/>
                <w:sz w:val="18"/>
                <w:szCs w:val="18"/>
                <w:lang w:eastAsia="zh-CN"/>
              </w:rPr>
            </w:pPr>
            <w:r>
              <w:rPr>
                <w:rFonts w:ascii="Times New Roman" w:hAnsi="Times New Roman" w:cs="Times New Roman"/>
                <w:sz w:val="18"/>
                <w:szCs w:val="18"/>
                <w:lang w:eastAsia="zh-CN"/>
              </w:rPr>
              <w:t>Note: Option A-4 can be realized by implementation in a manner transparent to specification if the PRU sends information to the target UE side in a proprietary method.</w:t>
            </w:r>
          </w:p>
          <w:p w14:paraId="22749266">
            <w:pPr>
              <w:widowControl w:val="0"/>
              <w:numPr>
                <w:ilvl w:val="0"/>
                <w:numId w:val="55"/>
              </w:numPr>
              <w:spacing w:after="0"/>
              <w:rPr>
                <w:rFonts w:ascii="Times New Roman" w:hAnsi="Times New Roman" w:cs="Times New Roman"/>
                <w:sz w:val="18"/>
                <w:szCs w:val="18"/>
                <w:lang w:eastAsia="zh-CN"/>
              </w:rPr>
            </w:pPr>
            <w:r>
              <w:rPr>
                <w:rFonts w:ascii="Times New Roman" w:hAnsi="Times New Roman" w:cs="Times New Roman"/>
                <w:sz w:val="18"/>
                <w:szCs w:val="18"/>
                <w:lang w:eastAsia="zh-CN"/>
              </w:rPr>
              <w:t>Option B. The LMF performs monitoring metric calculation.</w:t>
            </w:r>
          </w:p>
          <w:p w14:paraId="6D2105EE">
            <w:pPr>
              <w:widowControl w:val="0"/>
              <w:numPr>
                <w:ilvl w:val="1"/>
                <w:numId w:val="55"/>
              </w:numPr>
              <w:spacing w:after="0"/>
              <w:rPr>
                <w:rFonts w:ascii="Times New Roman" w:hAnsi="Times New Roman" w:cs="Times New Roman"/>
                <w:sz w:val="18"/>
                <w:szCs w:val="18"/>
                <w:lang w:eastAsia="zh-CN"/>
              </w:rPr>
            </w:pPr>
            <w:r>
              <w:rPr>
                <w:rFonts w:ascii="Times New Roman" w:hAnsi="Times New Roman" w:eastAsia="等线" w:cs="Times New Roman"/>
                <w:sz w:val="18"/>
                <w:szCs w:val="18"/>
              </w:rPr>
              <w:t xml:space="preserve">Option B-1. </w:t>
            </w:r>
            <w:r>
              <w:rPr>
                <w:rFonts w:ascii="Times New Roman" w:hAnsi="Times New Roman" w:cs="Times New Roman"/>
                <w:sz w:val="18"/>
                <w:szCs w:val="18"/>
                <w:lang w:eastAsia="zh-CN"/>
              </w:rPr>
              <w:t xml:space="preserve">at least </w:t>
            </w:r>
            <w:r>
              <w:rPr>
                <w:rFonts w:ascii="Times New Roman" w:hAnsi="Times New Roman" w:eastAsia="宋体" w:cs="Times New Roman"/>
                <w:sz w:val="18"/>
                <w:szCs w:val="18"/>
              </w:rPr>
              <w:t>inference result</w:t>
            </w:r>
            <w:r>
              <w:rPr>
                <w:rFonts w:ascii="Times New Roman" w:hAnsi="Times New Roman" w:cs="Times New Roman"/>
                <w:sz w:val="18"/>
                <w:szCs w:val="18"/>
                <w:lang w:eastAsia="zh-CN"/>
              </w:rPr>
              <w:t xml:space="preserve"> </w:t>
            </w:r>
            <w:r>
              <w:rPr>
                <w:rFonts w:ascii="Times New Roman" w:hAnsi="Times New Roman" w:eastAsia="宋体" w:cs="Times New Roman"/>
                <w:sz w:val="18"/>
                <w:szCs w:val="18"/>
              </w:rPr>
              <w:t xml:space="preserve">(i.e., the model output corresponding to target UE’s channel measurement) </w:t>
            </w:r>
            <w:r>
              <w:rPr>
                <w:rFonts w:ascii="Times New Roman" w:hAnsi="Times New Roman" w:cs="Times New Roman"/>
                <w:sz w:val="18"/>
                <w:szCs w:val="18"/>
                <w:lang w:eastAsia="zh-CN"/>
              </w:rPr>
              <w:t>of the target UE</w:t>
            </w:r>
            <w:r>
              <w:rPr>
                <w:rFonts w:ascii="Times New Roman" w:hAnsi="Times New Roman" w:eastAsia="宋体" w:cs="Times New Roman"/>
                <w:sz w:val="18"/>
                <w:szCs w:val="18"/>
              </w:rPr>
              <w:t xml:space="preserve"> is sent by the target UE to </w:t>
            </w:r>
            <w:r>
              <w:rPr>
                <w:rFonts w:ascii="Times New Roman" w:hAnsi="Times New Roman" w:cs="Times New Roman"/>
                <w:sz w:val="18"/>
                <w:szCs w:val="18"/>
                <w:lang w:eastAsia="zh-CN"/>
              </w:rPr>
              <w:t xml:space="preserve">LMF. </w:t>
            </w:r>
          </w:p>
          <w:p w14:paraId="26ED621D">
            <w:pPr>
              <w:widowControl w:val="0"/>
              <w:numPr>
                <w:ilvl w:val="1"/>
                <w:numId w:val="55"/>
              </w:numPr>
              <w:spacing w:after="0"/>
              <w:rPr>
                <w:rFonts w:ascii="Times New Roman" w:hAnsi="Times New Roman" w:cs="Times New Roman"/>
                <w:sz w:val="18"/>
                <w:szCs w:val="18"/>
                <w:lang w:eastAsia="zh-CN"/>
              </w:rPr>
            </w:pPr>
            <w:r>
              <w:rPr>
                <w:rFonts w:ascii="Times New Roman" w:hAnsi="Times New Roman" w:eastAsia="宋体" w:cs="Times New Roman"/>
                <w:sz w:val="18"/>
                <w:szCs w:val="18"/>
              </w:rPr>
              <w:t xml:space="preserve">Option B-2. </w:t>
            </w:r>
            <w:r>
              <w:rPr>
                <w:rFonts w:ascii="Times New Roman" w:hAnsi="Times New Roman" w:cs="Times New Roman"/>
                <w:sz w:val="18"/>
                <w:szCs w:val="18"/>
                <w:lang w:eastAsia="zh-CN"/>
              </w:rPr>
              <w:t>PRU</w:t>
            </w:r>
            <w:r>
              <w:rPr>
                <w:rFonts w:ascii="Times New Roman" w:hAnsi="Times New Roman" w:eastAsia="宋体" w:cs="Times New Roman"/>
                <w:sz w:val="18"/>
                <w:szCs w:val="18"/>
              </w:rPr>
              <w:t>’s</w:t>
            </w:r>
            <w:r>
              <w:rPr>
                <w:rFonts w:ascii="Times New Roman" w:hAnsi="Times New Roman" w:cs="Times New Roman"/>
                <w:sz w:val="18"/>
                <w:szCs w:val="18"/>
                <w:lang w:eastAsia="zh-CN"/>
              </w:rPr>
              <w:t xml:space="preserve"> </w:t>
            </w:r>
            <w:r>
              <w:rPr>
                <w:rFonts w:ascii="Times New Roman" w:hAnsi="Times New Roman" w:eastAsia="宋体" w:cs="Times New Roman"/>
                <w:sz w:val="18"/>
                <w:szCs w:val="18"/>
              </w:rPr>
              <w:t xml:space="preserve">channel </w:t>
            </w:r>
            <w:r>
              <w:rPr>
                <w:rFonts w:ascii="Times New Roman" w:hAnsi="Times New Roman" w:cs="Times New Roman"/>
                <w:sz w:val="18"/>
                <w:szCs w:val="18"/>
                <w:lang w:eastAsia="zh-CN"/>
              </w:rPr>
              <w:t>measurement is sent via LMF to the target UE</w:t>
            </w:r>
            <w:r>
              <w:rPr>
                <w:rFonts w:ascii="Times New Roman" w:hAnsi="Times New Roman" w:eastAsia="宋体" w:cs="Times New Roman"/>
                <w:sz w:val="18"/>
                <w:szCs w:val="18"/>
              </w:rPr>
              <w:t xml:space="preserve">, and the inference result (i.e., the model output corresponding to PRU’s channel measurement) is sent by the target UE to </w:t>
            </w:r>
            <w:r>
              <w:rPr>
                <w:rFonts w:ascii="Times New Roman" w:hAnsi="Times New Roman" w:cs="Times New Roman"/>
                <w:sz w:val="18"/>
                <w:szCs w:val="18"/>
                <w:lang w:eastAsia="zh-CN"/>
              </w:rPr>
              <w:t>LMF.</w:t>
            </w:r>
          </w:p>
          <w:p w14:paraId="7BD9C687">
            <w:pPr>
              <w:spacing w:after="0"/>
              <w:rPr>
                <w:rFonts w:ascii="Times New Roman" w:hAnsi="Times New Roman" w:eastAsia="等线" w:cs="Times New Roman"/>
                <w:sz w:val="18"/>
                <w:szCs w:val="18"/>
              </w:rPr>
            </w:pPr>
            <w:r>
              <w:rPr>
                <w:rFonts w:ascii="Times New Roman" w:hAnsi="Times New Roman" w:cs="Times New Roman"/>
                <w:sz w:val="18"/>
                <w:szCs w:val="18"/>
              </w:rPr>
              <w:t xml:space="preserve">Note: exact method to perform the monitoring metric calculation is up to implementation. </w:t>
            </w:r>
          </w:p>
          <w:p w14:paraId="6CA21AA2">
            <w:pPr>
              <w:spacing w:after="0"/>
              <w:rPr>
                <w:rFonts w:ascii="Times New Roman" w:hAnsi="Times New Roman" w:eastAsia="Batang" w:cs="Times New Roman"/>
                <w:sz w:val="18"/>
                <w:szCs w:val="18"/>
                <w:lang w:eastAsia="zh-CN"/>
              </w:rPr>
            </w:pPr>
            <w:r>
              <w:rPr>
                <w:rFonts w:hint="eastAsia" w:ascii="Times New Roman" w:hAnsi="Times New Roman" w:eastAsia="等线" w:cs="Times New Roman"/>
                <w:sz w:val="18"/>
                <w:szCs w:val="18"/>
              </w:rPr>
              <w:t>Note: Other options are not precluded.</w:t>
            </w:r>
          </w:p>
        </w:tc>
      </w:tr>
    </w:tbl>
    <w:p w14:paraId="5AF8C9BC">
      <w:pPr>
        <w:tabs>
          <w:tab w:val="left" w:pos="3531"/>
        </w:tabs>
      </w:pPr>
    </w:p>
    <w:p w14:paraId="2072B112">
      <w:pPr>
        <w:tabs>
          <w:tab w:val="left" w:pos="3531"/>
        </w:tabs>
      </w:pPr>
      <w:r>
        <w:t>In RAN1#118, it was concluded that Option A-4 does not need to be further discussed. RAN1#119 discussed further without agreements, but the following was captured as proposals in the FL summary:</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0C87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6AFFC1C6">
            <w:pPr>
              <w:rPr>
                <w:b/>
                <w:bCs/>
                <w:sz w:val="20"/>
                <w:szCs w:val="20"/>
                <w:u w:val="single"/>
              </w:rPr>
            </w:pPr>
            <w:r>
              <w:rPr>
                <w:b/>
                <w:bCs/>
                <w:color w:val="FF0000"/>
                <w:szCs w:val="20"/>
                <w:u w:val="single"/>
              </w:rPr>
              <w:t xml:space="preserve">Modified </w:t>
            </w:r>
            <w:r>
              <w:rPr>
                <w:b/>
                <w:bCs/>
                <w:szCs w:val="20"/>
                <w:u w:val="single"/>
              </w:rPr>
              <w:t>Proposal 6.2.5-3</w:t>
            </w:r>
          </w:p>
          <w:p w14:paraId="70B9B8A5">
            <w:pPr>
              <w:spacing w:after="0"/>
              <w:rPr>
                <w:rFonts w:cs="等线"/>
                <w:strike/>
                <w:sz w:val="20"/>
                <w:szCs w:val="20"/>
              </w:rPr>
            </w:pPr>
            <w:r>
              <w:rPr>
                <w:rFonts w:cs="等线"/>
                <w:szCs w:val="20"/>
              </w:rPr>
              <w:t xml:space="preserve">For model performance monitoring of AI/ML positioning Case 1, for model performance monitoring metric calculation in label-based model monitoring, </w:t>
            </w:r>
            <w:r>
              <w:rPr>
                <w:rFonts w:cs="等线"/>
                <w:strike/>
                <w:color w:val="FF0000"/>
                <w:szCs w:val="20"/>
              </w:rPr>
              <w:t xml:space="preserve">at least </w:t>
            </w:r>
            <w:r>
              <w:rPr>
                <w:rFonts w:cs="等线"/>
                <w:szCs w:val="20"/>
              </w:rPr>
              <w:t>Option A-1, A-2,</w:t>
            </w:r>
            <w:r>
              <w:rPr>
                <w:color w:val="FF0000"/>
                <w:szCs w:val="20"/>
              </w:rPr>
              <w:t xml:space="preserve"> A-3</w:t>
            </w:r>
            <w:r>
              <w:rPr>
                <w:rFonts w:cs="等线"/>
                <w:szCs w:val="20"/>
              </w:rPr>
              <w:t xml:space="preserve"> are supported in Rel-19.  </w:t>
            </w:r>
          </w:p>
          <w:p w14:paraId="1FED8B8D">
            <w:pPr>
              <w:pStyle w:val="133"/>
              <w:widowControl w:val="0"/>
              <w:numPr>
                <w:ilvl w:val="0"/>
                <w:numId w:val="49"/>
              </w:numPr>
              <w:spacing w:line="276" w:lineRule="auto"/>
              <w:rPr>
                <w:sz w:val="20"/>
              </w:rPr>
            </w:pPr>
            <w:r>
              <w:t xml:space="preserve">From RAN1 perspective, legacy framework, </w:t>
            </w:r>
            <w:r>
              <w:rPr>
                <w:color w:val="0070C0"/>
              </w:rPr>
              <w:t>measurements</w:t>
            </w:r>
            <w:r>
              <w:t xml:space="preserve"> and signaling can be reused for Option A-1, A-2,</w:t>
            </w:r>
            <w:r>
              <w:rPr>
                <w:color w:val="FF0000"/>
              </w:rPr>
              <w:t>A-3</w:t>
            </w:r>
            <w:r>
              <w:t xml:space="preserve">. </w:t>
            </w:r>
          </w:p>
          <w:p w14:paraId="770F7291">
            <w:pPr>
              <w:pStyle w:val="133"/>
              <w:widowControl w:val="0"/>
              <w:numPr>
                <w:ilvl w:val="0"/>
                <w:numId w:val="49"/>
              </w:numPr>
              <w:spacing w:line="276" w:lineRule="auto"/>
              <w:rPr>
                <w:sz w:val="20"/>
              </w:rPr>
            </w:pPr>
            <w:r>
              <w:t>Note: The definition of the monitoring metric is up to UE implementation.</w:t>
            </w:r>
          </w:p>
          <w:p w14:paraId="26AB166B">
            <w:pPr>
              <w:rPr>
                <w:color w:val="FF0000"/>
                <w:sz w:val="20"/>
                <w:szCs w:val="20"/>
              </w:rPr>
            </w:pPr>
            <w:r>
              <w:rPr>
                <w:szCs w:val="20"/>
              </w:rPr>
              <w:t>Note: No UE capability discussion about supporting A-1, A-2,</w:t>
            </w:r>
            <w:r>
              <w:rPr>
                <w:color w:val="FF0000"/>
                <w:szCs w:val="20"/>
              </w:rPr>
              <w:t xml:space="preserve"> A-3</w:t>
            </w:r>
            <w:r>
              <w:rPr>
                <w:szCs w:val="20"/>
              </w:rPr>
              <w:t>.</w:t>
            </w:r>
          </w:p>
        </w:tc>
      </w:tr>
    </w:tbl>
    <w:p w14:paraId="413F44DC">
      <w:pPr>
        <w:tabs>
          <w:tab w:val="left" w:pos="3531"/>
        </w:tabs>
      </w:pPr>
    </w:p>
    <w:p w14:paraId="3341932D">
      <w:pPr>
        <w:tabs>
          <w:tab w:val="left" w:pos="3531"/>
        </w:tabs>
      </w:pPr>
      <w:r>
        <w:t xml:space="preserve">In our view these label-based performance monitoring proposals add complexity to the NR specifications and increase the implementation costs. Some of these proposals even elevates the costs of operating the positioning systems. These label-based monitoring proposals should be compared to label-free monitoring approaches in terms of complexity as well as effectiveness. That is, quantitative evaluation results should be provided for these label-based monitoring proposals, which can be compared to those using label-free monitoring. </w:t>
      </w:r>
    </w:p>
    <w:p w14:paraId="75B7E45C">
      <w:pPr>
        <w:tabs>
          <w:tab w:val="left" w:pos="3531"/>
        </w:tabs>
      </w:pPr>
      <w:r>
        <w:t xml:space="preserve">Moreover, it is possible to perform label-based monitoring where certain information on the ground truth label can be obtained by the target UE itself. For example, as a variant of monitoring approach 1 of section </w:t>
      </w:r>
      <w:r>
        <w:fldChar w:fldCharType="begin"/>
      </w:r>
      <w:r>
        <w:instrText xml:space="preserve"> REF _Ref166232055 \r </w:instrText>
      </w:r>
      <w:r>
        <w:fldChar w:fldCharType="separate"/>
      </w:r>
      <w:r>
        <w:t>11.1.1</w:t>
      </w:r>
      <w:r>
        <w:fldChar w:fldCharType="end"/>
      </w:r>
      <w:r>
        <w:t>, the target UE can use a mechanism outside of the Case 1 model to detect opportunistic LoS link(s) and estimate the corresponding distance between the target UE and the TRP, which can then be used as a ground truth label approximation/substitution to monitor Case 1 model.</w:t>
      </w:r>
    </w:p>
    <w:p w14:paraId="390A44B4">
      <w:pPr>
        <w:tabs>
          <w:tab w:val="left" w:pos="3531"/>
        </w:tabs>
      </w:pPr>
      <w:r>
        <w:t>The more complicated label-based monitoring solutions should be introduced to NR only if the solutions provide added values over those achievable with label-free monitoring solutions.</w:t>
      </w:r>
    </w:p>
    <w:p w14:paraId="59FA8EF2">
      <w:pPr>
        <w:tabs>
          <w:tab w:val="left" w:pos="3531"/>
        </w:tabs>
      </w:pPr>
      <w:r>
        <w:t>If the more complicated label-based monitoring is to be supported, then Option A-1 and/or A-2 is sufficient.</w:t>
      </w:r>
    </w:p>
    <w:p w14:paraId="7C4AC6C8">
      <w:pPr>
        <w:pStyle w:val="133"/>
        <w:widowControl w:val="0"/>
        <w:numPr>
          <w:ilvl w:val="0"/>
          <w:numId w:val="18"/>
        </w:numPr>
        <w:rPr>
          <w:rFonts w:eastAsia="MS Mincho"/>
        </w:rPr>
      </w:pPr>
      <w:r>
        <w:t xml:space="preserve">In Option A-1, the LMF derives the ground truth label. Without knowing the UE model implementation, the only ground truth label the LMF can generate is an estimated UE location label. This can be already done using the existing specification, by setting up legacy positioning procedure in parallel to the ML positioning procedure where the UE request the LMF for its location.  </w:t>
      </w:r>
    </w:p>
    <w:p w14:paraId="5BB8E3EF">
      <w:pPr>
        <w:pStyle w:val="133"/>
        <w:widowControl w:val="0"/>
        <w:numPr>
          <w:ilvl w:val="0"/>
          <w:numId w:val="18"/>
        </w:numPr>
        <w:rPr>
          <w:rFonts w:eastAsia="MS Mincho"/>
        </w:rPr>
      </w:pPr>
      <w:r>
        <w:t xml:space="preserve">Similarly, Option A-2 can be achieved by setting up legacy UE based positioning in parallel to AI/ML positioning procedure.  </w:t>
      </w:r>
    </w:p>
    <w:p w14:paraId="5F0D3CA3">
      <w:pPr>
        <w:widowControl w:val="0"/>
        <w:rPr>
          <w:lang w:eastAsia="zh-CN"/>
        </w:rPr>
      </w:pPr>
    </w:p>
    <w:p w14:paraId="19DC19E0">
      <w:pPr>
        <w:widowControl w:val="0"/>
        <w:rPr>
          <w:lang w:eastAsia="zh-CN"/>
        </w:rPr>
      </w:pPr>
      <w:r>
        <w:rPr>
          <w:lang w:eastAsia="zh-CN"/>
        </w:rPr>
        <w:t>Option A-3, B-1, B-2 should not be supported.</w:t>
      </w:r>
    </w:p>
    <w:p w14:paraId="2BD965FE">
      <w:pPr>
        <w:pStyle w:val="133"/>
        <w:widowControl w:val="0"/>
        <w:numPr>
          <w:ilvl w:val="0"/>
          <w:numId w:val="18"/>
        </w:numPr>
      </w:pPr>
      <w:r>
        <w:t xml:space="preserve">Option A-3 requires the presence of PRU to support model monitoring. This incurs high deployment cost and signaling overhead unnecessarily.  Additionally, periodic provision of PRU measurement as AD to UE based positioning is specified only for CPP in 38.305. </w:t>
      </w:r>
    </w:p>
    <w:p w14:paraId="4E2A7CEA">
      <w:pPr>
        <w:pStyle w:val="133"/>
        <w:widowControl w:val="0"/>
        <w:numPr>
          <w:ilvl w:val="0"/>
          <w:numId w:val="18"/>
        </w:numPr>
      </w:pPr>
      <w:r>
        <w:t xml:space="preserve">Option B-1 and B-2 violate the principle of self-monitoring discussed in section </w:t>
      </w:r>
      <w:r>
        <w:fldChar w:fldCharType="begin"/>
      </w:r>
      <w:r>
        <w:instrText xml:space="preserve"> REF _Ref189836809 \r </w:instrText>
      </w:r>
      <w:r>
        <w:fldChar w:fldCharType="separate"/>
      </w:r>
      <w:r>
        <w:t>6.2</w:t>
      </w:r>
      <w:r>
        <w:fldChar w:fldCharType="end"/>
      </w:r>
      <w:r>
        <w:t xml:space="preserve">. As discussed in section </w:t>
      </w:r>
      <w:r>
        <w:fldChar w:fldCharType="begin"/>
      </w:r>
      <w:r>
        <w:instrText xml:space="preserve"> REF _Ref189836870 \r </w:instrText>
      </w:r>
      <w:r>
        <w:fldChar w:fldCharType="separate"/>
      </w:r>
      <w:r>
        <w:t>6.1</w:t>
      </w:r>
      <w:r>
        <w:fldChar w:fldCharType="end"/>
      </w:r>
      <w:r>
        <w:t xml:space="preserve">, LMF is responsible for functionality-level performance monitoring and management, but it does not have the requisite information to perform model-level management including </w:t>
      </w:r>
      <w:r>
        <w:rPr>
          <w:lang w:eastAsia="zh-CN"/>
        </w:rPr>
        <w:t>monitoring metric calculation.</w:t>
      </w:r>
    </w:p>
    <w:p w14:paraId="4F070D53">
      <w:pPr>
        <w:widowControl w:val="0"/>
        <w:rPr>
          <w:rFonts w:eastAsia="等线"/>
        </w:rPr>
      </w:pPr>
    </w:p>
    <w:p w14:paraId="5C970DB4">
      <w:pPr>
        <w:pStyle w:val="73"/>
        <w:rPr>
          <w:szCs w:val="20"/>
        </w:rPr>
      </w:pPr>
      <w:bookmarkStart w:id="2219" w:name="_Toc189845168"/>
      <w:r>
        <w:t xml:space="preserve">For model performance monitoring of AI/ML positioning Case 1, </w:t>
      </w:r>
      <w:r>
        <w:rPr>
          <w:szCs w:val="20"/>
        </w:rPr>
        <w:t xml:space="preserve">support Option A-1 and/or A-2 </w:t>
      </w:r>
      <w:r>
        <w:t>for model performance monitoring metric calculation</w:t>
      </w:r>
      <w:r>
        <w:rPr>
          <w:szCs w:val="20"/>
        </w:rPr>
        <w:t>, if estimated</w:t>
      </w:r>
      <w:r>
        <w:t xml:space="preserve"> label</w:t>
      </w:r>
      <w:r>
        <w:rPr>
          <w:szCs w:val="20"/>
        </w:rPr>
        <w:t xml:space="preserve"> is considered necessary to be provided by an external entity (which is LMF for Case 1).</w:t>
      </w:r>
      <w:bookmarkEnd w:id="2219"/>
    </w:p>
    <w:p w14:paraId="174EA825">
      <w:pPr>
        <w:pStyle w:val="73"/>
        <w:rPr>
          <w:szCs w:val="20"/>
        </w:rPr>
      </w:pPr>
      <w:bookmarkStart w:id="2220" w:name="_Toc189845169"/>
      <w:r>
        <w:t xml:space="preserve">For model performance monitoring of AI/ML positioning Case 1, do not </w:t>
      </w:r>
      <w:r>
        <w:rPr>
          <w:szCs w:val="20"/>
        </w:rPr>
        <w:t>support Option A-3, B-1 or B-2.</w:t>
      </w:r>
      <w:bookmarkEnd w:id="2220"/>
    </w:p>
    <w:p w14:paraId="61B76133">
      <w:pPr>
        <w:pStyle w:val="73"/>
      </w:pPr>
      <w:bookmarkStart w:id="2221" w:name="_Toc189845170"/>
      <w:r>
        <w:t>For AI/ML positioning Cases, if label-based monitoring is supported:</w:t>
      </w:r>
      <w:bookmarkEnd w:id="2221"/>
    </w:p>
    <w:p w14:paraId="5318BE45">
      <w:pPr>
        <w:pStyle w:val="73"/>
        <w:numPr>
          <w:ilvl w:val="1"/>
          <w:numId w:val="11"/>
        </w:numPr>
      </w:pPr>
      <w:bookmarkStart w:id="2222" w:name="_Toc189845171"/>
      <w:r>
        <w:t>The model inference entity performs self-monitoring.</w:t>
      </w:r>
      <w:bookmarkEnd w:id="2222"/>
      <w:r>
        <w:t xml:space="preserve"> </w:t>
      </w:r>
    </w:p>
    <w:p w14:paraId="774839D3">
      <w:pPr>
        <w:pStyle w:val="73"/>
        <w:numPr>
          <w:ilvl w:val="1"/>
          <w:numId w:val="11"/>
        </w:numPr>
      </w:pPr>
      <w:bookmarkStart w:id="2223" w:name="_Toc189845172"/>
      <w:r>
        <w:t>The LMF can request / configure the reporting of monitoring outcome by the gNB/UE.</w:t>
      </w:r>
      <w:bookmarkEnd w:id="2223"/>
      <w:r>
        <w:t xml:space="preserve"> </w:t>
      </w:r>
    </w:p>
    <w:p w14:paraId="28DF4EE9">
      <w:pPr>
        <w:pStyle w:val="73"/>
        <w:numPr>
          <w:ilvl w:val="1"/>
          <w:numId w:val="11"/>
        </w:numPr>
      </w:pPr>
      <w:bookmarkStart w:id="2224" w:name="_Toc189845173"/>
      <w:r>
        <w:t>For Case 1 and Case 3a, the UE (Case 1) and gNB (Case 3a) sends the monitoring decision to LMF, at least when the monitoring decision indicates that the model becomes inappropriate for inference.</w:t>
      </w:r>
      <w:bookmarkEnd w:id="2224"/>
      <w:r>
        <w:t xml:space="preserve"> </w:t>
      </w:r>
    </w:p>
    <w:p w14:paraId="705FE39A">
      <w:pPr>
        <w:pStyle w:val="73"/>
        <w:numPr>
          <w:ilvl w:val="0"/>
          <w:numId w:val="0"/>
        </w:numPr>
      </w:pPr>
    </w:p>
    <w:p w14:paraId="3FB9D93F">
      <w:pPr>
        <w:pStyle w:val="2"/>
        <w:rPr>
          <w:lang w:val="en-US"/>
        </w:rPr>
      </w:pPr>
      <w:bookmarkStart w:id="2225" w:name="_Toc178929601"/>
      <w:bookmarkEnd w:id="2225"/>
      <w:bookmarkStart w:id="2226" w:name="_Toc178709293"/>
      <w:bookmarkEnd w:id="2226"/>
      <w:bookmarkStart w:id="2227" w:name="_Toc178706299"/>
      <w:bookmarkEnd w:id="2227"/>
      <w:bookmarkStart w:id="2228" w:name="_Toc178709277"/>
      <w:bookmarkEnd w:id="2228"/>
      <w:bookmarkStart w:id="2229" w:name="_Toc178705413"/>
      <w:bookmarkEnd w:id="2229"/>
      <w:bookmarkStart w:id="2230" w:name="_Toc178706315"/>
      <w:bookmarkEnd w:id="2230"/>
      <w:bookmarkStart w:id="2231" w:name="_Toc178706298"/>
      <w:bookmarkEnd w:id="2231"/>
      <w:bookmarkStart w:id="2232" w:name="_Toc178705397"/>
      <w:bookmarkEnd w:id="2232"/>
      <w:bookmarkStart w:id="2233" w:name="_Toc178772999"/>
      <w:bookmarkEnd w:id="2233"/>
      <w:bookmarkStart w:id="2234" w:name="_Toc178705396"/>
      <w:bookmarkEnd w:id="2234"/>
      <w:bookmarkStart w:id="2235" w:name="_Toc178709276"/>
      <w:bookmarkEnd w:id="2235"/>
      <w:bookmarkStart w:id="2236" w:name="_Toc178772998"/>
      <w:bookmarkEnd w:id="2236"/>
      <w:bookmarkStart w:id="2237" w:name="_Toc178929602"/>
      <w:bookmarkEnd w:id="2237"/>
      <w:bookmarkStart w:id="2238" w:name="_Toc178709294"/>
      <w:bookmarkEnd w:id="2238"/>
      <w:bookmarkStart w:id="2239" w:name="_Toc178773018"/>
      <w:bookmarkEnd w:id="2239"/>
      <w:bookmarkStart w:id="2240" w:name="_Toc178705416"/>
      <w:bookmarkEnd w:id="2240"/>
      <w:bookmarkStart w:id="2241" w:name="_Toc178709298"/>
      <w:bookmarkEnd w:id="2241"/>
      <w:bookmarkStart w:id="2242" w:name="_Toc178709299"/>
      <w:bookmarkEnd w:id="2242"/>
      <w:bookmarkStart w:id="2243" w:name="_Toc178929621"/>
      <w:bookmarkEnd w:id="2243"/>
      <w:bookmarkStart w:id="2244" w:name="_Toc178705414"/>
      <w:bookmarkEnd w:id="2244"/>
      <w:bookmarkStart w:id="2245" w:name="_Toc178706316"/>
      <w:bookmarkEnd w:id="2245"/>
      <w:bookmarkStart w:id="2246" w:name="_Toc178705419"/>
      <w:bookmarkEnd w:id="2246"/>
      <w:bookmarkStart w:id="2247" w:name="_Toc178773019"/>
      <w:bookmarkEnd w:id="2247"/>
      <w:bookmarkStart w:id="2248" w:name="_Toc178773021"/>
      <w:bookmarkEnd w:id="2248"/>
      <w:bookmarkStart w:id="2249" w:name="_Toc178929624"/>
      <w:bookmarkEnd w:id="2249"/>
      <w:bookmarkStart w:id="2250" w:name="_Toc178773020"/>
      <w:bookmarkEnd w:id="2250"/>
      <w:bookmarkStart w:id="2251" w:name="_Toc178773016"/>
      <w:bookmarkEnd w:id="2251"/>
      <w:bookmarkStart w:id="2252" w:name="_Toc178705417"/>
      <w:bookmarkEnd w:id="2252"/>
      <w:bookmarkStart w:id="2253" w:name="_Toc178706319"/>
      <w:bookmarkEnd w:id="2253"/>
      <w:bookmarkStart w:id="2254" w:name="_Toc178706321"/>
      <w:bookmarkEnd w:id="2254"/>
      <w:bookmarkStart w:id="2255" w:name="_Toc178929618"/>
      <w:bookmarkEnd w:id="2255"/>
      <w:bookmarkStart w:id="2256" w:name="_Toc178709295"/>
      <w:bookmarkEnd w:id="2256"/>
      <w:bookmarkStart w:id="2257" w:name="_Toc178709296"/>
      <w:bookmarkEnd w:id="2257"/>
      <w:bookmarkStart w:id="2258" w:name="_Toc178929619"/>
      <w:bookmarkEnd w:id="2258"/>
      <w:bookmarkStart w:id="2259" w:name="_Toc178709297"/>
      <w:bookmarkEnd w:id="2259"/>
      <w:bookmarkStart w:id="2260" w:name="_Toc178706318"/>
      <w:bookmarkEnd w:id="2260"/>
      <w:bookmarkStart w:id="2261" w:name="_Toc178706320"/>
      <w:bookmarkEnd w:id="2261"/>
      <w:bookmarkStart w:id="2262" w:name="_Toc178706317"/>
      <w:bookmarkEnd w:id="2262"/>
      <w:bookmarkStart w:id="2263" w:name="_Toc178773017"/>
      <w:bookmarkEnd w:id="2263"/>
      <w:bookmarkStart w:id="2264" w:name="_Toc178929622"/>
      <w:bookmarkEnd w:id="2264"/>
      <w:bookmarkStart w:id="2265" w:name="_Toc178929620"/>
      <w:bookmarkEnd w:id="2265"/>
      <w:bookmarkStart w:id="2266" w:name="_Toc178929623"/>
      <w:bookmarkEnd w:id="2266"/>
      <w:bookmarkStart w:id="2267" w:name="_Toc178705415"/>
      <w:bookmarkEnd w:id="2267"/>
      <w:bookmarkStart w:id="2268" w:name="_Toc178773015"/>
      <w:bookmarkEnd w:id="2268"/>
      <w:bookmarkStart w:id="2269" w:name="_Toc178705418"/>
      <w:bookmarkEnd w:id="2269"/>
      <w:bookmarkStart w:id="2270" w:name="_Toc178706323"/>
      <w:bookmarkEnd w:id="2270"/>
      <w:bookmarkStart w:id="2271" w:name="_Toc178705423"/>
      <w:bookmarkEnd w:id="2271"/>
      <w:bookmarkStart w:id="2272" w:name="_Toc178929627"/>
      <w:bookmarkEnd w:id="2272"/>
      <w:bookmarkStart w:id="2273" w:name="_Toc178709303"/>
      <w:bookmarkEnd w:id="2273"/>
      <w:bookmarkStart w:id="2274" w:name="_Toc178929629"/>
      <w:bookmarkEnd w:id="2274"/>
      <w:bookmarkStart w:id="2275" w:name="_Toc178929625"/>
      <w:bookmarkEnd w:id="2275"/>
      <w:bookmarkStart w:id="2276" w:name="_Toc178929628"/>
      <w:bookmarkEnd w:id="2276"/>
      <w:bookmarkStart w:id="2277" w:name="_Toc178705425"/>
      <w:bookmarkEnd w:id="2277"/>
      <w:bookmarkStart w:id="2278" w:name="_Toc178706327"/>
      <w:bookmarkEnd w:id="2278"/>
      <w:bookmarkStart w:id="2279" w:name="_Toc178709305"/>
      <w:bookmarkEnd w:id="2279"/>
      <w:bookmarkStart w:id="2280" w:name="_Toc178773027"/>
      <w:bookmarkEnd w:id="2280"/>
      <w:bookmarkStart w:id="2281" w:name="_Toc178706324"/>
      <w:bookmarkEnd w:id="2281"/>
      <w:bookmarkStart w:id="2282" w:name="_Toc178773026"/>
      <w:bookmarkEnd w:id="2282"/>
      <w:bookmarkStart w:id="2283" w:name="_Toc178929630"/>
      <w:bookmarkEnd w:id="2283"/>
      <w:bookmarkStart w:id="2284" w:name="_Toc178705436"/>
      <w:bookmarkEnd w:id="2284"/>
      <w:bookmarkStart w:id="2285" w:name="_Toc178706338"/>
      <w:bookmarkEnd w:id="2285"/>
      <w:bookmarkStart w:id="2286" w:name="_Toc178773022"/>
      <w:bookmarkEnd w:id="2286"/>
      <w:bookmarkStart w:id="2287" w:name="_Toc178705421"/>
      <w:bookmarkEnd w:id="2287"/>
      <w:bookmarkStart w:id="2288" w:name="_Toc178773023"/>
      <w:bookmarkEnd w:id="2288"/>
      <w:bookmarkStart w:id="2289" w:name="_Toc178773025"/>
      <w:bookmarkEnd w:id="2289"/>
      <w:bookmarkStart w:id="2290" w:name="_Toc178773024"/>
      <w:bookmarkEnd w:id="2290"/>
      <w:bookmarkStart w:id="2291" w:name="_Toc178705424"/>
      <w:bookmarkEnd w:id="2291"/>
      <w:bookmarkStart w:id="2292" w:name="_Toc178706326"/>
      <w:bookmarkEnd w:id="2292"/>
      <w:bookmarkStart w:id="2293" w:name="_Toc178929626"/>
      <w:bookmarkEnd w:id="2293"/>
      <w:bookmarkStart w:id="2294" w:name="_Toc178705422"/>
      <w:bookmarkEnd w:id="2294"/>
      <w:bookmarkStart w:id="2295" w:name="_Toc178706322"/>
      <w:bookmarkEnd w:id="2295"/>
      <w:bookmarkStart w:id="2296" w:name="_Toc178709302"/>
      <w:bookmarkEnd w:id="2296"/>
      <w:bookmarkStart w:id="2297" w:name="_Toc178705420"/>
      <w:bookmarkEnd w:id="2297"/>
      <w:bookmarkStart w:id="2298" w:name="_Toc178709301"/>
      <w:bookmarkEnd w:id="2298"/>
      <w:bookmarkStart w:id="2299" w:name="_Toc178709300"/>
      <w:bookmarkEnd w:id="2299"/>
      <w:bookmarkStart w:id="2300" w:name="_Toc178706325"/>
      <w:bookmarkEnd w:id="2300"/>
      <w:bookmarkStart w:id="2301" w:name="_Toc178709304"/>
      <w:bookmarkEnd w:id="2301"/>
      <w:bookmarkStart w:id="2302" w:name="_Toc178773038"/>
      <w:bookmarkEnd w:id="2302"/>
      <w:bookmarkStart w:id="2303" w:name="_Toc178709319"/>
      <w:bookmarkEnd w:id="2303"/>
      <w:bookmarkStart w:id="2304" w:name="_Toc178929644"/>
      <w:bookmarkEnd w:id="2304"/>
      <w:bookmarkStart w:id="2305" w:name="_Toc178773043"/>
      <w:bookmarkEnd w:id="2305"/>
      <w:bookmarkStart w:id="2306" w:name="_Toc178929646"/>
      <w:bookmarkEnd w:id="2306"/>
      <w:bookmarkStart w:id="2307" w:name="_Toc178773039"/>
      <w:bookmarkEnd w:id="2307"/>
      <w:bookmarkStart w:id="2308" w:name="_Toc178929642"/>
      <w:bookmarkEnd w:id="2308"/>
      <w:bookmarkStart w:id="2309" w:name="_Toc178709320"/>
      <w:bookmarkEnd w:id="2309"/>
      <w:bookmarkStart w:id="2310" w:name="_Toc178705442"/>
      <w:bookmarkEnd w:id="2310"/>
      <w:bookmarkStart w:id="2311" w:name="_Toc178929643"/>
      <w:bookmarkEnd w:id="2311"/>
      <w:bookmarkStart w:id="2312" w:name="_Toc178705441"/>
      <w:bookmarkEnd w:id="2312"/>
      <w:bookmarkStart w:id="2313" w:name="_Toc178705438"/>
      <w:bookmarkEnd w:id="2313"/>
      <w:bookmarkStart w:id="2314" w:name="_Toc178706340"/>
      <w:bookmarkEnd w:id="2314"/>
      <w:bookmarkStart w:id="2315" w:name="_Toc178709318"/>
      <w:bookmarkEnd w:id="2315"/>
      <w:bookmarkStart w:id="2316" w:name="_Toc178773041"/>
      <w:bookmarkEnd w:id="2316"/>
      <w:bookmarkStart w:id="2317" w:name="_Toc178706341"/>
      <w:bookmarkEnd w:id="2317"/>
      <w:bookmarkStart w:id="2318" w:name="_Toc178705440"/>
      <w:bookmarkEnd w:id="2318"/>
      <w:bookmarkStart w:id="2319" w:name="_Toc178709316"/>
      <w:bookmarkEnd w:id="2319"/>
      <w:bookmarkStart w:id="2320" w:name="_Toc178929645"/>
      <w:bookmarkEnd w:id="2320"/>
      <w:bookmarkStart w:id="2321" w:name="_Toc178706344"/>
      <w:bookmarkEnd w:id="2321"/>
      <w:bookmarkStart w:id="2322" w:name="_Toc178709317"/>
      <w:bookmarkEnd w:id="2322"/>
      <w:bookmarkStart w:id="2323" w:name="_Toc178706339"/>
      <w:bookmarkEnd w:id="2323"/>
      <w:bookmarkStart w:id="2324" w:name="_Toc178709322"/>
      <w:bookmarkEnd w:id="2324"/>
      <w:bookmarkStart w:id="2325" w:name="_Toc178773044"/>
      <w:bookmarkEnd w:id="2325"/>
      <w:bookmarkStart w:id="2326" w:name="_Toc178706343"/>
      <w:bookmarkEnd w:id="2326"/>
      <w:bookmarkStart w:id="2327" w:name="_Toc178705439"/>
      <w:bookmarkEnd w:id="2327"/>
      <w:bookmarkStart w:id="2328" w:name="_Toc178929641"/>
      <w:bookmarkEnd w:id="2328"/>
      <w:bookmarkStart w:id="2329" w:name="_Toc178705437"/>
      <w:bookmarkEnd w:id="2329"/>
      <w:bookmarkStart w:id="2330" w:name="_Toc178773040"/>
      <w:bookmarkEnd w:id="2330"/>
      <w:bookmarkStart w:id="2331" w:name="_Toc178773042"/>
      <w:bookmarkEnd w:id="2331"/>
      <w:bookmarkStart w:id="2332" w:name="_Toc178706342"/>
      <w:bookmarkEnd w:id="2332"/>
      <w:bookmarkStart w:id="2333" w:name="_Toc178709321"/>
      <w:bookmarkEnd w:id="2333"/>
      <w:bookmarkStart w:id="2334" w:name="_Toc178709327"/>
      <w:bookmarkEnd w:id="2334"/>
      <w:bookmarkStart w:id="2335" w:name="_Toc178773045"/>
      <w:bookmarkEnd w:id="2335"/>
      <w:bookmarkStart w:id="2336" w:name="_Toc178929652"/>
      <w:bookmarkEnd w:id="2336"/>
      <w:bookmarkStart w:id="2337" w:name="_Toc178705448"/>
      <w:bookmarkEnd w:id="2337"/>
      <w:bookmarkStart w:id="2338" w:name="_Toc178706350"/>
      <w:bookmarkEnd w:id="2338"/>
      <w:bookmarkStart w:id="2339" w:name="_Toc178929653"/>
      <w:bookmarkEnd w:id="2339"/>
      <w:bookmarkStart w:id="2340" w:name="_Toc178709328"/>
      <w:bookmarkEnd w:id="2340"/>
      <w:bookmarkStart w:id="2341" w:name="_Toc178773049"/>
      <w:bookmarkEnd w:id="2341"/>
      <w:bookmarkStart w:id="2342" w:name="_Toc178929648"/>
      <w:bookmarkEnd w:id="2342"/>
      <w:bookmarkStart w:id="2343" w:name="_Toc178706345"/>
      <w:bookmarkEnd w:id="2343"/>
      <w:bookmarkStart w:id="2344" w:name="_Toc178706347"/>
      <w:bookmarkEnd w:id="2344"/>
      <w:bookmarkStart w:id="2345" w:name="_Toc178773048"/>
      <w:bookmarkEnd w:id="2345"/>
      <w:bookmarkStart w:id="2346" w:name="_Toc178929651"/>
      <w:bookmarkEnd w:id="2346"/>
      <w:bookmarkStart w:id="2347" w:name="_Toc178773050"/>
      <w:bookmarkEnd w:id="2347"/>
      <w:bookmarkStart w:id="2348" w:name="_Toc178705449"/>
      <w:bookmarkEnd w:id="2348"/>
      <w:bookmarkStart w:id="2349" w:name="_Toc178705445"/>
      <w:bookmarkEnd w:id="2349"/>
      <w:bookmarkStart w:id="2350" w:name="_Toc178773046"/>
      <w:bookmarkEnd w:id="2350"/>
      <w:bookmarkStart w:id="2351" w:name="_Toc178705443"/>
      <w:bookmarkEnd w:id="2351"/>
      <w:bookmarkStart w:id="2352" w:name="_Toc178705444"/>
      <w:bookmarkEnd w:id="2352"/>
      <w:bookmarkStart w:id="2353" w:name="_Toc178709324"/>
      <w:bookmarkEnd w:id="2353"/>
      <w:bookmarkStart w:id="2354" w:name="_Toc178929647"/>
      <w:bookmarkEnd w:id="2354"/>
      <w:bookmarkStart w:id="2355" w:name="_Toc178706346"/>
      <w:bookmarkEnd w:id="2355"/>
      <w:bookmarkStart w:id="2356" w:name="_Toc178929649"/>
      <w:bookmarkEnd w:id="2356"/>
      <w:bookmarkStart w:id="2357" w:name="_Toc178709325"/>
      <w:bookmarkEnd w:id="2357"/>
      <w:bookmarkStart w:id="2358" w:name="_Toc178773047"/>
      <w:bookmarkEnd w:id="2358"/>
      <w:bookmarkStart w:id="2359" w:name="_Toc178929650"/>
      <w:bookmarkEnd w:id="2359"/>
      <w:bookmarkStart w:id="2360" w:name="_Toc178709323"/>
      <w:bookmarkEnd w:id="2360"/>
      <w:bookmarkStart w:id="2361" w:name="_Toc178705446"/>
      <w:bookmarkEnd w:id="2361"/>
      <w:bookmarkStart w:id="2362" w:name="_Toc178709326"/>
      <w:bookmarkEnd w:id="2362"/>
      <w:bookmarkStart w:id="2363" w:name="_Toc178706348"/>
      <w:bookmarkEnd w:id="2363"/>
      <w:bookmarkStart w:id="2364" w:name="_Toc178705447"/>
      <w:bookmarkEnd w:id="2364"/>
      <w:bookmarkStart w:id="2365" w:name="_Toc178706349"/>
      <w:bookmarkEnd w:id="2365"/>
      <w:bookmarkStart w:id="2366" w:name="_Toc178705451"/>
      <w:bookmarkEnd w:id="2366"/>
      <w:bookmarkStart w:id="2367" w:name="_Toc178706356"/>
      <w:bookmarkEnd w:id="2367"/>
      <w:bookmarkStart w:id="2368" w:name="_Toc178709330"/>
      <w:bookmarkEnd w:id="2368"/>
      <w:bookmarkStart w:id="2369" w:name="_Toc178929657"/>
      <w:bookmarkEnd w:id="2369"/>
      <w:bookmarkStart w:id="2370" w:name="_Toc178709334"/>
      <w:bookmarkEnd w:id="2370"/>
      <w:bookmarkStart w:id="2371" w:name="_Toc178706353"/>
      <w:bookmarkEnd w:id="2371"/>
      <w:bookmarkStart w:id="2372" w:name="_Toc178773056"/>
      <w:bookmarkEnd w:id="2372"/>
      <w:bookmarkStart w:id="2373" w:name="_Toc178929659"/>
      <w:bookmarkEnd w:id="2373"/>
      <w:bookmarkStart w:id="2374" w:name="_Toc178709333"/>
      <w:bookmarkEnd w:id="2374"/>
      <w:bookmarkStart w:id="2375" w:name="_Toc178705452"/>
      <w:bookmarkEnd w:id="2375"/>
      <w:bookmarkStart w:id="2376" w:name="_Toc178706357"/>
      <w:bookmarkEnd w:id="2376"/>
      <w:bookmarkStart w:id="2377" w:name="_Toc178709335"/>
      <w:bookmarkEnd w:id="2377"/>
      <w:bookmarkStart w:id="2378" w:name="_Toc178705453"/>
      <w:bookmarkEnd w:id="2378"/>
      <w:bookmarkStart w:id="2379" w:name="_Toc178709331"/>
      <w:bookmarkEnd w:id="2379"/>
      <w:bookmarkStart w:id="2380" w:name="_Toc178773053"/>
      <w:bookmarkEnd w:id="2380"/>
      <w:bookmarkStart w:id="2381" w:name="_Toc178773055"/>
      <w:bookmarkEnd w:id="2381"/>
      <w:bookmarkStart w:id="2382" w:name="_Toc178705454"/>
      <w:bookmarkEnd w:id="2382"/>
      <w:bookmarkStart w:id="2383" w:name="_Toc178705455"/>
      <w:bookmarkEnd w:id="2383"/>
      <w:bookmarkStart w:id="2384" w:name="_Toc178929654"/>
      <w:bookmarkEnd w:id="2384"/>
      <w:bookmarkStart w:id="2385" w:name="_Toc178929655"/>
      <w:bookmarkEnd w:id="2385"/>
      <w:bookmarkStart w:id="2386" w:name="_Toc178706351"/>
      <w:bookmarkEnd w:id="2386"/>
      <w:bookmarkStart w:id="2387" w:name="_Toc178929656"/>
      <w:bookmarkEnd w:id="2387"/>
      <w:bookmarkStart w:id="2388" w:name="_Toc178773052"/>
      <w:bookmarkEnd w:id="2388"/>
      <w:bookmarkStart w:id="2389" w:name="_Toc178773054"/>
      <w:bookmarkEnd w:id="2389"/>
      <w:bookmarkStart w:id="2390" w:name="_Toc178773051"/>
      <w:bookmarkEnd w:id="2390"/>
      <w:bookmarkStart w:id="2391" w:name="_Toc178705450"/>
      <w:bookmarkEnd w:id="2391"/>
      <w:bookmarkStart w:id="2392" w:name="_Toc178706354"/>
      <w:bookmarkEnd w:id="2392"/>
      <w:bookmarkStart w:id="2393" w:name="_Toc178706352"/>
      <w:bookmarkEnd w:id="2393"/>
      <w:bookmarkStart w:id="2394" w:name="_Toc178706355"/>
      <w:bookmarkEnd w:id="2394"/>
      <w:bookmarkStart w:id="2395" w:name="_Toc178709329"/>
      <w:bookmarkEnd w:id="2395"/>
      <w:bookmarkStart w:id="2396" w:name="_Toc178709332"/>
      <w:bookmarkEnd w:id="2396"/>
      <w:bookmarkStart w:id="2397" w:name="_Toc178929658"/>
      <w:bookmarkEnd w:id="2397"/>
      <w:bookmarkStart w:id="2398" w:name="_Toc178773057"/>
      <w:bookmarkEnd w:id="2398"/>
      <w:bookmarkStart w:id="2399" w:name="_Toc178705459"/>
      <w:bookmarkEnd w:id="2399"/>
      <w:bookmarkStart w:id="2400" w:name="_Toc178773061"/>
      <w:bookmarkEnd w:id="2400"/>
      <w:bookmarkStart w:id="2401" w:name="_Toc178705458"/>
      <w:bookmarkEnd w:id="2401"/>
      <w:bookmarkStart w:id="2402" w:name="_Toc178705460"/>
      <w:bookmarkEnd w:id="2402"/>
      <w:bookmarkStart w:id="2403" w:name="_Toc178706362"/>
      <w:bookmarkEnd w:id="2403"/>
      <w:bookmarkStart w:id="2404" w:name="_Toc178929661"/>
      <w:bookmarkEnd w:id="2404"/>
      <w:bookmarkStart w:id="2405" w:name="_Toc178929665"/>
      <w:bookmarkEnd w:id="2405"/>
      <w:bookmarkStart w:id="2406" w:name="_Toc178706363"/>
      <w:bookmarkEnd w:id="2406"/>
      <w:bookmarkStart w:id="2407" w:name="_Toc178709337"/>
      <w:bookmarkEnd w:id="2407"/>
      <w:bookmarkStart w:id="2408" w:name="_Toc178706360"/>
      <w:bookmarkEnd w:id="2408"/>
      <w:bookmarkStart w:id="2409" w:name="_Toc178773063"/>
      <w:bookmarkEnd w:id="2409"/>
      <w:bookmarkStart w:id="2410" w:name="_Toc178705461"/>
      <w:bookmarkEnd w:id="2410"/>
      <w:bookmarkStart w:id="2411" w:name="_Toc178709340"/>
      <w:bookmarkEnd w:id="2411"/>
      <w:bookmarkStart w:id="2412" w:name="_Toc178929664"/>
      <w:bookmarkEnd w:id="2412"/>
      <w:bookmarkStart w:id="2413" w:name="_Toc178929662"/>
      <w:bookmarkEnd w:id="2413"/>
      <w:bookmarkStart w:id="2414" w:name="_Toc178709336"/>
      <w:bookmarkEnd w:id="2414"/>
      <w:bookmarkStart w:id="2415" w:name="_Toc178773058"/>
      <w:bookmarkEnd w:id="2415"/>
      <w:bookmarkStart w:id="2416" w:name="_Toc178705456"/>
      <w:bookmarkEnd w:id="2416"/>
      <w:bookmarkStart w:id="2417" w:name="_Toc178773062"/>
      <w:bookmarkEnd w:id="2417"/>
      <w:bookmarkStart w:id="2418" w:name="_Toc178709341"/>
      <w:bookmarkEnd w:id="2418"/>
      <w:bookmarkStart w:id="2419" w:name="_Toc178929666"/>
      <w:bookmarkEnd w:id="2419"/>
      <w:bookmarkStart w:id="2420" w:name="_Toc178709338"/>
      <w:bookmarkEnd w:id="2420"/>
      <w:bookmarkStart w:id="2421" w:name="_Toc178706358"/>
      <w:bookmarkEnd w:id="2421"/>
      <w:bookmarkStart w:id="2422" w:name="_Toc178706359"/>
      <w:bookmarkEnd w:id="2422"/>
      <w:bookmarkStart w:id="2423" w:name="_Toc178929663"/>
      <w:bookmarkEnd w:id="2423"/>
      <w:bookmarkStart w:id="2424" w:name="_Toc178773059"/>
      <w:bookmarkEnd w:id="2424"/>
      <w:bookmarkStart w:id="2425" w:name="_Toc178929660"/>
      <w:bookmarkEnd w:id="2425"/>
      <w:bookmarkStart w:id="2426" w:name="_Toc178773060"/>
      <w:bookmarkEnd w:id="2426"/>
      <w:bookmarkStart w:id="2427" w:name="_Toc178706361"/>
      <w:bookmarkEnd w:id="2427"/>
      <w:bookmarkStart w:id="2428" w:name="_Toc178705457"/>
      <w:bookmarkEnd w:id="2428"/>
      <w:bookmarkStart w:id="2429" w:name="_Toc178709339"/>
      <w:bookmarkEnd w:id="2429"/>
      <w:bookmarkStart w:id="2430" w:name="_Toc178705467"/>
      <w:bookmarkEnd w:id="2430"/>
      <w:bookmarkStart w:id="2431" w:name="_Toc178705465"/>
      <w:bookmarkEnd w:id="2431"/>
      <w:bookmarkStart w:id="2432" w:name="_Toc178706365"/>
      <w:bookmarkEnd w:id="2432"/>
      <w:bookmarkStart w:id="2433" w:name="_Toc178705464"/>
      <w:bookmarkEnd w:id="2433"/>
      <w:bookmarkStart w:id="2434" w:name="_Toc178706369"/>
      <w:bookmarkEnd w:id="2434"/>
      <w:bookmarkStart w:id="2435" w:name="_Toc178709343"/>
      <w:bookmarkEnd w:id="2435"/>
      <w:bookmarkStart w:id="2436" w:name="_Toc178709347"/>
      <w:bookmarkEnd w:id="2436"/>
      <w:bookmarkStart w:id="2437" w:name="_Toc178773069"/>
      <w:bookmarkEnd w:id="2437"/>
      <w:bookmarkStart w:id="2438" w:name="_Toc178706367"/>
      <w:bookmarkEnd w:id="2438"/>
      <w:bookmarkStart w:id="2439" w:name="_Toc178709342"/>
      <w:bookmarkEnd w:id="2439"/>
      <w:bookmarkStart w:id="2440" w:name="_Toc178773066"/>
      <w:bookmarkEnd w:id="2440"/>
      <w:bookmarkStart w:id="2441" w:name="_Toc178773068"/>
      <w:bookmarkEnd w:id="2441"/>
      <w:bookmarkStart w:id="2442" w:name="_Toc178929672"/>
      <w:bookmarkEnd w:id="2442"/>
      <w:bookmarkStart w:id="2443" w:name="_Toc178705468"/>
      <w:bookmarkEnd w:id="2443"/>
      <w:bookmarkStart w:id="2444" w:name="_Toc178706370"/>
      <w:bookmarkEnd w:id="2444"/>
      <w:bookmarkStart w:id="2445" w:name="_Toc178709346"/>
      <w:bookmarkEnd w:id="2445"/>
      <w:bookmarkStart w:id="2446" w:name="_Toc178705466"/>
      <w:bookmarkEnd w:id="2446"/>
      <w:bookmarkStart w:id="2447" w:name="_Toc178709344"/>
      <w:bookmarkEnd w:id="2447"/>
      <w:bookmarkStart w:id="2448" w:name="_Toc178706364"/>
      <w:bookmarkEnd w:id="2448"/>
      <w:bookmarkStart w:id="2449" w:name="_Toc178709345"/>
      <w:bookmarkEnd w:id="2449"/>
      <w:bookmarkStart w:id="2450" w:name="_Toc178929668"/>
      <w:bookmarkEnd w:id="2450"/>
      <w:bookmarkStart w:id="2451" w:name="_Toc178706366"/>
      <w:bookmarkEnd w:id="2451"/>
      <w:bookmarkStart w:id="2452" w:name="_Toc178773067"/>
      <w:bookmarkEnd w:id="2452"/>
      <w:bookmarkStart w:id="2453" w:name="_Toc178929670"/>
      <w:bookmarkEnd w:id="2453"/>
      <w:bookmarkStart w:id="2454" w:name="_Toc178773064"/>
      <w:bookmarkEnd w:id="2454"/>
      <w:bookmarkStart w:id="2455" w:name="_Toc178705462"/>
      <w:bookmarkEnd w:id="2455"/>
      <w:bookmarkStart w:id="2456" w:name="_Toc178705463"/>
      <w:bookmarkEnd w:id="2456"/>
      <w:bookmarkStart w:id="2457" w:name="_Toc178773065"/>
      <w:bookmarkEnd w:id="2457"/>
      <w:bookmarkStart w:id="2458" w:name="_Toc178929669"/>
      <w:bookmarkEnd w:id="2458"/>
      <w:bookmarkStart w:id="2459" w:name="_Toc178929667"/>
      <w:bookmarkEnd w:id="2459"/>
      <w:bookmarkStart w:id="2460" w:name="_Toc178706368"/>
      <w:bookmarkEnd w:id="2460"/>
      <w:bookmarkStart w:id="2461" w:name="_Toc178929671"/>
      <w:bookmarkEnd w:id="2461"/>
      <w:bookmarkStart w:id="2462" w:name="_Toc178929673"/>
      <w:bookmarkEnd w:id="2462"/>
      <w:bookmarkStart w:id="2463" w:name="_Toc178709348"/>
      <w:bookmarkEnd w:id="2463"/>
      <w:bookmarkStart w:id="2464" w:name="_Toc178773070"/>
      <w:bookmarkEnd w:id="2464"/>
      <w:bookmarkStart w:id="2465" w:name="_Toc189845044"/>
      <w:r>
        <w:rPr>
          <w:lang w:val="en-US"/>
        </w:rPr>
        <w:t>Model inference</w:t>
      </w:r>
      <w:bookmarkEnd w:id="2465"/>
    </w:p>
    <w:p w14:paraId="422794C8">
      <w:pPr>
        <w:pStyle w:val="3"/>
        <w:rPr>
          <w:lang w:val="en-US"/>
        </w:rPr>
      </w:pPr>
      <w:bookmarkStart w:id="2466" w:name="_Ref163214421"/>
      <w:bookmarkStart w:id="2467" w:name="_Toc189845045"/>
      <w:bookmarkStart w:id="2468" w:name="_Toc165991019"/>
      <w:r>
        <w:rPr>
          <w:lang w:val="en-US"/>
        </w:rPr>
        <w:t>Signaling to support model inference</w:t>
      </w:r>
      <w:bookmarkEnd w:id="2466"/>
      <w:bookmarkEnd w:id="2467"/>
      <w:bookmarkEnd w:id="2468"/>
    </w:p>
    <w:p w14:paraId="4BC0A575">
      <w:r>
        <w:t>For the model inference stage of LCM, for an AI/ML model to work properly, the model inference context needs to be consistent with model training context. The model training context need to include all the settings that noticeably affect the model performance and cannot be ignored. A model cannot be activated for inference without checking the model inference context requirement. Specifically,</w:t>
      </w:r>
    </w:p>
    <w:p w14:paraId="7D76054D">
      <w:pPr>
        <w:pStyle w:val="133"/>
        <w:numPr>
          <w:ilvl w:val="0"/>
          <w:numId w:val="56"/>
        </w:numPr>
      </w:pPr>
      <w:r>
        <w:t xml:space="preserve">If the model inference context requirement is </w:t>
      </w:r>
      <w:r>
        <w:rPr>
          <w:u w:val="single"/>
        </w:rPr>
        <w:t>satisfied</w:t>
      </w:r>
      <w:r>
        <w:t>, then the model inference can proceed.</w:t>
      </w:r>
    </w:p>
    <w:p w14:paraId="40F403C9">
      <w:pPr>
        <w:pStyle w:val="133"/>
        <w:numPr>
          <w:ilvl w:val="1"/>
          <w:numId w:val="56"/>
        </w:numPr>
      </w:pPr>
      <w:r>
        <w:t>This is the ideal case where the trained model is fully compatible with the deployment environment.</w:t>
      </w:r>
    </w:p>
    <w:p w14:paraId="36F7A8D0">
      <w:pPr>
        <w:pStyle w:val="133"/>
        <w:numPr>
          <w:ilvl w:val="0"/>
          <w:numId w:val="56"/>
        </w:numPr>
      </w:pPr>
      <w:r>
        <w:t xml:space="preserve">If the model inference context requirement is </w:t>
      </w:r>
      <w:r>
        <w:rPr>
          <w:u w:val="single"/>
        </w:rPr>
        <w:t>not satisfied</w:t>
      </w:r>
      <w:r>
        <w:t xml:space="preserve">, then configuration can be </w:t>
      </w:r>
      <w:r>
        <w:rPr>
          <w:u w:val="single"/>
        </w:rPr>
        <w:t>updated</w:t>
      </w:r>
      <w:r>
        <w:t xml:space="preserve"> to satisfy the model inference context requirement. After that, the model inference can proceed. </w:t>
      </w:r>
    </w:p>
    <w:p w14:paraId="33B664FE">
      <w:pPr>
        <w:pStyle w:val="133"/>
        <w:numPr>
          <w:ilvl w:val="1"/>
          <w:numId w:val="56"/>
        </w:numPr>
      </w:pPr>
      <w:r>
        <w:t>This may happen if the model is trained for the deployment area, but some of the parameters (e.g., PRS) are not configured the same as in the model training.</w:t>
      </w:r>
    </w:p>
    <w:p w14:paraId="774D2E3A">
      <w:pPr>
        <w:pStyle w:val="133"/>
        <w:numPr>
          <w:ilvl w:val="0"/>
          <w:numId w:val="56"/>
        </w:numPr>
      </w:pPr>
      <w:r>
        <w:t xml:space="preserve">If the model inference context requirement is </w:t>
      </w:r>
      <w:r>
        <w:rPr>
          <w:u w:val="single"/>
        </w:rPr>
        <w:t>not satisfied</w:t>
      </w:r>
      <w:r>
        <w:t xml:space="preserve">, and the configuration </w:t>
      </w:r>
      <w:r>
        <w:rPr>
          <w:u w:val="single"/>
        </w:rPr>
        <w:t>cannot be updated</w:t>
      </w:r>
      <w:r>
        <w:t xml:space="preserve"> to satisfy the model inference context requirement, then model inference may not proceed. A notification message (e.g., an error message) can be sent on the failure of model inference due to mismatched context between model training and model inference.</w:t>
      </w:r>
    </w:p>
    <w:p w14:paraId="17D668BC">
      <w:pPr>
        <w:pStyle w:val="133"/>
        <w:numPr>
          <w:ilvl w:val="1"/>
          <w:numId w:val="56"/>
        </w:numPr>
      </w:pPr>
      <w:r>
        <w:t>This may happen if the deployment area is different from the validity area of the trained model.</w:t>
      </w:r>
    </w:p>
    <w:p w14:paraId="5505E9EA">
      <w:pPr>
        <w:spacing w:before="240"/>
      </w:pPr>
      <w:r>
        <w:t>Under the broad outline above, there can be further nuanced procedure, if the context requirement is not satisfied for a subset of the TRPs (TRP</w:t>
      </w:r>
      <w:r>
        <w:rPr>
          <w:vertAlign w:val="subscript"/>
        </w:rPr>
        <w:t>inconsistent</w:t>
      </w:r>
      <w:r>
        <w:t>), but satisfied for the remaining TRPs (TRP</w:t>
      </w:r>
      <w:r>
        <w:rPr>
          <w:vertAlign w:val="subscript"/>
        </w:rPr>
        <w:t>consistent</w:t>
      </w:r>
      <w:r>
        <w:t>). For example, for TRP</w:t>
      </w:r>
      <w:r>
        <w:rPr>
          <w:vertAlign w:val="subscript"/>
        </w:rPr>
        <w:t>inconsistent</w:t>
      </w:r>
      <w:r>
        <w:t>, the PRS beam pattern is changed between training data collection phase and model inference phase. In this case, if the model has been trained to handle a varying number of TRPs and/or a varying set of TRPs, then the model inference can still proceed by including TRP</w:t>
      </w:r>
      <w:r>
        <w:rPr>
          <w:vertAlign w:val="subscript"/>
        </w:rPr>
        <w:t>consistent</w:t>
      </w:r>
      <w:r>
        <w:t xml:space="preserve"> in model inference, while excluding TRP</w:t>
      </w:r>
      <w:r>
        <w:rPr>
          <w:vertAlign w:val="subscript"/>
        </w:rPr>
        <w:t>inconsistent</w:t>
      </w:r>
      <w:r>
        <w:t>.</w:t>
      </w:r>
    </w:p>
    <w:p w14:paraId="71885A0B"/>
    <w:p w14:paraId="2E38F309">
      <w:r>
        <w:t xml:space="preserve">The model inference context requirement includes at least the following of an AI/ML model, which are directly related to the model input of the various positioning cases: </w:t>
      </w:r>
    </w:p>
    <w:p w14:paraId="7C0D7222">
      <w:pPr>
        <w:pStyle w:val="133"/>
        <w:numPr>
          <w:ilvl w:val="1"/>
          <w:numId w:val="57"/>
        </w:numPr>
      </w:pPr>
      <w:r>
        <w:t xml:space="preserve">validity area of the model for inference, e.g., a list of TRPs that transmits PRS (for downlink based cases) or receives SRS (for uplink based bases), </w:t>
      </w:r>
    </w:p>
    <w:p w14:paraId="37DF81B0">
      <w:pPr>
        <w:pStyle w:val="133"/>
        <w:numPr>
          <w:ilvl w:val="1"/>
          <w:numId w:val="57"/>
        </w:numPr>
      </w:pPr>
      <w:r>
        <w:rPr>
          <w:rFonts w:eastAsiaTheme="minorEastAsia"/>
        </w:rPr>
        <w:t>configuration of reference signal transmission and measurement</w:t>
      </w:r>
      <w:r>
        <w:t xml:space="preserve">, </w:t>
      </w:r>
    </w:p>
    <w:p w14:paraId="5CC3EFDD">
      <w:pPr>
        <w:pStyle w:val="133"/>
        <w:numPr>
          <w:ilvl w:val="2"/>
          <w:numId w:val="57"/>
        </w:numPr>
      </w:pPr>
      <w:r>
        <w:t>For models using DL PRS (Case 1, 2a, 2b), this refers to DL PRS configuration for transmission (Case 1, 2a, 2b), and measurement report on PRS (Case 2b).</w:t>
      </w:r>
    </w:p>
    <w:p w14:paraId="34A7F183">
      <w:pPr>
        <w:pStyle w:val="133"/>
        <w:numPr>
          <w:ilvl w:val="2"/>
          <w:numId w:val="57"/>
        </w:numPr>
      </w:pPr>
      <w:r>
        <w:t>For models using UL SRS (Case 3a, 3b), this refers to UL SRS configuration for transmission (Case 3a, 3b), and measurement report on SRS (Case 3b).</w:t>
      </w:r>
    </w:p>
    <w:p w14:paraId="29836276">
      <w:r>
        <w:t xml:space="preserve">More context requirements need to be checked for compatibility, e.g., range of SNR/SINR. See the discussion on metadata of training data in section </w:t>
      </w:r>
      <w:r>
        <w:fldChar w:fldCharType="begin"/>
      </w:r>
      <w:r>
        <w:instrText xml:space="preserve"> REF _Ref178955360 \r </w:instrText>
      </w:r>
      <w:r>
        <w:fldChar w:fldCharType="separate"/>
      </w:r>
      <w:r>
        <w:t>5.2</w:t>
      </w:r>
      <w:r>
        <w:fldChar w:fldCharType="end"/>
      </w:r>
      <w:r>
        <w:t>.</w:t>
      </w:r>
    </w:p>
    <w:p w14:paraId="10A53324">
      <w:pPr>
        <w:pStyle w:val="3"/>
      </w:pPr>
      <w:bookmarkStart w:id="2469" w:name="_Toc189845046"/>
      <w:bookmarkStart w:id="2470" w:name="_Ref163214427"/>
      <w:r>
        <w:t>Consistency aspects in general</w:t>
      </w:r>
      <w:bookmarkEnd w:id="2469"/>
    </w:p>
    <w:p w14:paraId="58519CF0">
      <w:r>
        <w:t xml:space="preserve">In general, the observed fingerprint of a location is the composite picture including transmitter effect, radio channel, and receiver effect. To correctly determine a UE location based on fingerprinting, the features of the composite picture need to stay (approximately) the same for different UEs (e.g., PRU and normal UE) at different times (e.g., training data collection, model inference). Thus it is necessary to ensure consistency in any transmitter behavior (e.g., PRS configuration) and receiver behavior (e.g., measurement type and granularity, at least for Case 2b/3b) that affect the observed fingerprint. </w:t>
      </w:r>
    </w:p>
    <w:p w14:paraId="4DFE795B">
      <w:r>
        <w:t xml:space="preserve">Similar to the consistency issues discussed for the training data collection phase (see section </w:t>
      </w:r>
      <w:r>
        <w:fldChar w:fldCharType="begin"/>
      </w:r>
      <w:r>
        <w:instrText xml:space="preserve"> REF _Ref178955360 \r </w:instrText>
      </w:r>
      <w:r>
        <w:fldChar w:fldCharType="separate"/>
      </w:r>
      <w:r>
        <w:t>5.2</w:t>
      </w:r>
      <w:r>
        <w:fldChar w:fldCharType="end"/>
      </w:r>
      <w:r>
        <w:t>), for UE-side model, at the following need to be checked for consistency between training and inference.</w:t>
      </w:r>
    </w:p>
    <w:p w14:paraId="39109F38">
      <w:pPr>
        <w:pStyle w:val="133"/>
        <w:numPr>
          <w:ilvl w:val="2"/>
          <w:numId w:val="57"/>
        </w:numPr>
      </w:pPr>
      <w:r>
        <w:t xml:space="preserve">Validity area (section </w:t>
      </w:r>
      <w:r>
        <w:fldChar w:fldCharType="begin"/>
      </w:r>
      <w:r>
        <w:instrText xml:space="preserve"> REF _Ref181977318 \r </w:instrText>
      </w:r>
      <w:r>
        <w:fldChar w:fldCharType="separate"/>
      </w:r>
      <w:r>
        <w:t>7.2.1</w:t>
      </w:r>
      <w:r>
        <w:fldChar w:fldCharType="end"/>
      </w:r>
      <w:r>
        <w:t>)</w:t>
      </w:r>
    </w:p>
    <w:p w14:paraId="6C607546">
      <w:pPr>
        <w:pStyle w:val="133"/>
        <w:numPr>
          <w:ilvl w:val="2"/>
          <w:numId w:val="57"/>
        </w:numPr>
      </w:pPr>
      <w:r>
        <w:t>Assistance data. This includes:</w:t>
      </w:r>
    </w:p>
    <w:p w14:paraId="4727133C">
      <w:pPr>
        <w:pStyle w:val="133"/>
        <w:numPr>
          <w:ilvl w:val="3"/>
          <w:numId w:val="57"/>
        </w:numPr>
      </w:pPr>
      <w:r>
        <w:t xml:space="preserve">Explicit configuration for RS reception (section </w:t>
      </w:r>
      <w:r>
        <w:fldChar w:fldCharType="begin"/>
      </w:r>
      <w:r>
        <w:instrText xml:space="preserve"> REF _Ref181977519 \r </w:instrText>
      </w:r>
      <w:r>
        <w:fldChar w:fldCharType="separate"/>
      </w:r>
      <w:r>
        <w:t>7.2.2</w:t>
      </w:r>
      <w:r>
        <w:fldChar w:fldCharType="end"/>
      </w:r>
      <w:r>
        <w:t>)</w:t>
      </w:r>
    </w:p>
    <w:p w14:paraId="0CF415EA">
      <w:pPr>
        <w:pStyle w:val="133"/>
        <w:numPr>
          <w:ilvl w:val="3"/>
          <w:numId w:val="57"/>
        </w:numPr>
      </w:pPr>
      <w:r>
        <w:t xml:space="preserve">Associated ID for network-side additional conditions (section </w:t>
      </w:r>
      <w:r>
        <w:fldChar w:fldCharType="begin"/>
      </w:r>
      <w:r>
        <w:instrText xml:space="preserve"> REF _Ref181977531 \r </w:instrText>
      </w:r>
      <w:r>
        <w:fldChar w:fldCharType="separate"/>
      </w:r>
      <w:r>
        <w:t>7.2.3</w:t>
      </w:r>
      <w:r>
        <w:fldChar w:fldCharType="end"/>
      </w:r>
      <w:r>
        <w:t>)</w:t>
      </w:r>
    </w:p>
    <w:p w14:paraId="215B97C9">
      <w:pPr>
        <w:pStyle w:val="133"/>
        <w:numPr>
          <w:ilvl w:val="2"/>
          <w:numId w:val="57"/>
        </w:numPr>
      </w:pPr>
      <w:r>
        <w:t xml:space="preserve">Signal measurement configuration (section </w:t>
      </w:r>
      <w:r>
        <w:fldChar w:fldCharType="begin"/>
      </w:r>
      <w:r>
        <w:instrText xml:space="preserve"> REF _Ref181977548 \r </w:instrText>
      </w:r>
      <w:r>
        <w:fldChar w:fldCharType="separate"/>
      </w:r>
      <w:r>
        <w:t>7.2.4</w:t>
      </w:r>
      <w:r>
        <w:fldChar w:fldCharType="end"/>
      </w:r>
      <w:r>
        <w:t>)</w:t>
      </w:r>
    </w:p>
    <w:p w14:paraId="5108C3F0">
      <w:pPr>
        <w:rPr>
          <w:lang w:val="en-GB"/>
        </w:rPr>
      </w:pPr>
    </w:p>
    <w:p w14:paraId="1B76C82C">
      <w:pPr>
        <w:pStyle w:val="4"/>
      </w:pPr>
      <w:bookmarkStart w:id="2471" w:name="_Toc181973116"/>
      <w:bookmarkEnd w:id="2471"/>
      <w:bookmarkStart w:id="2472" w:name="_Toc189845047"/>
      <w:bookmarkStart w:id="2473" w:name="_Ref181977318"/>
      <w:r>
        <w:t>Consistency of validity area</w:t>
      </w:r>
      <w:bookmarkEnd w:id="2472"/>
      <w:bookmarkEnd w:id="2473"/>
    </w:p>
    <w:p w14:paraId="3D1309F1">
      <w:r>
        <w:t xml:space="preserve">Regarding deployment environment identifiers, the model inference validity area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inference</m:t>
            </m:r>
            <m:ctrlPr>
              <w:rPr>
                <w:rFonts w:ascii="Cambria Math" w:hAnsi="Cambria Math"/>
                <w:i/>
              </w:rPr>
            </m:ctrlPr>
          </m:sub>
        </m:sSub>
      </m:oMath>
      <w:r>
        <w:t xml:space="preserve"> needs to be recorded for an AI/ML model when model training is performed. When the trained model is checked for potential activation, the model inference validity area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inference</m:t>
            </m:r>
            <m:ctrlPr>
              <w:rPr>
                <w:rFonts w:ascii="Cambria Math" w:hAnsi="Cambria Math"/>
                <w:i/>
              </w:rPr>
            </m:ctrlPr>
          </m:sub>
        </m:sSub>
      </m:oMath>
      <w:r>
        <w:t xml:space="preserve"> can be checked against the deployment environment. It can be defined as:</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5"/>
        <w:gridCol w:w="7537"/>
      </w:tblGrid>
      <w:tr w14:paraId="51725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5" w:type="dxa"/>
          </w:tcPr>
          <w:p w14:paraId="1E712CBB">
            <w:r>
              <w:t>Model inference validity area</w:t>
            </w:r>
          </w:p>
        </w:tc>
        <w:tc>
          <w:tcPr>
            <w:tcW w:w="7537" w:type="dxa"/>
          </w:tcPr>
          <w:p w14:paraId="76CDD507">
            <w:r>
              <w:rPr>
                <w:snapToGrid w:val="0"/>
              </w:rPr>
              <w:t>The network area for which the model inference is valid.</w:t>
            </w:r>
          </w:p>
        </w:tc>
      </w:tr>
    </w:tbl>
    <w:p w14:paraId="2AB00F2D"/>
    <w:p w14:paraId="3F430438">
      <w:r>
        <w:t xml:space="preserve">The model inference validity area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inference</m:t>
            </m:r>
            <m:ctrlPr>
              <w:rPr>
                <w:rFonts w:ascii="Cambria Math" w:hAnsi="Cambria Math"/>
                <w:i/>
              </w:rPr>
            </m:ctrlPr>
          </m:sub>
        </m:sSub>
      </m:oMath>
      <w:r>
        <w:t xml:space="preserve"> may or may not be different from the training dataset validity area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dataset</m:t>
            </m:r>
            <m:ctrlPr>
              <w:rPr>
                <w:rFonts w:ascii="Cambria Math" w:hAnsi="Cambria Math"/>
                <w:i/>
              </w:rPr>
            </m:ctrlPr>
          </m:sub>
        </m:sSub>
      </m:oMath>
      <w:r>
        <w:t xml:space="preserve"> mentioned in section </w:t>
      </w:r>
      <w:r>
        <w:fldChar w:fldCharType="begin"/>
      </w:r>
      <w:r>
        <w:instrText xml:space="preserve"> REF _Ref178955267 \r </w:instrText>
      </w:r>
      <w:r>
        <w:fldChar w:fldCharType="separate"/>
      </w:r>
      <w:r>
        <w:t>5.2.2</w:t>
      </w:r>
      <w:r>
        <w:fldChar w:fldCharType="end"/>
      </w:r>
      <w:r>
        <w:t xml:space="preserve">. </w:t>
      </w:r>
    </w:p>
    <w:p w14:paraId="0905AE24">
      <w:pPr>
        <w:pStyle w:val="133"/>
        <w:ind w:hanging="720"/>
      </w:pPr>
      <w:r>
        <w:t xml:space="preserve">Training dataset validity area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dataset</m:t>
            </m:r>
            <m:ctrlPr>
              <w:rPr>
                <w:rFonts w:ascii="Cambria Math" w:hAnsi="Cambria Math"/>
                <w:i/>
              </w:rPr>
            </m:ctrlPr>
          </m:sub>
        </m:sSub>
      </m:oMath>
      <w:r>
        <w:t xml:space="preserve">: this describes the area that training dataset is collected.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dataset</m:t>
            </m:r>
            <m:ctrlPr>
              <w:rPr>
                <w:rFonts w:ascii="Cambria Math" w:hAnsi="Cambria Math"/>
                <w:i/>
              </w:rPr>
            </m:ctrlPr>
          </m:sub>
        </m:sSub>
      </m:oMath>
      <w:r>
        <w:rPr>
          <w:rFonts w:eastAsiaTheme="minorEastAsia"/>
        </w:rPr>
        <w:t xml:space="preserve"> is from the perspective of training data collection entity, as explained in </w:t>
      </w:r>
      <w:r>
        <w:t xml:space="preserve">section </w:t>
      </w:r>
      <w:r>
        <w:fldChar w:fldCharType="begin"/>
      </w:r>
      <w:r>
        <w:instrText xml:space="preserve">REF _Ref163213782 \r</w:instrText>
      </w:r>
      <w:r>
        <w:fldChar w:fldCharType="separate"/>
      </w:r>
      <w:r>
        <w:t>5.1.2</w:t>
      </w:r>
      <w:r>
        <w:fldChar w:fldCharType="end"/>
      </w:r>
      <w:r>
        <w:rPr>
          <w:rFonts w:eastAsiaTheme="minorEastAsia"/>
        </w:rPr>
        <w:t>.</w:t>
      </w:r>
      <w:r>
        <w:t xml:space="preserve"> For example, in </w:t>
      </w:r>
      <w:r>
        <w:fldChar w:fldCharType="begin"/>
      </w:r>
      <w:r>
        <w:instrText xml:space="preserve"> REF _Ref181981490 </w:instrText>
      </w:r>
      <w:r>
        <w:fldChar w:fldCharType="separate"/>
      </w:r>
      <w:r>
        <w:t>Figure 4</w:t>
      </w:r>
      <w:r>
        <w:fldChar w:fldCharType="end"/>
      </w:r>
      <w:r>
        <w:t xml:space="preserve">, the training data includes measurements associated with 18 TRPs, TRP {0,1,…,17}. Hence the training dataset validity area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dataset</m:t>
            </m:r>
            <m:ctrlPr>
              <w:rPr>
                <w:rFonts w:ascii="Cambria Math" w:hAnsi="Cambria Math"/>
                <w:i/>
              </w:rPr>
            </m:ctrlPr>
          </m:sub>
        </m:sSub>
      </m:oMath>
      <w:r>
        <w:t xml:space="preserve"> = TRP {0,1,…,17} covers the entire factory floor. </w:t>
      </w:r>
    </w:p>
    <w:p w14:paraId="39F64DBB">
      <w:pPr>
        <w:pStyle w:val="133"/>
        <w:ind w:hanging="720"/>
      </w:pPr>
      <w:r>
        <w:rPr>
          <w:rFonts w:eastAsiaTheme="minorEastAsia"/>
        </w:rPr>
        <w:t xml:space="preserve">Model inference validity area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inference</m:t>
            </m:r>
            <m:ctrlPr>
              <w:rPr>
                <w:rFonts w:ascii="Cambria Math" w:hAnsi="Cambria Math"/>
                <w:i/>
              </w:rPr>
            </m:ctrlPr>
          </m:sub>
        </m:sSub>
      </m:oMath>
      <w:r>
        <w:rPr>
          <w:rFonts w:eastAsiaTheme="minorEastAsia"/>
        </w:rPr>
        <w:t xml:space="preserve">: </w:t>
      </w:r>
      <w:r>
        <w:t xml:space="preserve">this describes the coverage area that the trained model is used to perform inference for.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inference</m:t>
            </m:r>
            <m:ctrlPr>
              <w:rPr>
                <w:rFonts w:ascii="Cambria Math" w:hAnsi="Cambria Math"/>
                <w:i/>
              </w:rPr>
            </m:ctrlPr>
          </m:sub>
        </m:sSub>
      </m:oMath>
      <w:r>
        <w:rPr>
          <w:rFonts w:eastAsiaTheme="minorEastAsia"/>
        </w:rPr>
        <w:t xml:space="preserve"> is from the perspective of model inference entity.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inference</m:t>
            </m:r>
            <m:ctrlPr>
              <w:rPr>
                <w:rFonts w:ascii="Cambria Math" w:hAnsi="Cambria Math"/>
                <w:i/>
              </w:rPr>
            </m:ctrlPr>
          </m:sub>
        </m:sSub>
      </m:oMath>
      <w:r>
        <w:rPr>
          <w:rFonts w:eastAsiaTheme="minorEastAsia"/>
        </w:rPr>
        <w:t xml:space="preserve"> </w:t>
      </w:r>
      <w:r>
        <w:t xml:space="preserve">can be the same as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dataset</m:t>
            </m:r>
            <m:ctrlPr>
              <w:rPr>
                <w:rFonts w:ascii="Cambria Math" w:hAnsi="Cambria Math"/>
                <w:i/>
              </w:rPr>
            </m:ctrlPr>
          </m:sub>
        </m:sSub>
      </m:oMath>
      <w:r>
        <w:rPr>
          <w:rFonts w:eastAsiaTheme="minorEastAsia"/>
        </w:rPr>
        <w:t>,</w:t>
      </w:r>
      <w:r>
        <w:t xml:space="preserve"> </w:t>
      </w:r>
      <w:r>
        <w:rPr>
          <w:rFonts w:eastAsiaTheme="minorEastAsia"/>
        </w:rPr>
        <w:t xml:space="preserve">or a subset of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dataset</m:t>
            </m:r>
            <m:ctrlPr>
              <w:rPr>
                <w:rFonts w:ascii="Cambria Math" w:hAnsi="Cambria Math"/>
                <w:i/>
              </w:rPr>
            </m:ctrlPr>
          </m:sub>
        </m:sSub>
      </m:oMath>
      <w:r>
        <w:rPr>
          <w:rFonts w:eastAsiaTheme="minorEastAsia"/>
        </w:rPr>
        <w:t xml:space="preserve">. </w:t>
      </w:r>
      <w:r>
        <w:t xml:space="preserve">For example, in </w:t>
      </w:r>
      <w:r>
        <w:fldChar w:fldCharType="begin"/>
      </w:r>
      <w:r>
        <w:instrText xml:space="preserve"> REF _Ref181981490 </w:instrText>
      </w:r>
      <w:r>
        <w:fldChar w:fldCharType="separate"/>
      </w:r>
      <w:r>
        <w:t>Figure 4</w:t>
      </w:r>
      <w:r>
        <w:fldChar w:fldCharType="end"/>
      </w:r>
      <w:r>
        <w:t xml:space="preserve">, the model inference entity may use measurements associated with 9 TRPs on the left hand side for inference,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inference</m:t>
            </m:r>
            <m:ctrlPr>
              <w:rPr>
                <w:rFonts w:ascii="Cambria Math" w:hAnsi="Cambria Math"/>
                <w:i/>
              </w:rPr>
            </m:ctrlPr>
          </m:sub>
        </m:sSub>
      </m:oMath>
      <w:r>
        <w:rPr>
          <w:rFonts w:eastAsiaTheme="minorEastAsia"/>
        </w:rPr>
        <w:t xml:space="preserve">= </w:t>
      </w:r>
      <w:r>
        <w:t xml:space="preserve">TRP {0,1,…,8}, which is a sub-area of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dataset</m:t>
            </m:r>
            <m:ctrlPr>
              <w:rPr>
                <w:rFonts w:ascii="Cambria Math" w:hAnsi="Cambria Math"/>
                <w:i/>
              </w:rPr>
            </m:ctrlPr>
          </m:sub>
        </m:sSub>
      </m:oMath>
      <w:r>
        <w:rPr>
          <w:rFonts w:eastAsiaTheme="minorEastAsia"/>
        </w:rPr>
        <w:t xml:space="preserve">. </w:t>
      </w:r>
    </w:p>
    <w:p w14:paraId="3910D0AE">
      <w:pPr>
        <w:jc w:val="center"/>
      </w:pPr>
      <w:r>
        <w:drawing>
          <wp:inline distT="0" distB="0" distL="0" distR="0">
            <wp:extent cx="4338955" cy="3028315"/>
            <wp:effectExtent l="0" t="0" r="4445" b="635"/>
            <wp:docPr id="141300383" name="Picture 14130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0383" name="Picture 14130038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49069" cy="3035382"/>
                    </a:xfrm>
                    <a:prstGeom prst="rect">
                      <a:avLst/>
                    </a:prstGeom>
                    <a:noFill/>
                  </pic:spPr>
                </pic:pic>
              </a:graphicData>
            </a:graphic>
          </wp:inline>
        </w:drawing>
      </w:r>
    </w:p>
    <w:p w14:paraId="55228391">
      <w:pPr>
        <w:pStyle w:val="29"/>
      </w:pPr>
      <w:bookmarkStart w:id="2474" w:name="_Ref181981490"/>
      <w:r>
        <w:t xml:space="preserve">Figure </w:t>
      </w:r>
      <w:r>
        <w:fldChar w:fldCharType="begin"/>
      </w:r>
      <w:r>
        <w:instrText xml:space="preserve"> SEQ Figure \* ARABIC </w:instrText>
      </w:r>
      <w:r>
        <w:fldChar w:fldCharType="separate"/>
      </w:r>
      <w:r>
        <w:t>4</w:t>
      </w:r>
      <w:r>
        <w:fldChar w:fldCharType="end"/>
      </w:r>
      <w:bookmarkEnd w:id="2474"/>
      <w:r>
        <w:t xml:space="preserve">. An example where the model inference validity area is a sub-area of training dataset validity area. </w:t>
      </w:r>
    </w:p>
    <w:p w14:paraId="281E4225">
      <w:pPr>
        <w:jc w:val="center"/>
      </w:pPr>
    </w:p>
    <w:p w14:paraId="7897A4DE">
      <w:r>
        <w:t xml:space="preserve">It should be clarified that the model inference validity area is a property of the trained model. It shall not be confused with the legacy IE </w:t>
      </w:r>
      <w:r>
        <w:rPr>
          <w:i/>
          <w:iCs/>
        </w:rPr>
        <w:t>assistanceDataValidityArea-r17</w:t>
      </w:r>
      <w:r>
        <w:t>, which is for the validity area of the assistance data for the associated legacy method, see below for DL-TDOA and DL-AoD.</w:t>
      </w:r>
    </w:p>
    <w:tbl>
      <w:tblPr>
        <w:tblStyle w:val="51"/>
        <w:tblW w:w="9639"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14:paraId="061EE27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9639" w:type="dxa"/>
          </w:tcPr>
          <w:p w14:paraId="2A535865">
            <w:pPr>
              <w:pStyle w:val="78"/>
              <w:keepNext w:val="0"/>
              <w:keepLines w:val="0"/>
              <w:widowControl w:val="0"/>
              <w:rPr>
                <w:b/>
                <w:bCs/>
                <w:i/>
                <w:iCs/>
                <w:snapToGrid w:val="0"/>
              </w:rPr>
            </w:pPr>
            <w:r>
              <w:rPr>
                <w:b/>
                <w:bCs/>
                <w:i/>
                <w:iCs/>
                <w:snapToGrid w:val="0"/>
              </w:rPr>
              <w:t>assistanceDataValidityArea</w:t>
            </w:r>
          </w:p>
          <w:p w14:paraId="5A72EDEF">
            <w:pPr>
              <w:pStyle w:val="78"/>
              <w:keepNext w:val="0"/>
              <w:keepLines w:val="0"/>
              <w:widowControl w:val="0"/>
              <w:rPr>
                <w:b/>
                <w:i/>
                <w:snapToGrid w:val="0"/>
                <w:lang w:val="en-US"/>
              </w:rPr>
            </w:pPr>
            <w:r>
              <w:rPr>
                <w:snapToGrid w:val="0"/>
                <w:lang w:val="en-US"/>
              </w:rPr>
              <w:t xml:space="preserve">This field specifies the network area for which this </w:t>
            </w:r>
            <w:r>
              <w:rPr>
                <w:i/>
                <w:snapToGrid w:val="0"/>
                <w:lang w:val="en-US"/>
              </w:rPr>
              <w:t>NR-DL-TDOA-ProvideAssistanceData</w:t>
            </w:r>
            <w:r>
              <w:rPr>
                <w:snapToGrid w:val="0"/>
                <w:lang w:val="en-US"/>
              </w:rPr>
              <w:t xml:space="preserve"> is valid.</w:t>
            </w:r>
          </w:p>
        </w:tc>
      </w:tr>
    </w:tbl>
    <w:p w14:paraId="24567086"/>
    <w:tbl>
      <w:tblPr>
        <w:tblStyle w:val="51"/>
        <w:tblW w:w="9639"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639"/>
      </w:tblGrid>
      <w:tr w14:paraId="3D3B91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Pr>
        <w:tc>
          <w:tcPr>
            <w:tcW w:w="9639" w:type="dxa"/>
          </w:tcPr>
          <w:p w14:paraId="4E5EA8FB">
            <w:pPr>
              <w:pStyle w:val="78"/>
              <w:keepNext w:val="0"/>
              <w:keepLines w:val="0"/>
              <w:widowControl w:val="0"/>
              <w:rPr>
                <w:b/>
                <w:bCs/>
                <w:i/>
                <w:iCs/>
                <w:snapToGrid w:val="0"/>
              </w:rPr>
            </w:pPr>
            <w:r>
              <w:rPr>
                <w:b/>
                <w:bCs/>
                <w:i/>
                <w:iCs/>
                <w:snapToGrid w:val="0"/>
              </w:rPr>
              <w:t>assistanceDataValidityArea</w:t>
            </w:r>
          </w:p>
          <w:p w14:paraId="20858492">
            <w:pPr>
              <w:pStyle w:val="78"/>
              <w:keepNext w:val="0"/>
              <w:keepLines w:val="0"/>
              <w:widowControl w:val="0"/>
              <w:rPr>
                <w:b/>
                <w:i/>
                <w:snapToGrid w:val="0"/>
                <w:lang w:val="en-US"/>
              </w:rPr>
            </w:pPr>
            <w:r>
              <w:rPr>
                <w:snapToGrid w:val="0"/>
                <w:lang w:val="en-US"/>
              </w:rPr>
              <w:t xml:space="preserve">This field specifies the network area for which this </w:t>
            </w:r>
            <w:r>
              <w:rPr>
                <w:i/>
                <w:snapToGrid w:val="0"/>
                <w:lang w:val="en-US"/>
              </w:rPr>
              <w:t xml:space="preserve">NR-DL-AoD-ProvideAssistanceData </w:t>
            </w:r>
            <w:r>
              <w:rPr>
                <w:snapToGrid w:val="0"/>
                <w:lang w:val="en-US"/>
              </w:rPr>
              <w:t>is valid.</w:t>
            </w:r>
          </w:p>
        </w:tc>
      </w:tr>
    </w:tbl>
    <w:p w14:paraId="77929B59"/>
    <w:p w14:paraId="637ACD4C">
      <w:r>
        <w:t xml:space="preserve">Another difference is, for model inference validity area, a cell or a TRP ID may belong to two different areas, i.e., two different areas can overlap. In contrast, two different </w:t>
      </w:r>
      <w:r>
        <w:rPr>
          <w:i/>
          <w:iCs/>
          <w:snapToGrid w:val="0"/>
        </w:rPr>
        <w:t>assistanceDataValidityArea</w:t>
      </w:r>
      <w:r>
        <w:t xml:space="preserve"> cannot overlap, i.e., a cell can appear in at most one </w:t>
      </w:r>
      <w:r>
        <w:rPr>
          <w:i/>
          <w:iCs/>
          <w:snapToGrid w:val="0"/>
        </w:rPr>
        <w:t>assistanceDataValidityArea</w:t>
      </w:r>
      <w:r>
        <w:t xml:space="preserve"> (see </w:t>
      </w:r>
      <w:r>
        <w:rPr>
          <w:szCs w:val="20"/>
        </w:rPr>
        <w:t>AreaID-CellList</w:t>
      </w:r>
      <w:r>
        <w:t xml:space="preserve"> description: “</w:t>
      </w:r>
      <w:r>
        <w:rPr>
          <w:szCs w:val="20"/>
        </w:rPr>
        <w:t>Each cell is included in only one area.</w:t>
      </w:r>
      <w:r>
        <w:t xml:space="preserve">”). See explanation in section </w:t>
      </w:r>
      <w:r>
        <w:fldChar w:fldCharType="begin"/>
      </w:r>
      <w:r>
        <w:instrText xml:space="preserve"> REF _Ref178955267 \r </w:instrText>
      </w:r>
      <w:r>
        <w:fldChar w:fldCharType="separate"/>
      </w:r>
      <w:r>
        <w:t>5.2.2</w:t>
      </w:r>
      <w:r>
        <w:fldChar w:fldCharType="end"/>
      </w:r>
      <w:r>
        <w:t xml:space="preserve"> as well.</w:t>
      </w:r>
    </w:p>
    <w:p w14:paraId="396136E9">
      <w:r>
        <w:t xml:space="preserve">In terms of signaling, the validity area does not require any new IE at model inference stage. The UE simply checks the observed TRP list against the model inference validity area </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inference</m:t>
            </m:r>
            <m:ctrlPr>
              <w:rPr>
                <w:rFonts w:ascii="Cambria Math" w:hAnsi="Cambria Math"/>
                <w:i/>
              </w:rPr>
            </m:ctrlPr>
          </m:sub>
        </m:sSub>
      </m:oMath>
      <w:r>
        <w:t>, which has been stored as a part of metadata for the trained model.</w:t>
      </w:r>
    </w:p>
    <w:p w14:paraId="2BDC5192">
      <w:pPr>
        <w:pStyle w:val="73"/>
      </w:pPr>
      <w:bookmarkStart w:id="2475" w:name="_Toc189845174"/>
      <w:r>
        <w:t>The model training entity records the model inference validity area as a part of metadata for the trained model.</w:t>
      </w:r>
      <w:bookmarkEnd w:id="2475"/>
    </w:p>
    <w:p w14:paraId="3E32167F">
      <w:pPr>
        <w:pStyle w:val="73"/>
      </w:pPr>
      <w:bookmarkStart w:id="2476" w:name="_Toc189845175"/>
      <w:r>
        <w:t>When preparing for model inference, the model inference validity area is checked for compatibility with the deployment area.</w:t>
      </w:r>
      <w:bookmarkEnd w:id="2476"/>
    </w:p>
    <w:p w14:paraId="44B2D2EA"/>
    <w:p w14:paraId="736B2950">
      <w:pPr>
        <w:pStyle w:val="4"/>
      </w:pPr>
      <w:bookmarkStart w:id="2477" w:name="_Toc189845048"/>
      <w:bookmarkStart w:id="2478" w:name="_Ref181977519"/>
      <w:r>
        <w:t>Consistency of RS configuration between model inference and model training</w:t>
      </w:r>
      <w:bookmarkEnd w:id="2470"/>
      <w:bookmarkEnd w:id="2477"/>
      <w:bookmarkEnd w:id="2478"/>
    </w:p>
    <w:p w14:paraId="7AE9DE86">
      <w:r>
        <w:t>For configuration of reference signal transmission and measurement, DL PRS and UL SRS need to be addressed for the relevant positioning cases. When the AI/ML model takes DL PRS measurement as input, for configuration of PRS transmission and measurement, it is necessary to ensure that the same configuration is used in training data collection stage and model inference stage. Also, the same configuration is used for all PRUs and UEs, for example, the IDs (e.g., TRP ID, dl-PRS-ID, DL PRS Resource Set ID, a DL PRS Resources ID) are assigned the same to all PRUs and UEs, and not varying in a UE-specific manner.</w:t>
      </w:r>
    </w:p>
    <w:p w14:paraId="72F8AE8C">
      <w:r>
        <w:t>Similarly, when the AI/ML model takes UL SRS measurement as input, for configuration of SRS transmission and measurement, it is necessary to ensure that the same configuration is used in training data collection stage and model inference stage.</w:t>
      </w:r>
    </w:p>
    <w:p w14:paraId="0CF7256A">
      <w:pPr>
        <w:pStyle w:val="73"/>
      </w:pPr>
      <w:bookmarkStart w:id="2479" w:name="_Toc189845176"/>
      <w:r>
        <w:t>When preparing for model inference, configurations of reference signal transmission and measurement are checked for compatibility between the trained model and the deployment environment.</w:t>
      </w:r>
      <w:bookmarkEnd w:id="2479"/>
    </w:p>
    <w:p w14:paraId="544C38AA">
      <w:r>
        <w:t xml:space="preserve">In terms of specification impact, for Case 2a/3a the model readiness for inference may be signaled from the model inference node (e.g., UE/gNB) to other nodes requesting the measurements, e.g. the LMF, in order to signal that AI/ML positioning is available. </w:t>
      </w:r>
    </w:p>
    <w:p w14:paraId="6E74647E">
      <w:pPr>
        <w:pStyle w:val="73"/>
      </w:pPr>
      <w:bookmarkStart w:id="2480" w:name="_Toc189845177"/>
      <w:r>
        <w:t>For Case 2a/3a, support UE/gNB to send an indication to the LMF when the AI/ML model is ready for reporting measurements based on model inference. It is up to RAN2/3 to decide which procedure to use to convey the information.</w:t>
      </w:r>
      <w:bookmarkEnd w:id="2480"/>
    </w:p>
    <w:p w14:paraId="78C6C81E">
      <w:r>
        <w:t xml:space="preserve">Ideally, signals configured for inference are configured exactly the same for the training phase. For example, PRS configuration of bandwidth, comb offset, etc., should remain unchanged between inference and training. To make sure of this, the training data could be generated for all possible signal configurations, but this would lead to a massive training data set.  Thus some misalignment may be unavoidable. For example, the SRS resource used for training the gNB based model used in Case 3a may be already assigned to another UE at the time of inference, so that a resource with a different comb offset and or cyclic shift may be chosen to be configured.  It is however important that the measured channel response at inference is consistent with the one measured during training. This means that at least bandwidth, transmitted power and spatial properties of the reference signals stay the same between inference and training. </w:t>
      </w:r>
    </w:p>
    <w:p w14:paraId="7CF8162A"/>
    <w:p w14:paraId="54773F6B">
      <w:r>
        <w:t>In summary, before model inference can start, the UE/gNB should ensure the following stay unchanged between training and inference:</w:t>
      </w:r>
    </w:p>
    <w:p w14:paraId="7DC8D6F1">
      <w:pPr>
        <w:pStyle w:val="133"/>
        <w:numPr>
          <w:ilvl w:val="0"/>
          <w:numId w:val="18"/>
        </w:numPr>
      </w:pPr>
      <w:r>
        <w:t>PRS:</w:t>
      </w:r>
    </w:p>
    <w:p w14:paraId="1CEACB0C">
      <w:pPr>
        <w:pStyle w:val="133"/>
        <w:numPr>
          <w:ilvl w:val="1"/>
          <w:numId w:val="18"/>
        </w:numPr>
      </w:pPr>
      <w:r>
        <w:t>Positioning frequency layer configuration (bandwidth, comb size, SCS, starting PRB, CP)</w:t>
      </w:r>
    </w:p>
    <w:p w14:paraId="767C499F">
      <w:pPr>
        <w:pStyle w:val="133"/>
        <w:numPr>
          <w:ilvl w:val="1"/>
          <w:numId w:val="18"/>
        </w:numPr>
      </w:pPr>
      <w:r>
        <w:t>Muting patterns</w:t>
      </w:r>
    </w:p>
    <w:p w14:paraId="192156CB">
      <w:pPr>
        <w:pStyle w:val="133"/>
        <w:numPr>
          <w:ilvl w:val="1"/>
          <w:numId w:val="18"/>
        </w:numPr>
      </w:pPr>
      <w:r>
        <w:t>DL PRS spatial properties</w:t>
      </w:r>
    </w:p>
    <w:p w14:paraId="2F0B714E">
      <w:pPr>
        <w:pStyle w:val="133"/>
        <w:numPr>
          <w:ilvl w:val="1"/>
          <w:numId w:val="18"/>
        </w:numPr>
      </w:pPr>
      <w:r>
        <w:t>Power over the measured bandwidth</w:t>
      </w:r>
    </w:p>
    <w:p w14:paraId="650682B8">
      <w:pPr>
        <w:pStyle w:val="133"/>
        <w:numPr>
          <w:ilvl w:val="0"/>
          <w:numId w:val="18"/>
        </w:numPr>
      </w:pPr>
      <w:r>
        <w:t>SRS:</w:t>
      </w:r>
    </w:p>
    <w:p w14:paraId="45D1AE53">
      <w:pPr>
        <w:pStyle w:val="133"/>
        <w:numPr>
          <w:ilvl w:val="1"/>
          <w:numId w:val="18"/>
        </w:numPr>
      </w:pPr>
      <w:r>
        <w:t>Bandwidth configuration (starting PRB, bandwidth, comb size, SCS, CP)</w:t>
      </w:r>
    </w:p>
    <w:p w14:paraId="18198C0F">
      <w:pPr>
        <w:pStyle w:val="133"/>
        <w:numPr>
          <w:ilvl w:val="1"/>
          <w:numId w:val="18"/>
        </w:numPr>
      </w:pPr>
      <w:r>
        <w:t>UL SRS for positioning spatial properties</w:t>
      </w:r>
    </w:p>
    <w:p w14:paraId="271ED020">
      <w:pPr>
        <w:pStyle w:val="133"/>
        <w:numPr>
          <w:ilvl w:val="1"/>
          <w:numId w:val="18"/>
        </w:numPr>
      </w:pPr>
      <w:r>
        <w:t>SRS transmission power</w:t>
      </w:r>
    </w:p>
    <w:p w14:paraId="098C717A">
      <w:pPr>
        <w:pStyle w:val="133"/>
        <w:numPr>
          <w:ilvl w:val="1"/>
          <w:numId w:val="18"/>
        </w:numPr>
      </w:pPr>
      <w:r>
        <w:t xml:space="preserve">UL path loss reference </w:t>
      </w:r>
    </w:p>
    <w:p w14:paraId="3F594C89"/>
    <w:p w14:paraId="781A7A77">
      <w:pPr>
        <w:pStyle w:val="4"/>
      </w:pPr>
      <w:bookmarkStart w:id="2481" w:name="_Ref178770342"/>
      <w:bookmarkStart w:id="2482" w:name="_Toc189845049"/>
      <w:bookmarkStart w:id="2483" w:name="_Ref181977531"/>
      <w:r>
        <w:t xml:space="preserve">Consistency of network-side </w:t>
      </w:r>
      <w:bookmarkEnd w:id="2481"/>
      <w:r>
        <w:t>additional conditions between model inference and model training</w:t>
      </w:r>
      <w:bookmarkEnd w:id="2482"/>
      <w:bookmarkEnd w:id="2483"/>
    </w:p>
    <w:p w14:paraId="15337D8E">
      <w:r>
        <w:t xml:space="preserve">For AI/ML based positioning with UE-side model, to support verification of NW additional conditions, associated IDs can be defined to identify a given set of NW additional conditions. This has the benefit that the IE details do not need to be explicitly signaled, if they are not needed for performing model inference, and only needed for consistency verification. This avoids exposing unnecessary network condition details and reduces signaling overhead. </w:t>
      </w:r>
    </w:p>
    <w:p w14:paraId="215D9807">
      <w:pPr>
        <w:pStyle w:val="97"/>
      </w:pPr>
      <w:bookmarkStart w:id="2484" w:name="_Toc189835396"/>
      <w:bookmarkEnd w:id="2484"/>
      <w:bookmarkStart w:id="2485" w:name="_Toc189845093"/>
      <w:r>
        <w:t>The benefit of associated ID is that the details for the information covered by associated ID do not need to be explicitly signaled, if they are not needed for performing model inference, and only needed for consistency verification.</w:t>
      </w:r>
      <w:bookmarkEnd w:id="2485"/>
    </w:p>
    <w:p w14:paraId="26E0D1B1">
      <w:r>
        <w:t>Adopting associated ID for the positioning use case is similar to the agreement made in RAN1#118 for beam management (AI 9.1.1):</w:t>
      </w:r>
    </w:p>
    <w:tbl>
      <w:tblPr>
        <w:tblStyle w:val="52"/>
        <w:tblW w:w="99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0"/>
      </w:tblGrid>
      <w:tr w14:paraId="28B1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0" w:type="dxa"/>
          </w:tcPr>
          <w:p w14:paraId="35ECC823">
            <w:pPr>
              <w:spacing w:after="0"/>
              <w:rPr>
                <w:rFonts w:ascii="Times" w:hAnsi="Times" w:eastAsia="等线" w:cs="Times New Roman"/>
                <w:kern w:val="0"/>
                <w:sz w:val="20"/>
                <w:szCs w:val="20"/>
                <w:highlight w:val="green"/>
                <w:lang w:val="en-GB" w:eastAsia="zh-CN"/>
                <w14:ligatures w14:val="none"/>
              </w:rPr>
            </w:pPr>
            <w:r>
              <w:rPr>
                <w:rFonts w:hint="eastAsia" w:ascii="Times" w:hAnsi="Times" w:eastAsia="等线" w:cs="Times New Roman"/>
                <w:kern w:val="0"/>
                <w:sz w:val="20"/>
                <w:szCs w:val="20"/>
                <w:highlight w:val="green"/>
                <w:lang w:val="en-GB" w:eastAsia="zh-CN"/>
                <w14:ligatures w14:val="none"/>
              </w:rPr>
              <w:t>Agreement</w:t>
            </w:r>
          </w:p>
          <w:p w14:paraId="57C6C473">
            <w:pPr>
              <w:spacing w:after="0"/>
              <w:rPr>
                <w:rFonts w:ascii="Times" w:hAnsi="Times" w:eastAsia="等线" w:cs="Times New Roman"/>
                <w:kern w:val="0"/>
                <w:sz w:val="20"/>
                <w:szCs w:val="20"/>
                <w:lang w:val="en-GB" w:eastAsia="zh-CN"/>
                <w14:ligatures w14:val="none"/>
              </w:rPr>
            </w:pPr>
            <w:r>
              <w:rPr>
                <w:rFonts w:ascii="Times" w:hAnsi="Times" w:eastAsia="Times New Roman" w:cs="Times New Roman"/>
                <w:kern w:val="0"/>
                <w:sz w:val="20"/>
                <w:szCs w:val="20"/>
                <w:lang w:val="en-GB"/>
                <w14:ligatures w14:val="none"/>
              </w:rPr>
              <w:t>For UE sided model in beam management, support</w:t>
            </w:r>
            <w:r>
              <w:rPr>
                <w:rFonts w:ascii="Times" w:hAnsi="Times" w:eastAsia="Times New Roman" w:cs="Times New Roman"/>
                <w:color w:val="FF0000"/>
                <w:kern w:val="0"/>
                <w:sz w:val="20"/>
                <w:szCs w:val="20"/>
                <w:lang w:val="en-GB"/>
                <w14:ligatures w14:val="none"/>
              </w:rPr>
              <w:t xml:space="preserve"> </w:t>
            </w:r>
            <w:r>
              <w:rPr>
                <w:rFonts w:ascii="Times" w:hAnsi="Times" w:eastAsia="Times New Roman" w:cs="Times New Roman"/>
                <w:kern w:val="0"/>
                <w:sz w:val="20"/>
                <w:szCs w:val="20"/>
                <w:lang w:val="en-GB"/>
                <w14:ligatures w14:val="none"/>
              </w:rPr>
              <w:t>associated ID</w:t>
            </w:r>
          </w:p>
          <w:p w14:paraId="7F6B5287">
            <w:pPr>
              <w:numPr>
                <w:ilvl w:val="0"/>
                <w:numId w:val="58"/>
              </w:numPr>
              <w:tabs>
                <w:tab w:val="left" w:pos="360"/>
                <w:tab w:val="left" w:pos="709"/>
              </w:tabs>
              <w:spacing w:after="0"/>
              <w:rPr>
                <w:rFonts w:ascii="Times" w:hAnsi="Times" w:eastAsia="Times New Roman" w:cs="Times New Roman"/>
                <w:kern w:val="0"/>
                <w:sz w:val="20"/>
                <w:szCs w:val="20"/>
                <w:highlight w:val="darkYellow"/>
                <w:lang w:val="en-GB"/>
                <w14:ligatures w14:val="none"/>
              </w:rPr>
            </w:pPr>
            <w:r>
              <w:rPr>
                <w:rFonts w:hint="eastAsia" w:ascii="Times" w:hAnsi="Times" w:eastAsia="等线" w:cs="Times New Roman"/>
                <w:kern w:val="0"/>
                <w:sz w:val="20"/>
                <w:szCs w:val="20"/>
                <w:highlight w:val="darkYellow"/>
                <w:lang w:val="en-GB" w:eastAsia="zh-CN"/>
                <w14:ligatures w14:val="none"/>
              </w:rPr>
              <w:t>[Working Assumption]</w:t>
            </w:r>
          </w:p>
          <w:p w14:paraId="534A14AE">
            <w:pPr>
              <w:numPr>
                <w:ilvl w:val="1"/>
                <w:numId w:val="58"/>
              </w:numPr>
              <w:tabs>
                <w:tab w:val="left" w:pos="360"/>
                <w:tab w:val="left" w:pos="709"/>
              </w:tabs>
              <w:spacing w:after="0"/>
              <w:rPr>
                <w:rFonts w:ascii="Times" w:hAnsi="Times" w:eastAsia="Times New Roman" w:cs="Times New Roman"/>
                <w:kern w:val="0"/>
                <w:sz w:val="20"/>
                <w:szCs w:val="20"/>
                <w:highlight w:val="darkYellow"/>
                <w:lang w:val="en-GB"/>
                <w14:ligatures w14:val="none"/>
              </w:rPr>
            </w:pPr>
            <w:r>
              <w:rPr>
                <w:rFonts w:ascii="Times" w:hAnsi="Times" w:eastAsia="Times New Roman" w:cs="Times New Roman"/>
                <w:kern w:val="0"/>
                <w:sz w:val="20"/>
                <w:szCs w:val="20"/>
                <w:highlight w:val="darkYellow"/>
                <w:lang w:val="en-GB"/>
                <w14:ligatures w14:val="none"/>
              </w:rPr>
              <w:t>The associated ID</w:t>
            </w:r>
            <w:r>
              <w:rPr>
                <w:rFonts w:hint="eastAsia" w:ascii="Times" w:hAnsi="Times" w:eastAsia="等线" w:cs="Times New Roman"/>
                <w:kern w:val="0"/>
                <w:sz w:val="20"/>
                <w:szCs w:val="20"/>
                <w:highlight w:val="darkYellow"/>
                <w:lang w:val="en-GB" w:eastAsia="zh-CN"/>
                <w14:ligatures w14:val="none"/>
              </w:rPr>
              <w:t xml:space="preserve"> </w:t>
            </w:r>
            <w:r>
              <w:rPr>
                <w:rFonts w:ascii="Times" w:hAnsi="Times" w:eastAsia="Times New Roman" w:cs="Times New Roman"/>
                <w:kern w:val="0"/>
                <w:sz w:val="20"/>
                <w:szCs w:val="20"/>
                <w:highlight w:val="darkYellow"/>
                <w:lang w:val="en-GB"/>
                <w14:ligatures w14:val="none"/>
              </w:rPr>
              <w:t>at least can be configured</w:t>
            </w:r>
            <w:r>
              <w:rPr>
                <w:rFonts w:hint="eastAsia" w:ascii="Times" w:hAnsi="Times" w:eastAsia="等线" w:cs="Times New Roman"/>
                <w:kern w:val="0"/>
                <w:sz w:val="20"/>
                <w:szCs w:val="20"/>
                <w:highlight w:val="darkYellow"/>
                <w:lang w:val="en-GB" w:eastAsia="zh-CN"/>
                <w14:ligatures w14:val="none"/>
              </w:rPr>
              <w:t xml:space="preserve"> </w:t>
            </w:r>
            <w:r>
              <w:rPr>
                <w:rFonts w:ascii="Times" w:hAnsi="Times" w:eastAsia="Times New Roman" w:cs="Times New Roman"/>
                <w:kern w:val="0"/>
                <w:sz w:val="20"/>
                <w:szCs w:val="20"/>
                <w:highlight w:val="darkYellow"/>
                <w:lang w:val="en-GB"/>
                <w14:ligatures w14:val="none"/>
              </w:rPr>
              <w:t xml:space="preserve">within CSI framework </w:t>
            </w:r>
          </w:p>
          <w:p w14:paraId="5C0838FE">
            <w:pPr>
              <w:numPr>
                <w:ilvl w:val="2"/>
                <w:numId w:val="58"/>
              </w:numPr>
              <w:tabs>
                <w:tab w:val="left" w:pos="360"/>
                <w:tab w:val="left" w:pos="1080"/>
              </w:tabs>
              <w:spacing w:after="0"/>
              <w:rPr>
                <w:rFonts w:ascii="Times" w:hAnsi="Times" w:eastAsia="Times New Roman" w:cs="Times New Roman"/>
                <w:kern w:val="0"/>
                <w:sz w:val="20"/>
                <w:szCs w:val="20"/>
                <w:highlight w:val="darkYellow"/>
                <w:lang w:val="en-GB" w:eastAsia="zh-CN"/>
                <w14:ligatures w14:val="none"/>
              </w:rPr>
            </w:pPr>
            <w:r>
              <w:rPr>
                <w:rFonts w:ascii="Times" w:hAnsi="Times" w:eastAsia="Batang" w:cs="Times New Roman"/>
                <w:kern w:val="0"/>
                <w:sz w:val="20"/>
                <w:szCs w:val="20"/>
                <w:highlight w:val="darkYellow"/>
                <w:lang w:eastAsia="zh-CN"/>
                <w14:ligatures w14:val="none"/>
              </w:rPr>
              <w:t>FFS on details</w:t>
            </w:r>
          </w:p>
          <w:p w14:paraId="427F43B0">
            <w:pPr>
              <w:numPr>
                <w:ilvl w:val="2"/>
                <w:numId w:val="58"/>
              </w:numPr>
              <w:tabs>
                <w:tab w:val="left" w:pos="360"/>
                <w:tab w:val="left" w:pos="1080"/>
              </w:tabs>
              <w:spacing w:after="0"/>
              <w:rPr>
                <w:rFonts w:ascii="Times" w:hAnsi="Times" w:eastAsia="Times New Roman" w:cs="Times New Roman"/>
                <w:kern w:val="0"/>
                <w:sz w:val="20"/>
                <w:szCs w:val="20"/>
                <w:highlight w:val="darkYellow"/>
                <w:lang w:val="en-GB" w:eastAsia="zh-CN"/>
                <w14:ligatures w14:val="none"/>
              </w:rPr>
            </w:pPr>
            <w:r>
              <w:rPr>
                <w:rFonts w:ascii="Times" w:hAnsi="Times" w:eastAsia="Batang" w:cs="Times New Roman"/>
                <w:kern w:val="0"/>
                <w:sz w:val="20"/>
                <w:szCs w:val="20"/>
                <w:highlight w:val="darkYellow"/>
                <w:lang w:eastAsia="zh-CN"/>
                <w14:ligatures w14:val="none"/>
              </w:rPr>
              <w:t>FFS on whether/how to configure/indicate the associated ID via other signal(s) and/or in other procedure(s)/framework(s)</w:t>
            </w:r>
          </w:p>
          <w:p w14:paraId="2754817E">
            <w:pPr>
              <w:numPr>
                <w:ilvl w:val="0"/>
                <w:numId w:val="58"/>
              </w:numPr>
              <w:tabs>
                <w:tab w:val="left" w:pos="360"/>
              </w:tabs>
              <w:spacing w:after="0"/>
              <w:ind w:left="709"/>
              <w:rPr>
                <w:rFonts w:ascii="Times" w:hAnsi="Times" w:eastAsia="Times New Roman" w:cs="Times New Roman"/>
                <w:kern w:val="0"/>
                <w:sz w:val="20"/>
                <w:szCs w:val="20"/>
                <w:lang w:eastAsia="zh-CN"/>
                <w14:ligatures w14:val="none"/>
              </w:rPr>
            </w:pPr>
            <w:r>
              <w:rPr>
                <w:rFonts w:ascii="Times" w:hAnsi="Times" w:eastAsia="Times New Roman" w:cs="Times New Roman"/>
                <w:kern w:val="0"/>
                <w:sz w:val="20"/>
                <w:szCs w:val="20"/>
                <w:lang w:eastAsia="zh-CN"/>
                <w14:ligatures w14:val="none"/>
              </w:rPr>
              <w:t xml:space="preserve">UE may assume the </w:t>
            </w:r>
            <w:r>
              <w:rPr>
                <w:rFonts w:hint="eastAsia" w:ascii="Times" w:hAnsi="Times" w:eastAsia="等线" w:cs="Times New Roman"/>
                <w:kern w:val="0"/>
                <w:sz w:val="20"/>
                <w:szCs w:val="20"/>
                <w:lang w:eastAsia="zh-CN"/>
                <w14:ligatures w14:val="none"/>
              </w:rPr>
              <w:t xml:space="preserve">similar </w:t>
            </w:r>
            <w:r>
              <w:rPr>
                <w:rFonts w:ascii="Times" w:hAnsi="Times" w:eastAsia="Times New Roman" w:cs="Times New Roman"/>
                <w:kern w:val="0"/>
                <w:sz w:val="20"/>
                <w:szCs w:val="20"/>
                <w:lang w:eastAsia="zh-CN"/>
                <w14:ligatures w14:val="none"/>
              </w:rPr>
              <w:t>properties of a DL Tx beam or beam set/list associated with the same associated ID</w:t>
            </w:r>
          </w:p>
          <w:p w14:paraId="37C55746">
            <w:pPr>
              <w:numPr>
                <w:ilvl w:val="1"/>
                <w:numId w:val="59"/>
              </w:numPr>
              <w:spacing w:after="180"/>
              <w:rPr>
                <w:rFonts w:ascii="Times" w:hAnsi="Times" w:eastAsia="Batang" w:cs="Times New Roman"/>
                <w:kern w:val="0"/>
                <w:sz w:val="20"/>
                <w:szCs w:val="20"/>
                <w:lang w:val="en-GB" w:eastAsia="zh-CN"/>
                <w14:ligatures w14:val="none"/>
              </w:rPr>
            </w:pPr>
            <w:r>
              <w:rPr>
                <w:rFonts w:ascii="Times" w:hAnsi="Times" w:eastAsia="Batang" w:cs="Times New Roman"/>
                <w:kern w:val="0"/>
                <w:sz w:val="20"/>
                <w:szCs w:val="20"/>
                <w:lang w:val="en-GB" w:eastAsia="zh-CN"/>
                <w14:ligatures w14:val="none"/>
              </w:rPr>
              <w:t xml:space="preserve">FFS: whether/how to define </w:t>
            </w:r>
            <w:r>
              <w:rPr>
                <w:rFonts w:ascii="Times" w:hAnsi="Times" w:eastAsia="Batang" w:cs="Times New Roman"/>
                <w:i/>
                <w:iCs/>
                <w:kern w:val="0"/>
                <w:sz w:val="20"/>
                <w:szCs w:val="20"/>
                <w:lang w:val="en-GB" w:eastAsia="zh-CN"/>
                <w14:ligatures w14:val="none"/>
              </w:rPr>
              <w:t>similar properties</w:t>
            </w:r>
            <w:r>
              <w:rPr>
                <w:rFonts w:ascii="Times" w:hAnsi="Times" w:eastAsia="Batang" w:cs="Times New Roman"/>
                <w:kern w:val="0"/>
                <w:sz w:val="20"/>
                <w:szCs w:val="20"/>
                <w:lang w:val="en-GB" w:eastAsia="zh-CN"/>
                <w14:ligatures w14:val="none"/>
              </w:rPr>
              <w:t xml:space="preserve"> of a DL Tx beam or beam set/list</w:t>
            </w:r>
          </w:p>
        </w:tc>
      </w:tr>
    </w:tbl>
    <w:p w14:paraId="3430211D"/>
    <w:p w14:paraId="35731945">
      <w:r>
        <w:t>In RAN1#118, the following working assumption was confirmed under agenda item 9.1.3.3.</w:t>
      </w:r>
    </w:p>
    <w:tbl>
      <w:tblPr>
        <w:tblStyle w:val="52"/>
        <w:tblW w:w="99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0"/>
      </w:tblGrid>
      <w:tr w14:paraId="1415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0" w:type="dxa"/>
          </w:tcPr>
          <w:p w14:paraId="47EC7DFA">
            <w:pPr>
              <w:rPr>
                <w:rFonts w:ascii="Times" w:hAnsi="Times" w:eastAsia="Batang"/>
                <w:b/>
                <w:bCs/>
                <w:iCs/>
                <w:sz w:val="20"/>
                <w:highlight w:val="green"/>
                <w:lang w:val="en-GB" w:eastAsia="zh-CN"/>
              </w:rPr>
            </w:pPr>
            <w:r>
              <w:rPr>
                <w:rFonts w:hint="eastAsia" w:ascii="Times" w:hAnsi="Times" w:eastAsia="Batang"/>
                <w:b/>
                <w:bCs/>
                <w:iCs/>
                <w:sz w:val="20"/>
                <w:highlight w:val="green"/>
                <w:lang w:val="en-GB" w:eastAsia="zh-CN"/>
              </w:rPr>
              <w:t>Agreement</w:t>
            </w:r>
          </w:p>
          <w:p w14:paraId="56A9C3D9">
            <w:pPr>
              <w:rPr>
                <w:rFonts w:ascii="Times" w:hAnsi="Times" w:eastAsia="等线"/>
                <w:iCs/>
                <w:sz w:val="20"/>
                <w:lang w:val="en-GB" w:eastAsia="zh-CN"/>
              </w:rPr>
            </w:pPr>
            <w:r>
              <w:rPr>
                <w:rFonts w:ascii="Times" w:hAnsi="Times" w:eastAsia="等线"/>
                <w:iCs/>
                <w:sz w:val="20"/>
                <w:lang w:val="en-GB" w:eastAsia="zh-CN"/>
              </w:rPr>
              <w:t xml:space="preserve">Confirm the </w:t>
            </w:r>
            <w:r>
              <w:rPr>
                <w:rFonts w:hint="eastAsia" w:ascii="Times" w:hAnsi="Times" w:eastAsia="等线"/>
                <w:iCs/>
                <w:sz w:val="20"/>
                <w:lang w:val="en-GB" w:eastAsia="zh-CN"/>
              </w:rPr>
              <w:t>following Working assumption.</w:t>
            </w:r>
          </w:p>
          <w:p w14:paraId="49CB487A">
            <w:pPr>
              <w:rPr>
                <w:rFonts w:ascii="Times" w:hAnsi="Times" w:eastAsia="等线"/>
                <w:iCs/>
                <w:sz w:val="20"/>
                <w:highlight w:val="darkYellow"/>
                <w:lang w:val="en-GB" w:eastAsia="zh-CN"/>
              </w:rPr>
            </w:pPr>
            <w:r>
              <w:rPr>
                <w:rFonts w:hint="eastAsia" w:ascii="Times" w:hAnsi="Times" w:eastAsia="等线"/>
                <w:iCs/>
                <w:sz w:val="20"/>
                <w:highlight w:val="darkYellow"/>
                <w:lang w:val="en-GB" w:eastAsia="zh-CN"/>
              </w:rPr>
              <w:t>Working Assumption</w:t>
            </w:r>
          </w:p>
          <w:p w14:paraId="16A858B3">
            <w:pPr>
              <w:rPr>
                <w:rFonts w:ascii="Times" w:hAnsi="Times" w:eastAsia="Batang"/>
                <w:iCs/>
                <w:sz w:val="20"/>
                <w:lang w:val="en-GB" w:eastAsia="zh-CN"/>
              </w:rPr>
            </w:pPr>
            <w:r>
              <w:rPr>
                <w:rFonts w:ascii="Times" w:hAnsi="Times" w:eastAsia="Batang"/>
                <w:iCs/>
                <w:sz w:val="20"/>
                <w:lang w:val="en-GB" w:eastAsia="zh-CN"/>
              </w:rPr>
              <w:t>Regarding the associated ID for Rel-19, the UE assum</w:t>
            </w:r>
            <w:r>
              <w:rPr>
                <w:rFonts w:hint="eastAsia" w:ascii="Times" w:hAnsi="Times" w:eastAsia="等线"/>
                <w:iCs/>
                <w:sz w:val="20"/>
                <w:lang w:val="en-GB" w:eastAsia="zh-CN"/>
              </w:rPr>
              <w:t xml:space="preserve">es that </w:t>
            </w:r>
            <w:r>
              <w:rPr>
                <w:rFonts w:ascii="Times" w:hAnsi="Times" w:eastAsia="Batang"/>
                <w:iCs/>
                <w:sz w:val="20"/>
                <w:lang w:val="en-GB" w:eastAsia="zh-CN"/>
              </w:rPr>
              <w:t>NW-side additional condition</w:t>
            </w:r>
            <w:r>
              <w:rPr>
                <w:rFonts w:hint="eastAsia" w:ascii="Times" w:hAnsi="Times" w:eastAsia="等线"/>
                <w:iCs/>
                <w:sz w:val="20"/>
                <w:lang w:val="en-GB" w:eastAsia="zh-CN"/>
              </w:rPr>
              <w:t>s</w:t>
            </w:r>
            <w:r>
              <w:rPr>
                <w:rFonts w:ascii="Times" w:hAnsi="Times" w:eastAsia="Batang"/>
                <w:iCs/>
                <w:sz w:val="20"/>
                <w:lang w:val="en-GB" w:eastAsia="zh-CN"/>
              </w:rPr>
              <w:t xml:space="preserve"> with the same associated ID </w:t>
            </w:r>
            <w:r>
              <w:rPr>
                <w:rFonts w:hint="eastAsia" w:ascii="Times" w:hAnsi="Times" w:eastAsia="等线"/>
                <w:iCs/>
                <w:sz w:val="20"/>
                <w:lang w:val="en-GB" w:eastAsia="zh-CN"/>
              </w:rPr>
              <w:t>are</w:t>
            </w:r>
            <w:r>
              <w:rPr>
                <w:rFonts w:ascii="Times" w:hAnsi="Times" w:eastAsia="Batang"/>
                <w:iCs/>
                <w:sz w:val="20"/>
                <w:lang w:val="en-GB" w:eastAsia="zh-CN"/>
              </w:rPr>
              <w:t xml:space="preserve"> </w:t>
            </w:r>
            <w:r>
              <w:rPr>
                <w:rFonts w:hint="eastAsia" w:ascii="Times" w:hAnsi="Times" w:eastAsia="等线"/>
                <w:iCs/>
                <w:sz w:val="20"/>
                <w:lang w:val="en-GB" w:eastAsia="zh-CN"/>
              </w:rPr>
              <w:t xml:space="preserve">consistent </w:t>
            </w:r>
            <w:r>
              <w:rPr>
                <w:rFonts w:ascii="Times" w:hAnsi="Times" w:eastAsia="Batang"/>
                <w:iCs/>
                <w:sz w:val="20"/>
                <w:lang w:val="en-GB" w:eastAsia="zh-CN"/>
              </w:rPr>
              <w:t xml:space="preserve">at least within a cell  </w:t>
            </w:r>
          </w:p>
          <w:p w14:paraId="1D9FBCA9">
            <w:pPr>
              <w:numPr>
                <w:ilvl w:val="0"/>
                <w:numId w:val="60"/>
              </w:numPr>
              <w:spacing w:after="0" w:line="300" w:lineRule="auto"/>
              <w:contextualSpacing/>
              <w:jc w:val="both"/>
              <w:rPr>
                <w:rFonts w:ascii="Times" w:hAnsi="Times" w:eastAsia="Batang"/>
                <w:b/>
                <w:bCs/>
                <w:iCs/>
                <w:sz w:val="20"/>
                <w:lang w:val="en-GB" w:eastAsia="zh-CN"/>
              </w:rPr>
            </w:pPr>
            <w:r>
              <w:rPr>
                <w:rFonts w:ascii="Times" w:hAnsi="Times" w:eastAsia="Batang"/>
                <w:iCs/>
                <w:sz w:val="20"/>
                <w:lang w:val="en-GB" w:eastAsia="zh-CN"/>
              </w:rPr>
              <w:t>FFS: whether/how UE assumption can be applicable for multiple cells (including the feasibility study)</w:t>
            </w:r>
          </w:p>
        </w:tc>
      </w:tr>
    </w:tbl>
    <w:p w14:paraId="48A0C15E"/>
    <w:p w14:paraId="5C3DBC2B">
      <w:r>
        <w:t xml:space="preserve">One difference between the positioning use case and beam management use case is, for BM the model covers the beams in a given cell only, while multiple cells/TRPs are involved in the model for positioning. Also, the number of TRPs that are needed for generating model input can vary, if a model for positioning is trained to support a varying number of TRPs. </w:t>
      </w:r>
    </w:p>
    <w:p w14:paraId="0B2C048F">
      <w:r>
        <w:t xml:space="preserve">Thus for the positioning use case, the coverage of associated ID should be discussed separately. In our view, the consistency between training and inference should be checked for each TRP separately, including the NW-side conditions explicitly signalled (e.g., PRS bandwidth) and the NW-side additional conditions which are covered by associated IDs.  </w:t>
      </w:r>
    </w:p>
    <w:p w14:paraId="32B794AD">
      <w:r>
        <w:t xml:space="preserve">Regarding the associated ID, it is to be defined per TRP, i.e., for a given TRP j, the UE assumes that the NW-side additional conditions with the same associated ID are consistent within the TRP j. </w:t>
      </w:r>
    </w:p>
    <w:p w14:paraId="47CF8990">
      <w:pPr>
        <w:pStyle w:val="133"/>
        <w:numPr>
          <w:ilvl w:val="0"/>
          <w:numId w:val="61"/>
        </w:numPr>
      </w:pPr>
      <w:r>
        <w:t xml:space="preserve">If for a given TRP j, the same associated ID is used between training and inference, then TRP j may be included in model inference by the UE. </w:t>
      </w:r>
    </w:p>
    <w:p w14:paraId="7FDD358C">
      <w:pPr>
        <w:pStyle w:val="133"/>
        <w:numPr>
          <w:ilvl w:val="0"/>
          <w:numId w:val="61"/>
        </w:numPr>
      </w:pPr>
      <w:r>
        <w:t>If for a given TRP i, different associated IDs are used between training and inference, then TRP i should not be included in model inference by the UE.</w:t>
      </w:r>
    </w:p>
    <w:p w14:paraId="645C2CB3"/>
    <w:p w14:paraId="00BAD064">
      <w:r>
        <w:t>For example, for info #7 (Geographical coordinates of the TRPs), the associated ID of each TRP indicates whether the geographical location of the given TRP has changed or not.</w:t>
      </w:r>
    </w:p>
    <w:p w14:paraId="087C917C">
      <w:r>
        <w:t>RAN1 should further discuss the range of values for associated ID (hence the number of bits to represent the associated ID).</w:t>
      </w:r>
    </w:p>
    <w:p w14:paraId="50230FDC">
      <w:pPr>
        <w:pStyle w:val="73"/>
      </w:pPr>
      <w:bookmarkStart w:id="2486" w:name="_Toc189845178"/>
      <w:r>
        <w:t>For UE-side model (Case 1/2a), to ensure the consistency of NW-side additional condition across training and inference, support associated ID for indicating NW conditions/configurations.</w:t>
      </w:r>
      <w:bookmarkEnd w:id="2486"/>
    </w:p>
    <w:p w14:paraId="6C7E6B07">
      <w:pPr>
        <w:pStyle w:val="73"/>
      </w:pPr>
      <w:bookmarkStart w:id="2487" w:name="_Toc189845179"/>
      <w:r>
        <w:t>For AI/ML based positioning, the consistency between training and inference is checked for each TRP separately.</w:t>
      </w:r>
      <w:bookmarkEnd w:id="2487"/>
      <w:r>
        <w:t xml:space="preserve"> </w:t>
      </w:r>
    </w:p>
    <w:p w14:paraId="3E003676">
      <w:pPr>
        <w:pStyle w:val="73"/>
      </w:pPr>
      <w:bookmarkStart w:id="2488" w:name="_Toc189845180"/>
      <w:r>
        <w:t>For a given TRP j, the UE assumes that the NW-side additional conditions with the same associated ID are consistent within the TRP j.</w:t>
      </w:r>
      <w:bookmarkEnd w:id="2488"/>
      <w:r>
        <w:t xml:space="preserve"> </w:t>
      </w:r>
    </w:p>
    <w:p w14:paraId="1CAE887B">
      <w:pPr>
        <w:pStyle w:val="4"/>
      </w:pPr>
      <w:bookmarkStart w:id="2489" w:name="_Toc189845050"/>
      <w:bookmarkStart w:id="2490" w:name="_Ref181977548"/>
      <w:r>
        <w:t>Consistency of measurements reported between model inference and model training</w:t>
      </w:r>
      <w:bookmarkEnd w:id="2489"/>
      <w:bookmarkEnd w:id="2490"/>
    </w:p>
    <w:p w14:paraId="6BEA0F16">
      <w:r>
        <w:t>For the consistency between the RSs used during training and inference, similarly it could be left to network deployment choice at least for cases 1/2a/3a. Although there could be several types of UE deployed in the network and each could be using e.g. a different bandwidth during training, parameters can be controlled by network implementation to remain static during both training and inference. The UE can also ensure the measurement bandwidth is consistent with the bandwidth used for training. For case 3b and 2b, the LMF gather the measurements and the gNB/UE may not have been involved with the model training.  It is thus important that the LMF signals what measurement bandwidth to use to provide model input.</w:t>
      </w:r>
    </w:p>
    <w:p w14:paraId="0D51C0EC">
      <w:pPr>
        <w:pStyle w:val="97"/>
      </w:pPr>
      <w:bookmarkStart w:id="2491" w:name="_Toc189845094"/>
      <w:r>
        <w:t>For Cases with LMF-side model (Case 2b/3b), the measurements reported for model input must be consistent with the ones used with training data.</w:t>
      </w:r>
      <w:bookmarkEnd w:id="2491"/>
    </w:p>
    <w:p w14:paraId="1E03A5AC">
      <w:pPr>
        <w:pStyle w:val="73"/>
      </w:pPr>
      <w:bookmarkStart w:id="2492" w:name="_Toc189845181"/>
      <w:r>
        <w:t>For measurements reported to the LMF in case 2b/3b, support the LMF to indicate the PRS/SRS measurement bandwidth.</w:t>
      </w:r>
      <w:bookmarkEnd w:id="2492"/>
      <w:r>
        <w:t xml:space="preserve"> </w:t>
      </w:r>
    </w:p>
    <w:p w14:paraId="60C3E0C4">
      <w:pPr>
        <w:pStyle w:val="3"/>
      </w:pPr>
      <w:bookmarkStart w:id="2493" w:name="_Toc189845051"/>
      <w:r>
        <w:t>Consistency of network side conditions for Case 1</w:t>
      </w:r>
      <w:bookmarkEnd w:id="2493"/>
    </w:p>
    <w:p w14:paraId="6B336FBF">
      <w:r>
        <w:t>The following agreement was reached on the assistance data required to maintain consistency in case 1:</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39DB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70D08B8D">
            <w:pPr>
              <w:spacing w:after="0"/>
              <w:rPr>
                <w:rFonts w:eastAsia="等线"/>
                <w:highlight w:val="green"/>
                <w:lang w:eastAsia="zh-CN"/>
              </w:rPr>
            </w:pPr>
            <w:r>
              <w:rPr>
                <w:rFonts w:hint="eastAsia" w:eastAsia="等线"/>
                <w:highlight w:val="green"/>
                <w:lang w:eastAsia="zh-CN"/>
              </w:rPr>
              <w:t>Agreement</w:t>
            </w:r>
          </w:p>
          <w:p w14:paraId="0B869FD4">
            <w:pPr>
              <w:spacing w:after="0"/>
            </w:pPr>
            <w:r>
              <w:t>For AI/ML based positioning Case 1, all assistance information from legacy UE-based DL-TDOA, other than info #7, can be provided from LMF to UE. For info #7, RAN1 study</w:t>
            </w:r>
            <w:r>
              <w:rPr>
                <w:rFonts w:hint="eastAsia" w:eastAsia="等线"/>
                <w:lang w:eastAsia="zh-CN"/>
              </w:rPr>
              <w:t>, if necessary,</w:t>
            </w:r>
            <w:r>
              <w:t xml:space="preserve"> choose one alternative from the following:</w:t>
            </w:r>
          </w:p>
          <w:p w14:paraId="46AE4861">
            <w:pPr>
              <w:pStyle w:val="133"/>
              <w:widowControl w:val="0"/>
              <w:numPr>
                <w:ilvl w:val="0"/>
                <w:numId w:val="62"/>
              </w:numPr>
            </w:pPr>
            <w:r>
              <w:t>Alternative 1. Info #7 is provided implicitly via associated ID.</w:t>
            </w:r>
          </w:p>
          <w:p w14:paraId="271B8C34">
            <w:pPr>
              <w:pStyle w:val="133"/>
              <w:widowControl w:val="0"/>
              <w:numPr>
                <w:ilvl w:val="1"/>
                <w:numId w:val="62"/>
              </w:numPr>
              <w:tabs>
                <w:tab w:val="left" w:pos="1440"/>
              </w:tabs>
            </w:pPr>
            <w:r>
              <w:rPr>
                <w:rFonts w:hint="eastAsia" w:eastAsia="Yu Mincho"/>
                <w:lang w:eastAsia="ja-JP"/>
              </w:rPr>
              <w:t>A</w:t>
            </w:r>
            <w:r>
              <w:t>ssociated ID is signaled by LMF to indicate whether info #7 is consistent between training and inference.</w:t>
            </w:r>
          </w:p>
          <w:p w14:paraId="66DE6DFF">
            <w:pPr>
              <w:pStyle w:val="133"/>
              <w:widowControl w:val="0"/>
              <w:numPr>
                <w:ilvl w:val="0"/>
                <w:numId w:val="62"/>
              </w:numPr>
            </w:pPr>
            <w:r>
              <w:t xml:space="preserve">Alternative 2. Info #7 can be provided either implicitly or explicitly by LMF. Note: no UE capability is introduced on whether info #7 is provided implicitly or explicitly, and the UE can request info #7 to be provided explicitly or implicitly. </w:t>
            </w:r>
          </w:p>
          <w:p w14:paraId="7E2EB7EF">
            <w:pPr>
              <w:pStyle w:val="133"/>
              <w:widowControl w:val="0"/>
              <w:numPr>
                <w:ilvl w:val="1"/>
                <w:numId w:val="62"/>
              </w:numPr>
              <w:tabs>
                <w:tab w:val="left" w:pos="1440"/>
              </w:tabs>
            </w:pPr>
            <w:r>
              <w:t xml:space="preserve">If provided implicitly, </w:t>
            </w:r>
            <w:r>
              <w:rPr>
                <w:rFonts w:eastAsia="Yu Mincho"/>
                <w:lang w:eastAsia="ja-JP"/>
              </w:rPr>
              <w:t>a</w:t>
            </w:r>
            <w:r>
              <w:t>ssociated ID is signaled by LMF to indicate whether info #7 is consistent between training and inference.</w:t>
            </w:r>
          </w:p>
          <w:p w14:paraId="61534608">
            <w:pPr>
              <w:pStyle w:val="133"/>
              <w:widowControl w:val="0"/>
              <w:numPr>
                <w:ilvl w:val="0"/>
                <w:numId w:val="62"/>
              </w:numPr>
              <w:tabs>
                <w:tab w:val="left" w:pos="1440"/>
              </w:tabs>
            </w:pPr>
            <w:r>
              <w:t xml:space="preserve">Alternative 3.  Info #7 is </w:t>
            </w:r>
            <w:r>
              <w:rPr>
                <w:b/>
                <w:bCs/>
              </w:rPr>
              <w:t>not</w:t>
            </w:r>
            <w:r>
              <w:t xml:space="preserve"> be provided from LMF to UE. </w:t>
            </w:r>
          </w:p>
          <w:p w14:paraId="52B284A3">
            <w:pPr>
              <w:pStyle w:val="133"/>
              <w:widowControl w:val="0"/>
              <w:numPr>
                <w:ilvl w:val="1"/>
                <w:numId w:val="62"/>
              </w:numPr>
              <w:tabs>
                <w:tab w:val="left" w:pos="1440"/>
              </w:tabs>
            </w:pPr>
            <w:r>
              <w:t>If info #7 is not provided, UE may assume info #7 is consistent between training and inference.</w:t>
            </w:r>
          </w:p>
          <w:p w14:paraId="259731FD">
            <w:pPr>
              <w:pStyle w:val="133"/>
              <w:widowControl w:val="0"/>
              <w:numPr>
                <w:ilvl w:val="0"/>
                <w:numId w:val="62"/>
              </w:numPr>
              <w:tabs>
                <w:tab w:val="left" w:pos="1440"/>
              </w:tabs>
            </w:pPr>
            <w:r>
              <w:t xml:space="preserve">Alternative 4. Info #7 is provided explicitly from LMF to UE. </w:t>
            </w:r>
          </w:p>
          <w:tbl>
            <w:tblPr>
              <w:tblStyle w:val="51"/>
              <w:tblW w:w="9355" w:type="dxa"/>
              <w:tblInd w:w="0" w:type="dxa"/>
              <w:tblLayout w:type="autofit"/>
              <w:tblCellMar>
                <w:top w:w="0" w:type="dxa"/>
                <w:left w:w="108" w:type="dxa"/>
                <w:bottom w:w="0" w:type="dxa"/>
                <w:right w:w="108" w:type="dxa"/>
              </w:tblCellMar>
            </w:tblPr>
            <w:tblGrid>
              <w:gridCol w:w="535"/>
              <w:gridCol w:w="8820"/>
            </w:tblGrid>
            <w:tr w14:paraId="7DBC6A56">
              <w:tblPrEx>
                <w:tblCellMar>
                  <w:top w:w="0" w:type="dxa"/>
                  <w:left w:w="108" w:type="dxa"/>
                  <w:bottom w:w="0" w:type="dxa"/>
                  <w:right w:w="108" w:type="dxa"/>
                </w:tblCellMar>
              </w:tblPrEx>
              <w:trPr>
                <w:trHeight w:val="432" w:hRule="atLeast"/>
              </w:trPr>
              <w:tc>
                <w:tcPr>
                  <w:tcW w:w="53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4658968">
                  <w:pPr>
                    <w:spacing w:after="0"/>
                    <w:rPr>
                      <w:rFonts w:ascii="Times New Roman" w:hAnsi="Times New Roman" w:eastAsia="Times New Roman"/>
                      <w:color w:val="000000"/>
                      <w:szCs w:val="20"/>
                    </w:rPr>
                  </w:pPr>
                  <w:r>
                    <w:rPr>
                      <w:rFonts w:ascii="Times New Roman" w:hAnsi="Times New Roman" w:eastAsia="Times New Roman"/>
                      <w:color w:val="000000"/>
                      <w:szCs w:val="20"/>
                    </w:rPr>
                    <w:t>7</w:t>
                  </w:r>
                </w:p>
              </w:tc>
              <w:tc>
                <w:tcPr>
                  <w:tcW w:w="882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6553419">
                  <w:pPr>
                    <w:spacing w:after="0"/>
                    <w:rPr>
                      <w:rFonts w:ascii="Times New Roman" w:hAnsi="Times New Roman" w:eastAsia="Times New Roman"/>
                      <w:color w:val="000000"/>
                      <w:szCs w:val="20"/>
                    </w:rPr>
                  </w:pPr>
                  <w:r>
                    <w:rPr>
                      <w:rFonts w:ascii="Times New Roman" w:hAnsi="Times New Roman" w:eastAsia="Times New Roman"/>
                      <w:color w:val="000000"/>
                      <w:szCs w:val="20"/>
                    </w:rPr>
                    <w:t>Geographical coordinates of the TRPs served by the gNB (include a transmission reference location for each DL-PRS Resource ID, reference location for the transmitting antenna of the reference TRP, relative locations for transmitting antennas of other TRPs)</w:t>
                  </w:r>
                </w:p>
              </w:tc>
            </w:tr>
          </w:tbl>
          <w:p w14:paraId="02F2DB7F">
            <w:pPr>
              <w:spacing w:after="0"/>
            </w:pPr>
          </w:p>
        </w:tc>
      </w:tr>
    </w:tbl>
    <w:p w14:paraId="16F5232A"/>
    <w:p w14:paraId="0494A06C">
      <w:r>
        <w:t>Hence the remaining issue is whether the TRP location is required to case 1, and if so how to signal it.  Additionally,  there are proposal to also support AOD assistance data.  As discussed in section 1 of this contribution, only time-based methods have been discussed in the SI phase, and we thus assume only assistance data from time-based methods as baseline for Case 1.  Furthermore, one should consider what is strictly necessary for case 1, which is essentially a fingerprinting method. This most notably changes the need the UE has in terms of calculation assistance data. Therefore, info #16-18 are not to be provided explicitly from LMF to UE, which are those that are specified for UE-based DL-AoD but not UE-based DL-TDOA. For example, for spatial information, info #6 is adequate for DL-TDOA, and info #16 provides further details that DL-AoD needs, where info #6 is “Spatial direction information (e.g. azimuth, elevation etc.) of the DL-PRS Resources of the TRPs served by the gNB”.</w:t>
      </w:r>
    </w:p>
    <w:p w14:paraId="01093D16">
      <w:pPr>
        <w:pStyle w:val="29"/>
        <w:jc w:val="center"/>
      </w:pPr>
      <w:r>
        <w:t xml:space="preserve">Table </w:t>
      </w:r>
      <w:r>
        <w:fldChar w:fldCharType="begin"/>
      </w:r>
      <w:r>
        <w:instrText xml:space="preserve"> SEQ Table \* ARABIC </w:instrText>
      </w:r>
      <w:r>
        <w:fldChar w:fldCharType="separate"/>
      </w:r>
      <w:r>
        <w:t>8</w:t>
      </w:r>
      <w:r>
        <w:fldChar w:fldCharType="end"/>
      </w:r>
      <w:r>
        <w:t>. Information that are specified for UE-based DL-AoD but not UE-based DL-TDOA</w:t>
      </w:r>
    </w:p>
    <w:tbl>
      <w:tblPr>
        <w:tblStyle w:val="51"/>
        <w:tblW w:w="81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5373"/>
        <w:gridCol w:w="1060"/>
        <w:gridCol w:w="1107"/>
      </w:tblGrid>
      <w:tr w14:paraId="33F16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600" w:type="dxa"/>
            <w:shd w:val="clear" w:color="auto" w:fill="auto"/>
            <w:noWrap/>
            <w:vAlign w:val="bottom"/>
          </w:tcPr>
          <w:p w14:paraId="4519E3A2">
            <w:pPr>
              <w:rPr>
                <w:rFonts w:ascii="Aptos Narrow" w:hAnsi="Aptos Narrow"/>
                <w:color w:val="000000"/>
              </w:rPr>
            </w:pPr>
          </w:p>
        </w:tc>
        <w:tc>
          <w:tcPr>
            <w:tcW w:w="5420" w:type="dxa"/>
            <w:shd w:val="clear" w:color="auto" w:fill="auto"/>
            <w:vAlign w:val="center"/>
          </w:tcPr>
          <w:p w14:paraId="0D3EA58E">
            <w:pPr>
              <w:rPr>
                <w:rFonts w:ascii="Aptos" w:hAnsi="Aptos"/>
                <w:color w:val="000000"/>
                <w:szCs w:val="20"/>
              </w:rPr>
            </w:pPr>
            <w:r>
              <w:rPr>
                <w:rFonts w:ascii="Aptos" w:hAnsi="Aptos"/>
                <w:b/>
                <w:bCs/>
                <w:color w:val="000000"/>
                <w:szCs w:val="20"/>
              </w:rPr>
              <w:t xml:space="preserve">Existing assistance data (supported up to Rel-18) that may be transferred from LMF to UE in UE-based DL-TdoA [1] or UE-based  DL-AoD [2], as applicable </w:t>
            </w:r>
          </w:p>
        </w:tc>
        <w:tc>
          <w:tcPr>
            <w:tcW w:w="1060" w:type="dxa"/>
            <w:shd w:val="clear" w:color="auto" w:fill="auto"/>
            <w:noWrap/>
            <w:vAlign w:val="center"/>
          </w:tcPr>
          <w:p w14:paraId="3761FB0C">
            <w:pPr>
              <w:rPr>
                <w:rFonts w:ascii="Aptos Narrow" w:hAnsi="Aptos Narrow"/>
                <w:color w:val="FF0000"/>
                <w:szCs w:val="20"/>
              </w:rPr>
            </w:pPr>
            <w:r>
              <w:rPr>
                <w:rFonts w:ascii="Aptos" w:hAnsi="Aptos"/>
                <w:b/>
                <w:bCs/>
                <w:color w:val="000000"/>
                <w:szCs w:val="20"/>
              </w:rPr>
              <w:t>UE-based DL-TDOA</w:t>
            </w:r>
          </w:p>
        </w:tc>
        <w:tc>
          <w:tcPr>
            <w:tcW w:w="1060" w:type="dxa"/>
            <w:shd w:val="clear" w:color="auto" w:fill="auto"/>
            <w:noWrap/>
            <w:vAlign w:val="center"/>
          </w:tcPr>
          <w:p w14:paraId="44E8D99F">
            <w:pPr>
              <w:rPr>
                <w:rFonts w:ascii="Aptos Narrow" w:hAnsi="Aptos Narrow"/>
                <w:color w:val="000000"/>
                <w:szCs w:val="20"/>
              </w:rPr>
            </w:pPr>
            <w:r>
              <w:rPr>
                <w:rFonts w:ascii="Aptos" w:hAnsi="Aptos"/>
                <w:b/>
                <w:bCs/>
                <w:color w:val="000000"/>
                <w:szCs w:val="20"/>
              </w:rPr>
              <w:t>UE-based  DL-AoD</w:t>
            </w:r>
          </w:p>
        </w:tc>
      </w:tr>
      <w:tr w14:paraId="5916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600" w:type="dxa"/>
            <w:shd w:val="clear" w:color="auto" w:fill="auto"/>
            <w:noWrap/>
            <w:vAlign w:val="bottom"/>
          </w:tcPr>
          <w:p w14:paraId="50520077">
            <w:pPr>
              <w:rPr>
                <w:rFonts w:ascii="Aptos Narrow" w:hAnsi="Aptos Narrow"/>
                <w:color w:val="000000"/>
              </w:rPr>
            </w:pPr>
            <w:r>
              <w:rPr>
                <w:rFonts w:ascii="Aptos Narrow" w:hAnsi="Aptos Narrow"/>
                <w:color w:val="000000"/>
              </w:rPr>
              <w:t>16</w:t>
            </w:r>
          </w:p>
        </w:tc>
        <w:tc>
          <w:tcPr>
            <w:tcW w:w="5420" w:type="dxa"/>
            <w:shd w:val="clear" w:color="auto" w:fill="auto"/>
            <w:vAlign w:val="center"/>
          </w:tcPr>
          <w:p w14:paraId="74E8B98E">
            <w:pPr>
              <w:rPr>
                <w:rFonts w:ascii="Aptos" w:hAnsi="Aptos"/>
                <w:color w:val="000000"/>
                <w:sz w:val="22"/>
              </w:rPr>
            </w:pPr>
            <w:r>
              <w:rPr>
                <w:rFonts w:ascii="Aptos" w:hAnsi="Aptos"/>
                <w:color w:val="000000"/>
                <w:sz w:val="22"/>
              </w:rPr>
              <w:t>TRP beam/antenna information (including azimuth angle, zenith angle and relative power between PRS resources per angle per TRP)</w:t>
            </w:r>
          </w:p>
        </w:tc>
        <w:tc>
          <w:tcPr>
            <w:tcW w:w="1060" w:type="dxa"/>
            <w:shd w:val="clear" w:color="auto" w:fill="auto"/>
            <w:noWrap/>
            <w:vAlign w:val="bottom"/>
          </w:tcPr>
          <w:p w14:paraId="1F23851C">
            <w:pPr>
              <w:rPr>
                <w:rFonts w:ascii="Aptos Narrow" w:hAnsi="Aptos Narrow"/>
                <w:color w:val="FF0000"/>
              </w:rPr>
            </w:pPr>
            <w:r>
              <w:rPr>
                <w:rFonts w:ascii="Aptos Narrow" w:hAnsi="Aptos Narrow"/>
                <w:color w:val="FF0000"/>
              </w:rPr>
              <w:t>N/A</w:t>
            </w:r>
          </w:p>
        </w:tc>
        <w:tc>
          <w:tcPr>
            <w:tcW w:w="1060" w:type="dxa"/>
            <w:shd w:val="clear" w:color="auto" w:fill="auto"/>
            <w:noWrap/>
            <w:vAlign w:val="bottom"/>
          </w:tcPr>
          <w:p w14:paraId="30B634DA">
            <w:pPr>
              <w:rPr>
                <w:rFonts w:ascii="Aptos Narrow" w:hAnsi="Aptos Narrow"/>
                <w:color w:val="000000"/>
              </w:rPr>
            </w:pPr>
            <w:r>
              <w:rPr>
                <w:rFonts w:ascii="Aptos Narrow" w:hAnsi="Aptos Narrow"/>
                <w:color w:val="000000"/>
              </w:rPr>
              <w:t>Explicit</w:t>
            </w:r>
          </w:p>
        </w:tc>
      </w:tr>
      <w:tr w14:paraId="1C51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600" w:type="dxa"/>
            <w:shd w:val="clear" w:color="auto" w:fill="auto"/>
            <w:noWrap/>
            <w:vAlign w:val="bottom"/>
          </w:tcPr>
          <w:p w14:paraId="487E15D5">
            <w:pPr>
              <w:rPr>
                <w:rFonts w:ascii="Aptos Narrow" w:hAnsi="Aptos Narrow"/>
                <w:color w:val="000000"/>
              </w:rPr>
            </w:pPr>
            <w:r>
              <w:rPr>
                <w:rFonts w:ascii="Aptos Narrow" w:hAnsi="Aptos Narrow"/>
                <w:color w:val="000000"/>
              </w:rPr>
              <w:t>17</w:t>
            </w:r>
          </w:p>
        </w:tc>
        <w:tc>
          <w:tcPr>
            <w:tcW w:w="5420" w:type="dxa"/>
            <w:shd w:val="clear" w:color="auto" w:fill="auto"/>
            <w:vAlign w:val="center"/>
          </w:tcPr>
          <w:p w14:paraId="281877FA">
            <w:pPr>
              <w:rPr>
                <w:rFonts w:ascii="Aptos" w:hAnsi="Aptos"/>
                <w:color w:val="000000"/>
                <w:sz w:val="22"/>
              </w:rPr>
            </w:pPr>
            <w:r>
              <w:rPr>
                <w:rFonts w:ascii="Aptos" w:hAnsi="Aptos"/>
                <w:color w:val="000000"/>
                <w:sz w:val="22"/>
              </w:rPr>
              <w:t>Expected Angle Assistance information</w:t>
            </w:r>
          </w:p>
        </w:tc>
        <w:tc>
          <w:tcPr>
            <w:tcW w:w="1060" w:type="dxa"/>
            <w:shd w:val="clear" w:color="auto" w:fill="auto"/>
            <w:noWrap/>
            <w:vAlign w:val="bottom"/>
          </w:tcPr>
          <w:p w14:paraId="4DBF855D">
            <w:pPr>
              <w:rPr>
                <w:rFonts w:ascii="Aptos Narrow" w:hAnsi="Aptos Narrow"/>
                <w:color w:val="FF0000"/>
              </w:rPr>
            </w:pPr>
            <w:r>
              <w:rPr>
                <w:rFonts w:ascii="Aptos Narrow" w:hAnsi="Aptos Narrow"/>
                <w:color w:val="FF0000"/>
              </w:rPr>
              <w:t>N/A</w:t>
            </w:r>
          </w:p>
        </w:tc>
        <w:tc>
          <w:tcPr>
            <w:tcW w:w="1060" w:type="dxa"/>
            <w:shd w:val="clear" w:color="auto" w:fill="auto"/>
            <w:noWrap/>
            <w:vAlign w:val="bottom"/>
          </w:tcPr>
          <w:p w14:paraId="476C2EEE">
            <w:pPr>
              <w:rPr>
                <w:rFonts w:ascii="Aptos Narrow" w:hAnsi="Aptos Narrow"/>
                <w:color w:val="000000"/>
              </w:rPr>
            </w:pPr>
            <w:r>
              <w:rPr>
                <w:rFonts w:ascii="Aptos Narrow" w:hAnsi="Aptos Narrow"/>
                <w:color w:val="000000"/>
              </w:rPr>
              <w:t>Explicit</w:t>
            </w:r>
          </w:p>
        </w:tc>
      </w:tr>
      <w:tr w14:paraId="0961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600" w:type="dxa"/>
            <w:shd w:val="clear" w:color="auto" w:fill="auto"/>
            <w:noWrap/>
            <w:vAlign w:val="bottom"/>
          </w:tcPr>
          <w:p w14:paraId="7347ACDE">
            <w:pPr>
              <w:rPr>
                <w:rFonts w:ascii="Aptos Narrow" w:hAnsi="Aptos Narrow"/>
                <w:color w:val="000000"/>
              </w:rPr>
            </w:pPr>
            <w:r>
              <w:rPr>
                <w:rFonts w:ascii="Aptos Narrow" w:hAnsi="Aptos Narrow"/>
                <w:color w:val="000000"/>
              </w:rPr>
              <w:t>18</w:t>
            </w:r>
          </w:p>
        </w:tc>
        <w:tc>
          <w:tcPr>
            <w:tcW w:w="5420" w:type="dxa"/>
            <w:shd w:val="clear" w:color="auto" w:fill="auto"/>
            <w:vAlign w:val="center"/>
          </w:tcPr>
          <w:p w14:paraId="1FBFA7AD">
            <w:pPr>
              <w:rPr>
                <w:rFonts w:ascii="Aptos" w:hAnsi="Aptos"/>
                <w:color w:val="000000"/>
                <w:sz w:val="22"/>
              </w:rPr>
            </w:pPr>
            <w:r>
              <w:rPr>
                <w:rFonts w:ascii="Aptos" w:hAnsi="Aptos"/>
                <w:color w:val="000000"/>
                <w:sz w:val="22"/>
              </w:rPr>
              <w:t>PRS priority list</w:t>
            </w:r>
          </w:p>
        </w:tc>
        <w:tc>
          <w:tcPr>
            <w:tcW w:w="1060" w:type="dxa"/>
            <w:shd w:val="clear" w:color="auto" w:fill="auto"/>
            <w:noWrap/>
            <w:vAlign w:val="bottom"/>
          </w:tcPr>
          <w:p w14:paraId="16906866">
            <w:pPr>
              <w:rPr>
                <w:rFonts w:ascii="Aptos Narrow" w:hAnsi="Aptos Narrow"/>
                <w:color w:val="FF0000"/>
              </w:rPr>
            </w:pPr>
            <w:r>
              <w:rPr>
                <w:rFonts w:ascii="Aptos Narrow" w:hAnsi="Aptos Narrow"/>
                <w:color w:val="FF0000"/>
              </w:rPr>
              <w:t>N/A</w:t>
            </w:r>
          </w:p>
        </w:tc>
        <w:tc>
          <w:tcPr>
            <w:tcW w:w="1060" w:type="dxa"/>
            <w:shd w:val="clear" w:color="auto" w:fill="auto"/>
            <w:noWrap/>
            <w:vAlign w:val="bottom"/>
          </w:tcPr>
          <w:p w14:paraId="3D01CEA5">
            <w:pPr>
              <w:rPr>
                <w:rFonts w:ascii="Aptos Narrow" w:hAnsi="Aptos Narrow"/>
                <w:color w:val="000000"/>
              </w:rPr>
            </w:pPr>
            <w:r>
              <w:rPr>
                <w:rFonts w:ascii="Aptos Narrow" w:hAnsi="Aptos Narrow"/>
                <w:color w:val="000000"/>
              </w:rPr>
              <w:t>Explicit</w:t>
            </w:r>
          </w:p>
        </w:tc>
      </w:tr>
    </w:tbl>
    <w:p w14:paraId="3D8F3954"/>
    <w:p w14:paraId="4C3EFFCD">
      <w:pPr>
        <w:pStyle w:val="97"/>
      </w:pPr>
      <w:bookmarkStart w:id="2494" w:name="_Toc189845095"/>
      <w:r>
        <w:t>For Case 1, the SI only considered time-based fingerprinting approaches.</w:t>
      </w:r>
      <w:bookmarkEnd w:id="2494"/>
      <w:r>
        <w:t xml:space="preserve"> </w:t>
      </w:r>
    </w:p>
    <w:p w14:paraId="147E0808">
      <w:pPr>
        <w:pStyle w:val="73"/>
      </w:pPr>
      <w:bookmarkStart w:id="2495" w:name="_Toc189845182"/>
      <w:r>
        <w:t>Do not support provision of assistance data (info #16-18) dedicated to UE-based DL-AoD, but not needed for DL-TDOA.</w:t>
      </w:r>
      <w:bookmarkEnd w:id="2495"/>
      <w:r>
        <w:t xml:space="preserve"> </w:t>
      </w:r>
    </w:p>
    <w:p w14:paraId="5DE71165"/>
    <w:p w14:paraId="2578FE5A">
      <w:r>
        <w:t xml:space="preserve">Regarding the signalling of TRP location, we think that one should consider firstly whether the information is essential to AIML fingerprinting methods, and also consideration of sensitive information for operators.  Pre release-19 methods for DL-TDOA compute the time of arrival based on tri-alterations for which the coordinates of the TRPs transmitting the reference signal are needed to resolve the location equation.  For fingerprinting, the location coordinates of the TRP are not needed, since this information is </w:t>
      </w:r>
      <w:r>
        <w:rPr>
          <w:b/>
        </w:rPr>
        <w:t>implicitly imbedded in the label data</w:t>
      </w:r>
      <w:r>
        <w:rPr>
          <w:b/>
          <w:bCs/>
        </w:rPr>
        <w:t xml:space="preserve"> </w:t>
      </w:r>
      <w:r>
        <w:t xml:space="preserve">of the training dataset, and never used explicitly in any calculation. Thus it is enough to know whether the TRP position has changed during the inference phase and during the model training phase.  Similar approach could also be taken for spatialinformation, or fine timing relative to the serving TRP. </w:t>
      </w:r>
    </w:p>
    <w:p w14:paraId="79C9DBC8">
      <w:bookmarkStart w:id="2496" w:name="_Toc189125122"/>
      <w:bookmarkEnd w:id="2496"/>
      <w:bookmarkStart w:id="2497" w:name="_Toc189125124"/>
      <w:bookmarkEnd w:id="2497"/>
      <w:bookmarkStart w:id="2498" w:name="_Toc189125120"/>
      <w:bookmarkEnd w:id="2498"/>
      <w:bookmarkStart w:id="2499" w:name="_Toc189125119"/>
      <w:bookmarkEnd w:id="2499"/>
      <w:bookmarkStart w:id="2500" w:name="_Toc189125121"/>
      <w:bookmarkEnd w:id="2500"/>
      <w:bookmarkStart w:id="2501" w:name="_Toc189125123"/>
      <w:bookmarkEnd w:id="2501"/>
      <w:bookmarkStart w:id="2502" w:name="_Toc189125117"/>
      <w:bookmarkEnd w:id="2502"/>
      <w:bookmarkStart w:id="2503" w:name="_Toc189125116"/>
      <w:bookmarkEnd w:id="2503"/>
      <w:bookmarkStart w:id="2504" w:name="_Toc189125118"/>
      <w:bookmarkEnd w:id="2504"/>
      <w:r>
        <w:t xml:space="preserve">Hence, strictly speaking, absolute location knowledge of the TRP location is not necessary (contrary to Alternative 4). Moreover, leaving Alternative 4 as the only option excludes operators for which such information is sensitive.   At a minimum, RAN1 should leave the choice to the operator to use a consistency mechanism like associated ID, or the explicit coordinate of the TRP.  The UE may request either of the two types of TRP location information, but it should be left to the operator to decide which one to eventually provide. </w:t>
      </w:r>
    </w:p>
    <w:p w14:paraId="0EEB15FD">
      <w:pPr>
        <w:pStyle w:val="97"/>
      </w:pPr>
      <w:bookmarkStart w:id="2505" w:name="_Toc189845096"/>
      <w:r>
        <w:t>For Case 1, operators should have the possibility to support Case 1 and without disclosing TRP location.</w:t>
      </w:r>
      <w:bookmarkEnd w:id="2505"/>
      <w:r>
        <w:t xml:space="preserve"> </w:t>
      </w:r>
    </w:p>
    <w:p w14:paraId="3A7C1501"/>
    <w:p w14:paraId="7A9294E8">
      <w:r>
        <w:t xml:space="preserve">Based on the observations above, Alternative 2 seems to be a reasonable compromise. Alternatively, to preserve operators sensitive information and enable case 1 the other alternative is to not signal the TRP location at all, i.e. Alternative 3. </w:t>
      </w:r>
    </w:p>
    <w:p w14:paraId="4571E208">
      <w:r>
        <w:t xml:space="preserve"> </w:t>
      </w:r>
    </w:p>
    <w:p w14:paraId="31B879F2">
      <w:pPr>
        <w:pStyle w:val="73"/>
      </w:pPr>
      <w:bookmarkStart w:id="2506" w:name="_Toc189845183"/>
      <w:r>
        <w:t>For case 1, regarding info#7 in the assistance data from DL-TDOA, support Alternative 2</w:t>
      </w:r>
      <w:bookmarkEnd w:id="2506"/>
    </w:p>
    <w:p w14:paraId="4C08A207">
      <w:pPr>
        <w:pStyle w:val="73"/>
        <w:numPr>
          <w:ilvl w:val="1"/>
          <w:numId w:val="11"/>
        </w:numPr>
      </w:pPr>
      <w:bookmarkStart w:id="2507" w:name="_Toc189845184"/>
      <w:r>
        <w:t>Info #7 can be provided either implicitly or explicitly by LMF. Note: no UE capability is introduced on whether info #7 is provided implicitly or explicitly, and the UE can request info #7 to be provided explicitly or implicitly.</w:t>
      </w:r>
      <w:bookmarkEnd w:id="2507"/>
      <w:r>
        <w:t xml:space="preserve"> </w:t>
      </w:r>
    </w:p>
    <w:p w14:paraId="58592F9A">
      <w:pPr>
        <w:pStyle w:val="73"/>
        <w:numPr>
          <w:ilvl w:val="2"/>
          <w:numId w:val="11"/>
        </w:numPr>
      </w:pPr>
      <w:bookmarkStart w:id="2508" w:name="_Toc189845185"/>
      <w:r>
        <w:t>Note: if explicit signaling is not supported by the network, legacy behavior can be used to exclude the TRPs without provided location from provided AD.</w:t>
      </w:r>
      <w:bookmarkEnd w:id="2508"/>
      <w:r>
        <w:t xml:space="preserve"> </w:t>
      </w:r>
    </w:p>
    <w:p w14:paraId="39D998E3">
      <w:pPr>
        <w:pStyle w:val="73"/>
        <w:numPr>
          <w:ilvl w:val="1"/>
          <w:numId w:val="11"/>
        </w:numPr>
      </w:pPr>
      <w:bookmarkStart w:id="2509" w:name="_Toc189845186"/>
      <w:r>
        <w:t xml:space="preserve">If provided implicitly, </w:t>
      </w:r>
      <w:r>
        <w:rPr>
          <w:rFonts w:eastAsia="Yu Mincho"/>
        </w:rPr>
        <w:t>a</w:t>
      </w:r>
      <w:r>
        <w:t>ssociated ID is signaled by LMF to indicate whether info #7 is consistent between training and inference.</w:t>
      </w:r>
      <w:bookmarkEnd w:id="2509"/>
    </w:p>
    <w:p w14:paraId="375D782F">
      <w:pPr>
        <w:pStyle w:val="2"/>
        <w:rPr>
          <w:lang w:val="en-US"/>
        </w:rPr>
      </w:pPr>
      <w:bookmarkStart w:id="2510" w:name="_Toc166157546"/>
      <w:bookmarkEnd w:id="2510"/>
      <w:bookmarkStart w:id="2511" w:name="_Toc189845052"/>
      <w:bookmarkStart w:id="2512" w:name="_Toc165991023"/>
      <w:r>
        <w:rPr>
          <w:lang w:val="en-US"/>
        </w:rPr>
        <w:t>Conclusion</w:t>
      </w:r>
      <w:bookmarkEnd w:id="2511"/>
      <w:bookmarkEnd w:id="2512"/>
    </w:p>
    <w:p w14:paraId="17D87799">
      <w:pPr>
        <w:pStyle w:val="15"/>
        <w:rPr>
          <w:b/>
          <w:bCs/>
        </w:rPr>
      </w:pPr>
      <w:r>
        <w:t>In the previous sections we made the following observations:</w:t>
      </w:r>
      <w:r>
        <w:rPr>
          <w:b/>
          <w:bCs/>
        </w:rPr>
        <w:t xml:space="preserve"> </w:t>
      </w:r>
    </w:p>
    <w:p w14:paraId="1CC5E9EE">
      <w:pPr>
        <w:pStyle w:val="44"/>
        <w:tabs>
          <w:tab w:val="right" w:leader="dot" w:pos="9962"/>
        </w:tabs>
        <w:rPr>
          <w:rFonts w:eastAsiaTheme="minorEastAsia"/>
          <w:b w:val="0"/>
        </w:rPr>
      </w:pPr>
      <w:r>
        <w:rPr>
          <w:bCs/>
        </w:rPr>
        <w:fldChar w:fldCharType="begin"/>
      </w:r>
      <w:r>
        <w:rPr>
          <w:bCs/>
        </w:rPr>
        <w:instrText xml:space="preserve"> TOC \f O \n \h \z \t "Observation" \c </w:instrText>
      </w:r>
      <w:r>
        <w:rPr>
          <w:bCs/>
        </w:rPr>
        <w:fldChar w:fldCharType="separate"/>
      </w:r>
      <w:r>
        <w:fldChar w:fldCharType="begin"/>
      </w:r>
      <w:r>
        <w:instrText xml:space="preserve"> HYPERLINK \l "_Toc189845059" </w:instrText>
      </w:r>
      <w:r>
        <w:fldChar w:fldCharType="separate"/>
      </w:r>
      <w:r>
        <w:rPr>
          <w:rStyle w:val="58"/>
        </w:rPr>
        <w:t>Observation 1</w:t>
      </w:r>
      <w:r>
        <w:rPr>
          <w:rFonts w:eastAsiaTheme="minorEastAsia"/>
          <w:b w:val="0"/>
        </w:rPr>
        <w:tab/>
      </w:r>
      <w:r>
        <w:rPr>
          <w:rStyle w:val="58"/>
        </w:rPr>
        <w:t>For Case 1/2a (i.e., UE-side model), channel measurement generation process is collocated in the same node with the AI/ML models. The exact details of the model inputs are implementation issues at least for model inference.</w:t>
      </w:r>
      <w:r>
        <w:rPr>
          <w:rStyle w:val="58"/>
        </w:rPr>
        <w:fldChar w:fldCharType="end"/>
      </w:r>
    </w:p>
    <w:p w14:paraId="6FAC0748">
      <w:pPr>
        <w:pStyle w:val="44"/>
        <w:tabs>
          <w:tab w:val="right" w:leader="dot" w:pos="9962"/>
        </w:tabs>
        <w:rPr>
          <w:rFonts w:eastAsiaTheme="minorEastAsia"/>
          <w:b w:val="0"/>
        </w:rPr>
      </w:pPr>
      <w:r>
        <w:fldChar w:fldCharType="begin"/>
      </w:r>
      <w:r>
        <w:instrText xml:space="preserve"> HYPERLINK \l "_Toc189845060" </w:instrText>
      </w:r>
      <w:r>
        <w:fldChar w:fldCharType="separate"/>
      </w:r>
      <w:r>
        <w:rPr>
          <w:rStyle w:val="58"/>
        </w:rPr>
        <w:t>Observation 2</w:t>
      </w:r>
      <w:r>
        <w:rPr>
          <w:rFonts w:eastAsiaTheme="minorEastAsia"/>
          <w:b w:val="0"/>
        </w:rPr>
        <w:tab/>
      </w:r>
      <w:r>
        <w:rPr>
          <w:rStyle w:val="58"/>
        </w:rPr>
        <w:t>For Case 3b (1st priority) and Case 2b (2nd priority), due to the LMF sided model, there is a need to clarify the target model input formats to be supported for the AI/ML positioning models.</w:t>
      </w:r>
      <w:r>
        <w:rPr>
          <w:rStyle w:val="58"/>
        </w:rPr>
        <w:fldChar w:fldCharType="end"/>
      </w:r>
    </w:p>
    <w:p w14:paraId="35A03B5C">
      <w:pPr>
        <w:pStyle w:val="44"/>
        <w:tabs>
          <w:tab w:val="right" w:leader="dot" w:pos="9962"/>
        </w:tabs>
        <w:rPr>
          <w:rFonts w:eastAsiaTheme="minorEastAsia"/>
          <w:b w:val="0"/>
        </w:rPr>
      </w:pPr>
      <w:r>
        <w:fldChar w:fldCharType="begin"/>
      </w:r>
      <w:r>
        <w:instrText xml:space="preserve"> HYPERLINK \l "_Toc189845061" </w:instrText>
      </w:r>
      <w:r>
        <w:fldChar w:fldCharType="separate"/>
      </w:r>
      <w:r>
        <w:rPr>
          <w:rStyle w:val="58"/>
          <w:lang w:eastAsia="en-GB"/>
        </w:rPr>
        <w:t>Observation 3</w:t>
      </w:r>
      <w:r>
        <w:rPr>
          <w:rFonts w:eastAsiaTheme="minorEastAsia"/>
          <w:b w:val="0"/>
        </w:rPr>
        <w:tab/>
      </w:r>
      <w:r>
        <w:rPr>
          <w:rStyle w:val="58"/>
          <w:lang w:eastAsia="en-GB"/>
        </w:rPr>
        <w:t xml:space="preserve">From the candidate values agreed in RAN1#119 for </w:t>
      </w:r>
      <w:r>
        <w:rPr>
          <w:rStyle w:val="58"/>
        </w:rPr>
        <w:t>N</w:t>
      </w:r>
      <w:r>
        <w:rPr>
          <w:rStyle w:val="58"/>
          <w:vertAlign w:val="subscript"/>
        </w:rPr>
        <w:t>t</w:t>
      </w:r>
      <w:r>
        <w:rPr>
          <w:rStyle w:val="58"/>
          <w:lang w:eastAsia="en-GB"/>
        </w:rPr>
        <w:t xml:space="preserve"> (N</w:t>
      </w:r>
      <w:r>
        <w:rPr>
          <w:rStyle w:val="58"/>
          <w:vertAlign w:val="subscript"/>
          <w:lang w:eastAsia="en-GB"/>
        </w:rPr>
        <w:t>t</w:t>
      </w:r>
      <w:r>
        <w:rPr>
          <w:rStyle w:val="58"/>
          <w:lang w:eastAsia="en-GB"/>
        </w:rPr>
        <w:t xml:space="preserve"> = {32, 64, 128} ), N</w:t>
      </w:r>
      <w:r>
        <w:rPr>
          <w:rStyle w:val="58"/>
          <w:vertAlign w:val="subscript"/>
          <w:lang w:eastAsia="en-GB"/>
        </w:rPr>
        <w:t>t</w:t>
      </w:r>
      <w:r>
        <w:rPr>
          <w:rStyle w:val="58"/>
          <w:lang w:eastAsia="en-GB"/>
        </w:rPr>
        <w:t xml:space="preserve"> = 128 does not provide a significant gain.</w:t>
      </w:r>
      <w:r>
        <w:rPr>
          <w:rStyle w:val="58"/>
          <w:lang w:eastAsia="en-GB"/>
        </w:rPr>
        <w:fldChar w:fldCharType="end"/>
      </w:r>
    </w:p>
    <w:p w14:paraId="5F1208F8">
      <w:pPr>
        <w:pStyle w:val="44"/>
        <w:tabs>
          <w:tab w:val="right" w:leader="dot" w:pos="9962"/>
        </w:tabs>
        <w:rPr>
          <w:rFonts w:eastAsiaTheme="minorEastAsia"/>
          <w:b w:val="0"/>
        </w:rPr>
      </w:pPr>
      <w:r>
        <w:fldChar w:fldCharType="begin"/>
      </w:r>
      <w:r>
        <w:instrText xml:space="preserve"> HYPERLINK \l "_Toc189845062" </w:instrText>
      </w:r>
      <w:r>
        <w:fldChar w:fldCharType="separate"/>
      </w:r>
      <w:r>
        <w:rPr>
          <w:rStyle w:val="58"/>
          <w:lang w:val="en-GB"/>
        </w:rPr>
        <w:t>Observation 4</w:t>
      </w:r>
      <w:r>
        <w:rPr>
          <w:rFonts w:eastAsiaTheme="minorEastAsia"/>
          <w:b w:val="0"/>
        </w:rPr>
        <w:tab/>
      </w:r>
      <w:r>
        <w:rPr>
          <w:rStyle w:val="58"/>
          <w:lang w:val="en-GB"/>
        </w:rPr>
        <w:t>For Case 3b measurement reporting, gNB measurement report capability may vary over time.</w:t>
      </w:r>
      <w:r>
        <w:rPr>
          <w:rStyle w:val="58"/>
          <w:lang w:val="en-GB"/>
        </w:rPr>
        <w:fldChar w:fldCharType="end"/>
      </w:r>
    </w:p>
    <w:p w14:paraId="51EEF60C">
      <w:pPr>
        <w:pStyle w:val="44"/>
        <w:tabs>
          <w:tab w:val="right" w:leader="dot" w:pos="9962"/>
        </w:tabs>
        <w:rPr>
          <w:rFonts w:eastAsiaTheme="minorEastAsia"/>
          <w:b w:val="0"/>
        </w:rPr>
      </w:pPr>
      <w:r>
        <w:fldChar w:fldCharType="begin"/>
      </w:r>
      <w:r>
        <w:instrText xml:space="preserve"> HYPERLINK \l "_Toc189845063" </w:instrText>
      </w:r>
      <w:r>
        <w:fldChar w:fldCharType="separate"/>
      </w:r>
      <w:r>
        <w:rPr>
          <w:rStyle w:val="58"/>
          <w:lang w:val="en-GB"/>
        </w:rPr>
        <w:t>Observation 5</w:t>
      </w:r>
      <w:r>
        <w:rPr>
          <w:rFonts w:eastAsiaTheme="minorEastAsia"/>
          <w:b w:val="0"/>
        </w:rPr>
        <w:tab/>
      </w:r>
      <w:r>
        <w:rPr>
          <w:rStyle w:val="58"/>
          <w:lang w:val="en-GB"/>
        </w:rPr>
        <w:t>For Case 3b, automatic fallback from one measurement method to the other cannot be guaranteed.</w:t>
      </w:r>
      <w:r>
        <w:rPr>
          <w:rStyle w:val="58"/>
          <w:lang w:val="en-GB"/>
        </w:rPr>
        <w:fldChar w:fldCharType="end"/>
      </w:r>
    </w:p>
    <w:p w14:paraId="57621009">
      <w:pPr>
        <w:pStyle w:val="44"/>
        <w:tabs>
          <w:tab w:val="right" w:leader="dot" w:pos="9962"/>
        </w:tabs>
        <w:rPr>
          <w:rFonts w:eastAsiaTheme="minorEastAsia"/>
          <w:b w:val="0"/>
        </w:rPr>
      </w:pPr>
      <w:r>
        <w:fldChar w:fldCharType="begin"/>
      </w:r>
      <w:r>
        <w:instrText xml:space="preserve"> HYPERLINK \l "_Toc189845064" </w:instrText>
      </w:r>
      <w:r>
        <w:fldChar w:fldCharType="separate"/>
      </w:r>
      <w:r>
        <w:rPr>
          <w:rStyle w:val="58"/>
        </w:rPr>
        <w:t>Observation 6</w:t>
      </w:r>
      <w:r>
        <w:rPr>
          <w:rFonts w:eastAsiaTheme="minorEastAsia"/>
          <w:b w:val="0"/>
        </w:rPr>
        <w:tab/>
      </w:r>
      <w:r>
        <w:rPr>
          <w:rStyle w:val="58"/>
        </w:rPr>
        <w:t>When compared to the total-power PDP input type, the 2-port PDP input type (1) doubles the signal sizes; (2) requires higher computational complexity; and (3) achieves marginal performance improvements.</w:t>
      </w:r>
      <w:r>
        <w:rPr>
          <w:rStyle w:val="58"/>
        </w:rPr>
        <w:fldChar w:fldCharType="end"/>
      </w:r>
    </w:p>
    <w:p w14:paraId="680E15C3">
      <w:pPr>
        <w:pStyle w:val="44"/>
        <w:tabs>
          <w:tab w:val="right" w:leader="dot" w:pos="9962"/>
        </w:tabs>
        <w:rPr>
          <w:rFonts w:eastAsiaTheme="minorEastAsia"/>
          <w:b w:val="0"/>
        </w:rPr>
      </w:pPr>
      <w:r>
        <w:fldChar w:fldCharType="begin"/>
      </w:r>
      <w:r>
        <w:instrText xml:space="preserve"> HYPERLINK \l "_Toc189845065" </w:instrText>
      </w:r>
      <w:r>
        <w:fldChar w:fldCharType="separate"/>
      </w:r>
      <w:r>
        <w:rPr>
          <w:rStyle w:val="58"/>
        </w:rPr>
        <w:t>Observation 7</w:t>
      </w:r>
      <w:r>
        <w:rPr>
          <w:rFonts w:eastAsiaTheme="minorEastAsia"/>
          <w:b w:val="0"/>
        </w:rPr>
        <w:tab/>
      </w:r>
      <w:r>
        <w:rPr>
          <w:rStyle w:val="58"/>
        </w:rPr>
        <w:t>When compared to the total-power PDP input type, the 1-port PDP input type (1) discards signal power and radio channel information that is readily available, and (2) achieves lower positioning accuracy.</w:t>
      </w:r>
      <w:r>
        <w:rPr>
          <w:rStyle w:val="58"/>
        </w:rPr>
        <w:fldChar w:fldCharType="end"/>
      </w:r>
    </w:p>
    <w:p w14:paraId="7F65DAA3">
      <w:pPr>
        <w:pStyle w:val="44"/>
        <w:tabs>
          <w:tab w:val="right" w:leader="dot" w:pos="9962"/>
        </w:tabs>
        <w:rPr>
          <w:rFonts w:eastAsiaTheme="minorEastAsia"/>
          <w:b w:val="0"/>
        </w:rPr>
      </w:pPr>
      <w:r>
        <w:fldChar w:fldCharType="begin"/>
      </w:r>
      <w:r>
        <w:instrText xml:space="preserve"> HYPERLINK \l "_Toc189845066" </w:instrText>
      </w:r>
      <w:r>
        <w:fldChar w:fldCharType="separate"/>
      </w:r>
      <w:r>
        <w:rPr>
          <w:rStyle w:val="58"/>
        </w:rPr>
        <w:t>Observation 8</w:t>
      </w:r>
      <w:r>
        <w:rPr>
          <w:rFonts w:eastAsiaTheme="minorEastAsia"/>
          <w:b w:val="0"/>
        </w:rPr>
        <w:tab/>
      </w:r>
      <w:r>
        <w:rPr>
          <w:rStyle w:val="58"/>
        </w:rPr>
        <w:t>Rel-18 CPP measurements (DL RSCPD, DL RSCP, UL RSCP) assume LoS environment, which is contradictory with the target use case of Rel-19 AI/ML based positioning.</w:t>
      </w:r>
      <w:r>
        <w:rPr>
          <w:rStyle w:val="58"/>
        </w:rPr>
        <w:fldChar w:fldCharType="end"/>
      </w:r>
    </w:p>
    <w:p w14:paraId="0181A8A3">
      <w:pPr>
        <w:pStyle w:val="44"/>
        <w:tabs>
          <w:tab w:val="right" w:leader="dot" w:pos="9962"/>
        </w:tabs>
        <w:rPr>
          <w:rFonts w:eastAsiaTheme="minorEastAsia"/>
          <w:b w:val="0"/>
        </w:rPr>
      </w:pPr>
      <w:r>
        <w:fldChar w:fldCharType="begin"/>
      </w:r>
      <w:r>
        <w:instrText xml:space="preserve"> HYPERLINK \l "_Toc189845067" </w:instrText>
      </w:r>
      <w:r>
        <w:fldChar w:fldCharType="separate"/>
      </w:r>
      <w:r>
        <w:rPr>
          <w:rStyle w:val="58"/>
        </w:rPr>
        <w:t>Observation 9</w:t>
      </w:r>
      <w:r>
        <w:rPr>
          <w:rFonts w:eastAsiaTheme="minorEastAsia"/>
          <w:b w:val="0"/>
        </w:rPr>
        <w:tab/>
      </w:r>
      <w:r>
        <w:rPr>
          <w:rStyle w:val="58"/>
        </w:rPr>
        <w:t>Single phase value for first path/sample (e.g., DL RSCPD, DL RSCP, UL RSCP) brings no observable performance benefits to PDP, but incurs substantially high deployment cost and signalling overhead.</w:t>
      </w:r>
      <w:r>
        <w:rPr>
          <w:rStyle w:val="58"/>
        </w:rPr>
        <w:fldChar w:fldCharType="end"/>
      </w:r>
    </w:p>
    <w:p w14:paraId="662F2DC9">
      <w:pPr>
        <w:pStyle w:val="44"/>
        <w:tabs>
          <w:tab w:val="right" w:leader="dot" w:pos="9962"/>
        </w:tabs>
        <w:rPr>
          <w:rFonts w:eastAsiaTheme="minorEastAsia"/>
          <w:b w:val="0"/>
        </w:rPr>
      </w:pPr>
      <w:r>
        <w:fldChar w:fldCharType="begin"/>
      </w:r>
      <w:r>
        <w:instrText xml:space="preserve"> HYPERLINK \l "_Toc189845068" </w:instrText>
      </w:r>
      <w:r>
        <w:fldChar w:fldCharType="separate"/>
      </w:r>
      <w:r>
        <w:rPr>
          <w:rStyle w:val="58"/>
        </w:rPr>
        <w:t>Observation 10</w:t>
      </w:r>
      <w:r>
        <w:rPr>
          <w:rFonts w:eastAsiaTheme="minorEastAsia"/>
          <w:b w:val="0"/>
        </w:rPr>
        <w:tab/>
      </w:r>
      <w:r>
        <w:rPr>
          <w:rStyle w:val="58"/>
        </w:rPr>
        <w:t>The initial phase values of measured CIR samples may be random and contains no useful spatial dependent information for an AI/ML model to learn the association between measured CIR samples and the target positions. Without addressing such spurious information during training and inference, fingerprinting ML models using the CIR inputs can produce inaccurate position estimates.</w:t>
      </w:r>
      <w:r>
        <w:rPr>
          <w:rStyle w:val="58"/>
        </w:rPr>
        <w:fldChar w:fldCharType="end"/>
      </w:r>
    </w:p>
    <w:p w14:paraId="3AFC572E">
      <w:pPr>
        <w:pStyle w:val="44"/>
        <w:tabs>
          <w:tab w:val="right" w:leader="dot" w:pos="9962"/>
        </w:tabs>
        <w:rPr>
          <w:rFonts w:eastAsiaTheme="minorEastAsia"/>
          <w:b w:val="0"/>
        </w:rPr>
      </w:pPr>
      <w:r>
        <w:fldChar w:fldCharType="begin"/>
      </w:r>
      <w:r>
        <w:instrText xml:space="preserve"> HYPERLINK \l "_Toc189845069" </w:instrText>
      </w:r>
      <w:r>
        <w:fldChar w:fldCharType="separate"/>
      </w:r>
      <w:r>
        <w:rPr>
          <w:rStyle w:val="58"/>
        </w:rPr>
        <w:t>Observation 11</w:t>
      </w:r>
      <w:r>
        <w:rPr>
          <w:rFonts w:eastAsiaTheme="minorEastAsia"/>
          <w:b w:val="0"/>
        </w:rPr>
        <w:tab/>
      </w:r>
      <w:r>
        <w:rPr>
          <w:rStyle w:val="58"/>
        </w:rPr>
        <w:t>CIR samples containing relative phases can be used as inputs to AI/ML models to circumvent the impact of random initial phase values of measured CIR samples.</w:t>
      </w:r>
      <w:r>
        <w:rPr>
          <w:rStyle w:val="58"/>
        </w:rPr>
        <w:fldChar w:fldCharType="end"/>
      </w:r>
    </w:p>
    <w:p w14:paraId="7DA958DF">
      <w:pPr>
        <w:pStyle w:val="44"/>
        <w:tabs>
          <w:tab w:val="right" w:leader="dot" w:pos="9962"/>
        </w:tabs>
        <w:rPr>
          <w:rFonts w:eastAsiaTheme="minorEastAsia"/>
          <w:b w:val="0"/>
        </w:rPr>
      </w:pPr>
      <w:r>
        <w:fldChar w:fldCharType="begin"/>
      </w:r>
      <w:r>
        <w:instrText xml:space="preserve"> HYPERLINK \l "_Toc189845070" </w:instrText>
      </w:r>
      <w:r>
        <w:fldChar w:fldCharType="separate"/>
      </w:r>
      <w:r>
        <w:rPr>
          <w:rStyle w:val="58"/>
        </w:rPr>
        <w:t>Observation 12</w:t>
      </w:r>
      <w:r>
        <w:rPr>
          <w:rFonts w:eastAsiaTheme="minorEastAsia"/>
          <w:b w:val="0"/>
        </w:rPr>
        <w:tab/>
      </w:r>
      <w:r>
        <w:rPr>
          <w:rStyle w:val="58"/>
        </w:rPr>
        <w:t>For the RSCPD measurement PRU assisted phase error compensation requires PRUs to be used during training and inference, further increasing the deployment cost and signaling overhead.</w:t>
      </w:r>
      <w:r>
        <w:rPr>
          <w:rStyle w:val="58"/>
        </w:rPr>
        <w:fldChar w:fldCharType="end"/>
      </w:r>
    </w:p>
    <w:p w14:paraId="64C3690E">
      <w:pPr>
        <w:pStyle w:val="44"/>
        <w:tabs>
          <w:tab w:val="right" w:leader="dot" w:pos="9962"/>
        </w:tabs>
        <w:rPr>
          <w:rFonts w:eastAsiaTheme="minorEastAsia"/>
          <w:b w:val="0"/>
        </w:rPr>
      </w:pPr>
      <w:r>
        <w:fldChar w:fldCharType="begin"/>
      </w:r>
      <w:r>
        <w:instrText xml:space="preserve"> HYPERLINK \l "_Toc189845071" </w:instrText>
      </w:r>
      <w:r>
        <w:fldChar w:fldCharType="separate"/>
      </w:r>
      <w:r>
        <w:rPr>
          <w:rStyle w:val="58"/>
        </w:rPr>
        <w:t>Observation 13</w:t>
      </w:r>
      <w:r>
        <w:rPr>
          <w:rFonts w:eastAsiaTheme="minorEastAsia"/>
          <w:b w:val="0"/>
        </w:rPr>
        <w:tab/>
      </w:r>
      <w:r>
        <w:rPr>
          <w:rStyle w:val="58"/>
        </w:rPr>
        <w:t>For inter-path phase measurements, the model input at training and inference must know the UE TX or RX antenna phase contribution, either by reporting the antenna phase contribution to the model, removing it, or assuming the same antenna pattern is used during inference and training.</w:t>
      </w:r>
      <w:r>
        <w:rPr>
          <w:rStyle w:val="58"/>
        </w:rPr>
        <w:fldChar w:fldCharType="end"/>
      </w:r>
    </w:p>
    <w:p w14:paraId="37A23CA4">
      <w:pPr>
        <w:pStyle w:val="44"/>
        <w:tabs>
          <w:tab w:val="right" w:leader="dot" w:pos="9962"/>
        </w:tabs>
        <w:rPr>
          <w:rFonts w:eastAsiaTheme="minorEastAsia"/>
          <w:b w:val="0"/>
        </w:rPr>
      </w:pPr>
      <w:r>
        <w:fldChar w:fldCharType="begin"/>
      </w:r>
      <w:r>
        <w:instrText xml:space="preserve"> HYPERLINK \l "_Toc189845072" </w:instrText>
      </w:r>
      <w:r>
        <w:fldChar w:fldCharType="separate"/>
      </w:r>
      <w:r>
        <w:rPr>
          <w:rStyle w:val="58"/>
        </w:rPr>
        <w:t>Observation 14</w:t>
      </w:r>
      <w:r>
        <w:rPr>
          <w:rFonts w:eastAsiaTheme="minorEastAsia"/>
          <w:b w:val="0"/>
        </w:rPr>
        <w:tab/>
      </w:r>
      <w:r>
        <w:rPr>
          <w:rStyle w:val="58"/>
        </w:rPr>
        <w:t>It is unclear how a mobile UE would know the direction of departure / arrival and associated phase offset for each path toward a given TRP.</w:t>
      </w:r>
      <w:r>
        <w:rPr>
          <w:rStyle w:val="58"/>
        </w:rPr>
        <w:fldChar w:fldCharType="end"/>
      </w:r>
    </w:p>
    <w:p w14:paraId="65FD3166">
      <w:pPr>
        <w:pStyle w:val="44"/>
        <w:tabs>
          <w:tab w:val="right" w:leader="dot" w:pos="9962"/>
        </w:tabs>
        <w:rPr>
          <w:rFonts w:eastAsiaTheme="minorEastAsia"/>
          <w:b w:val="0"/>
        </w:rPr>
      </w:pPr>
      <w:r>
        <w:fldChar w:fldCharType="begin"/>
      </w:r>
      <w:r>
        <w:instrText xml:space="preserve"> HYPERLINK \l "_Toc189845073" </w:instrText>
      </w:r>
      <w:r>
        <w:fldChar w:fldCharType="separate"/>
      </w:r>
      <w:r>
        <w:rPr>
          <w:rStyle w:val="58"/>
        </w:rPr>
        <w:t>Observation 15</w:t>
      </w:r>
      <w:r>
        <w:rPr>
          <w:rFonts w:eastAsiaTheme="minorEastAsia"/>
          <w:b w:val="0"/>
        </w:rPr>
        <w:tab/>
      </w:r>
      <w:r>
        <w:rPr>
          <w:rStyle w:val="58"/>
        </w:rPr>
        <w:t>For small or moderate signaling sizes, PDP and DP samples can achieve better positioning accuracy than CIR samples at the same or smaller signaling size. Multi-port CIR samples can achieve higher positioning accuracy only with very large signaling requirements.</w:t>
      </w:r>
      <w:r>
        <w:rPr>
          <w:rStyle w:val="58"/>
        </w:rPr>
        <w:fldChar w:fldCharType="end"/>
      </w:r>
    </w:p>
    <w:p w14:paraId="3D5CFD62">
      <w:pPr>
        <w:pStyle w:val="44"/>
        <w:tabs>
          <w:tab w:val="right" w:leader="dot" w:pos="9962"/>
        </w:tabs>
        <w:rPr>
          <w:rFonts w:eastAsiaTheme="minorEastAsia"/>
          <w:b w:val="0"/>
        </w:rPr>
      </w:pPr>
      <w:r>
        <w:fldChar w:fldCharType="begin"/>
      </w:r>
      <w:r>
        <w:instrText xml:space="preserve"> HYPERLINK \l "_Toc189845074" </w:instrText>
      </w:r>
      <w:r>
        <w:fldChar w:fldCharType="separate"/>
      </w:r>
      <w:r>
        <w:rPr>
          <w:rStyle w:val="58"/>
        </w:rPr>
        <w:t>Observation 16</w:t>
      </w:r>
      <w:r>
        <w:rPr>
          <w:rFonts w:eastAsiaTheme="minorEastAsia"/>
          <w:b w:val="0"/>
        </w:rPr>
        <w:tab/>
      </w:r>
      <w:r>
        <w:rPr>
          <w:rStyle w:val="58"/>
        </w:rPr>
        <w:t>For small or moderate signaling sizes, PDP and DP samples can achieve better positioning accuracy than CIR samples at the same or smaller signaling size as well as with substantially lower AI/ML model complexity.</w:t>
      </w:r>
      <w:r>
        <w:rPr>
          <w:rStyle w:val="58"/>
        </w:rPr>
        <w:fldChar w:fldCharType="end"/>
      </w:r>
    </w:p>
    <w:p w14:paraId="33715E96">
      <w:pPr>
        <w:pStyle w:val="44"/>
        <w:tabs>
          <w:tab w:val="right" w:leader="dot" w:pos="9962"/>
        </w:tabs>
        <w:rPr>
          <w:rFonts w:eastAsiaTheme="minorEastAsia"/>
          <w:b w:val="0"/>
        </w:rPr>
      </w:pPr>
      <w:r>
        <w:fldChar w:fldCharType="begin"/>
      </w:r>
      <w:r>
        <w:instrText xml:space="preserve"> HYPERLINK \l "_Toc189845075" </w:instrText>
      </w:r>
      <w:r>
        <w:fldChar w:fldCharType="separate"/>
      </w:r>
      <w:r>
        <w:rPr>
          <w:rStyle w:val="58"/>
        </w:rPr>
        <w:t>Observation 17</w:t>
      </w:r>
      <w:r>
        <w:rPr>
          <w:rFonts w:eastAsiaTheme="minorEastAsia"/>
          <w:b w:val="0"/>
        </w:rPr>
        <w:tab/>
      </w:r>
      <w:r>
        <w:rPr>
          <w:rStyle w:val="58"/>
        </w:rPr>
        <w:t>For most given 90%tile 2D UE positioning error requirements, the DP samples requires the smallest signaling sizes.</w:t>
      </w:r>
      <w:r>
        <w:rPr>
          <w:rStyle w:val="58"/>
        </w:rPr>
        <w:fldChar w:fldCharType="end"/>
      </w:r>
    </w:p>
    <w:p w14:paraId="1F466CFF">
      <w:pPr>
        <w:pStyle w:val="44"/>
        <w:tabs>
          <w:tab w:val="right" w:leader="dot" w:pos="9962"/>
        </w:tabs>
        <w:rPr>
          <w:rFonts w:eastAsiaTheme="minorEastAsia"/>
          <w:b w:val="0"/>
        </w:rPr>
      </w:pPr>
      <w:r>
        <w:fldChar w:fldCharType="begin"/>
      </w:r>
      <w:r>
        <w:instrText xml:space="preserve"> HYPERLINK \l "_Toc189845076" </w:instrText>
      </w:r>
      <w:r>
        <w:fldChar w:fldCharType="separate"/>
      </w:r>
      <w:r>
        <w:rPr>
          <w:rStyle w:val="58"/>
        </w:rPr>
        <w:t>Observation 18</w:t>
      </w:r>
      <w:r>
        <w:rPr>
          <w:rFonts w:eastAsiaTheme="minorEastAsia"/>
          <w:b w:val="0"/>
        </w:rPr>
        <w:tab/>
      </w:r>
      <w:r>
        <w:rPr>
          <w:rStyle w:val="58"/>
        </w:rPr>
        <w:t>Multi-port complex-valued CIR samples for both Case 3b (1st priority) and Case 2b (2nd priority) require very large signaling sizes, which can cause significantly negative impacts on the radio and core networks.</w:t>
      </w:r>
      <w:r>
        <w:rPr>
          <w:rStyle w:val="58"/>
        </w:rPr>
        <w:fldChar w:fldCharType="end"/>
      </w:r>
    </w:p>
    <w:p w14:paraId="6BD03792">
      <w:pPr>
        <w:pStyle w:val="44"/>
        <w:tabs>
          <w:tab w:val="right" w:leader="dot" w:pos="9962"/>
        </w:tabs>
        <w:rPr>
          <w:rFonts w:eastAsiaTheme="minorEastAsia"/>
          <w:b w:val="0"/>
        </w:rPr>
      </w:pPr>
      <w:r>
        <w:fldChar w:fldCharType="begin"/>
      </w:r>
      <w:r>
        <w:instrText xml:space="preserve"> HYPERLINK \l "_Toc189845077" </w:instrText>
      </w:r>
      <w:r>
        <w:fldChar w:fldCharType="separate"/>
      </w:r>
      <w:r>
        <w:rPr>
          <w:rStyle w:val="58"/>
        </w:rPr>
        <w:t>Observation 19</w:t>
      </w:r>
      <w:r>
        <w:rPr>
          <w:rFonts w:eastAsiaTheme="minorEastAsia"/>
          <w:b w:val="0"/>
        </w:rPr>
        <w:tab/>
      </w:r>
      <w:r>
        <w:rPr>
          <w:rStyle w:val="58"/>
        </w:rPr>
        <w:t>With small to moderate number of samples available to an ML model, the total-power PDP input type is a very helpful induction bias to impose on the ML model based on human domain knowledge that the sample powers contain more important information about the UE positions. It’s only with very large number of samples that the model can start to tease out how to use the additional information in the sample phases on its own.</w:t>
      </w:r>
      <w:r>
        <w:rPr>
          <w:rStyle w:val="58"/>
        </w:rPr>
        <w:fldChar w:fldCharType="end"/>
      </w:r>
    </w:p>
    <w:p w14:paraId="2DF0BA13">
      <w:pPr>
        <w:pStyle w:val="44"/>
        <w:tabs>
          <w:tab w:val="right" w:leader="dot" w:pos="9962"/>
        </w:tabs>
        <w:rPr>
          <w:rFonts w:eastAsiaTheme="minorEastAsia"/>
          <w:b w:val="0"/>
        </w:rPr>
      </w:pPr>
      <w:r>
        <w:fldChar w:fldCharType="begin"/>
      </w:r>
      <w:r>
        <w:instrText xml:space="preserve"> HYPERLINK \l "_Toc189845078" </w:instrText>
      </w:r>
      <w:r>
        <w:fldChar w:fldCharType="separate"/>
      </w:r>
      <w:r>
        <w:rPr>
          <w:rStyle w:val="58"/>
        </w:rPr>
        <w:t>Observation 20</w:t>
      </w:r>
      <w:r>
        <w:rPr>
          <w:rFonts w:eastAsiaTheme="minorEastAsia"/>
          <w:b w:val="0"/>
        </w:rPr>
        <w:tab/>
      </w:r>
      <w:r>
        <w:rPr>
          <w:rStyle w:val="58"/>
        </w:rPr>
        <w:t>Dimension reduction techniques can be used to reduce the signal sizes of multi-port CIR samples. But the achievable positioning accuracy is also compromised. The overall accuracy vs overhead tradeoff situation of CIR samples is not improved by the two considered dimension reduction techniques.</w:t>
      </w:r>
      <w:r>
        <w:rPr>
          <w:rStyle w:val="58"/>
        </w:rPr>
        <w:fldChar w:fldCharType="end"/>
      </w:r>
    </w:p>
    <w:p w14:paraId="071F433F">
      <w:pPr>
        <w:pStyle w:val="44"/>
        <w:tabs>
          <w:tab w:val="right" w:leader="dot" w:pos="9962"/>
        </w:tabs>
        <w:rPr>
          <w:rFonts w:eastAsiaTheme="minorEastAsia"/>
          <w:b w:val="0"/>
        </w:rPr>
      </w:pPr>
      <w:r>
        <w:fldChar w:fldCharType="begin"/>
      </w:r>
      <w:r>
        <w:instrText xml:space="preserve"> HYPERLINK \l "_Toc189845079" </w:instrText>
      </w:r>
      <w:r>
        <w:fldChar w:fldCharType="separate"/>
      </w:r>
      <w:r>
        <w:rPr>
          <w:rStyle w:val="58"/>
        </w:rPr>
        <w:t>Observation 21</w:t>
      </w:r>
      <w:r>
        <w:rPr>
          <w:rFonts w:eastAsiaTheme="minorEastAsia"/>
          <w:b w:val="0"/>
        </w:rPr>
        <w:tab/>
      </w:r>
      <w:r>
        <w:rPr>
          <w:rStyle w:val="58"/>
        </w:rPr>
        <w:t>For Case 3a, the location of the AI/ML model (e.g., gNB-DU vs gNB-CU) impacts the need to specify new measurements for model input.</w:t>
      </w:r>
      <w:r>
        <w:rPr>
          <w:rStyle w:val="58"/>
        </w:rPr>
        <w:fldChar w:fldCharType="end"/>
      </w:r>
    </w:p>
    <w:p w14:paraId="55638148">
      <w:pPr>
        <w:pStyle w:val="44"/>
        <w:tabs>
          <w:tab w:val="right" w:leader="dot" w:pos="9962"/>
        </w:tabs>
        <w:rPr>
          <w:rFonts w:eastAsiaTheme="minorEastAsia"/>
          <w:b w:val="0"/>
        </w:rPr>
      </w:pPr>
      <w:r>
        <w:fldChar w:fldCharType="begin"/>
      </w:r>
      <w:r>
        <w:instrText xml:space="preserve"> HYPERLINK \l "_Toc189845080" </w:instrText>
      </w:r>
      <w:r>
        <w:fldChar w:fldCharType="separate"/>
      </w:r>
      <w:r>
        <w:rPr>
          <w:rStyle w:val="58"/>
        </w:rPr>
        <w:t>Observation 22</w:t>
      </w:r>
      <w:r>
        <w:rPr>
          <w:rFonts w:eastAsiaTheme="minorEastAsia"/>
          <w:b w:val="0"/>
        </w:rPr>
        <w:tab/>
      </w:r>
      <w:r>
        <w:rPr>
          <w:rStyle w:val="58"/>
        </w:rPr>
        <w:t>The LOS/NLOS indicator in legacy positioning report is a measure of the reliability of the measurement report.</w:t>
      </w:r>
      <w:r>
        <w:rPr>
          <w:rStyle w:val="58"/>
        </w:rPr>
        <w:fldChar w:fldCharType="end"/>
      </w:r>
    </w:p>
    <w:p w14:paraId="6563863D">
      <w:pPr>
        <w:pStyle w:val="44"/>
        <w:tabs>
          <w:tab w:val="right" w:leader="dot" w:pos="9962"/>
        </w:tabs>
        <w:rPr>
          <w:rFonts w:eastAsiaTheme="minorEastAsia"/>
          <w:b w:val="0"/>
        </w:rPr>
      </w:pPr>
      <w:r>
        <w:fldChar w:fldCharType="begin"/>
      </w:r>
      <w:r>
        <w:instrText xml:space="preserve"> HYPERLINK \l "_Toc189845081" </w:instrText>
      </w:r>
      <w:r>
        <w:fldChar w:fldCharType="separate"/>
      </w:r>
      <w:r>
        <w:rPr>
          <w:rStyle w:val="58"/>
        </w:rPr>
        <w:t>Observation 23</w:t>
      </w:r>
      <w:r>
        <w:rPr>
          <w:rFonts w:eastAsiaTheme="minorEastAsia"/>
          <w:b w:val="0"/>
        </w:rPr>
        <w:tab/>
      </w:r>
      <w:r>
        <w:rPr>
          <w:rStyle w:val="58"/>
        </w:rPr>
        <w:t>AI/ML assisted positioning can provide measurement report of the NLOS channel with high confidence.</w:t>
      </w:r>
      <w:r>
        <w:rPr>
          <w:rStyle w:val="58"/>
        </w:rPr>
        <w:fldChar w:fldCharType="end"/>
      </w:r>
    </w:p>
    <w:p w14:paraId="3621BF42">
      <w:pPr>
        <w:pStyle w:val="44"/>
        <w:tabs>
          <w:tab w:val="right" w:leader="dot" w:pos="9962"/>
        </w:tabs>
        <w:rPr>
          <w:rFonts w:eastAsiaTheme="minorEastAsia"/>
          <w:b w:val="0"/>
        </w:rPr>
      </w:pPr>
      <w:r>
        <w:fldChar w:fldCharType="begin"/>
      </w:r>
      <w:r>
        <w:instrText xml:space="preserve"> HYPERLINK \l "_Toc189845082" </w:instrText>
      </w:r>
      <w:r>
        <w:fldChar w:fldCharType="separate"/>
      </w:r>
      <w:r>
        <w:rPr>
          <w:rStyle w:val="58"/>
        </w:rPr>
        <w:t>Observation 24</w:t>
      </w:r>
      <w:r>
        <w:rPr>
          <w:rFonts w:eastAsiaTheme="minorEastAsia"/>
          <w:b w:val="0"/>
        </w:rPr>
        <w:tab/>
      </w:r>
      <w:r>
        <w:rPr>
          <w:rStyle w:val="58"/>
        </w:rPr>
        <w:t>The interpretation of a LOS indicator as reflecting the physical nature of the channel should be the same in Release 19 and legacy.</w:t>
      </w:r>
      <w:r>
        <w:rPr>
          <w:rStyle w:val="58"/>
        </w:rPr>
        <w:fldChar w:fldCharType="end"/>
      </w:r>
    </w:p>
    <w:p w14:paraId="47B30C6F">
      <w:pPr>
        <w:pStyle w:val="44"/>
        <w:tabs>
          <w:tab w:val="right" w:leader="dot" w:pos="9962"/>
        </w:tabs>
        <w:rPr>
          <w:rFonts w:eastAsiaTheme="minorEastAsia"/>
          <w:b w:val="0"/>
        </w:rPr>
      </w:pPr>
      <w:r>
        <w:fldChar w:fldCharType="begin"/>
      </w:r>
      <w:r>
        <w:instrText xml:space="preserve"> HYPERLINK \l "_Toc189845083" </w:instrText>
      </w:r>
      <w:r>
        <w:fldChar w:fldCharType="separate"/>
      </w:r>
      <w:r>
        <w:rPr>
          <w:rStyle w:val="58"/>
        </w:rPr>
        <w:t>Observation 25</w:t>
      </w:r>
      <w:r>
        <w:rPr>
          <w:rFonts w:eastAsiaTheme="minorEastAsia"/>
          <w:b w:val="0"/>
        </w:rPr>
        <w:tab/>
      </w:r>
      <w:r>
        <w:rPr>
          <w:rStyle w:val="58"/>
        </w:rPr>
        <w:t>If the LMF is not involved in the model monitoring of the model generating the LOS indicator, the need for identifying a LOS indicator as generated by a model output is not clear.</w:t>
      </w:r>
      <w:r>
        <w:rPr>
          <w:rStyle w:val="58"/>
        </w:rPr>
        <w:fldChar w:fldCharType="end"/>
      </w:r>
    </w:p>
    <w:p w14:paraId="3AF0E6C6">
      <w:pPr>
        <w:pStyle w:val="44"/>
        <w:tabs>
          <w:tab w:val="right" w:leader="dot" w:pos="9962"/>
        </w:tabs>
        <w:rPr>
          <w:rFonts w:eastAsiaTheme="minorEastAsia"/>
          <w:b w:val="0"/>
        </w:rPr>
      </w:pPr>
      <w:r>
        <w:fldChar w:fldCharType="begin"/>
      </w:r>
      <w:r>
        <w:instrText xml:space="preserve"> HYPERLINK \l "_Toc189845084" </w:instrText>
      </w:r>
      <w:r>
        <w:fldChar w:fldCharType="separate"/>
      </w:r>
      <w:r>
        <w:rPr>
          <w:rStyle w:val="58"/>
        </w:rPr>
        <w:t>Observation 26</w:t>
      </w:r>
      <w:r>
        <w:rPr>
          <w:rFonts w:eastAsiaTheme="minorEastAsia"/>
          <w:b w:val="0"/>
        </w:rPr>
        <w:tab/>
      </w:r>
      <w:r>
        <w:rPr>
          <w:rStyle w:val="58"/>
        </w:rPr>
        <w:t>From the RAN1 perspective, current specification support for Part A data collection in Case 1 is sufficient.</w:t>
      </w:r>
      <w:r>
        <w:rPr>
          <w:rStyle w:val="58"/>
        </w:rPr>
        <w:fldChar w:fldCharType="end"/>
      </w:r>
    </w:p>
    <w:p w14:paraId="46D21BB6">
      <w:pPr>
        <w:pStyle w:val="44"/>
        <w:tabs>
          <w:tab w:val="right" w:leader="dot" w:pos="9962"/>
        </w:tabs>
        <w:rPr>
          <w:rFonts w:eastAsiaTheme="minorEastAsia"/>
          <w:b w:val="0"/>
        </w:rPr>
      </w:pPr>
      <w:r>
        <w:fldChar w:fldCharType="begin"/>
      </w:r>
      <w:r>
        <w:instrText xml:space="preserve"> HYPERLINK \l "_Toc189845085" </w:instrText>
      </w:r>
      <w:r>
        <w:fldChar w:fldCharType="separate"/>
      </w:r>
      <w:r>
        <w:rPr>
          <w:rStyle w:val="58"/>
        </w:rPr>
        <w:t>Observation 27</w:t>
      </w:r>
      <w:r>
        <w:rPr>
          <w:rFonts w:eastAsiaTheme="minorEastAsia"/>
          <w:b w:val="0"/>
        </w:rPr>
        <w:tab/>
      </w:r>
      <w:r>
        <w:rPr>
          <w:rStyle w:val="58"/>
        </w:rPr>
        <w:t>From the RAN1 perspective, Part A data collection in Case 2b and 3b is identical to measurement reporting for inference.</w:t>
      </w:r>
      <w:r>
        <w:rPr>
          <w:rStyle w:val="58"/>
        </w:rPr>
        <w:fldChar w:fldCharType="end"/>
      </w:r>
    </w:p>
    <w:p w14:paraId="057DF089">
      <w:pPr>
        <w:pStyle w:val="44"/>
        <w:tabs>
          <w:tab w:val="right" w:leader="dot" w:pos="9962"/>
        </w:tabs>
        <w:rPr>
          <w:rFonts w:eastAsiaTheme="minorEastAsia"/>
          <w:b w:val="0"/>
        </w:rPr>
      </w:pPr>
      <w:r>
        <w:fldChar w:fldCharType="begin"/>
      </w:r>
      <w:r>
        <w:instrText xml:space="preserve"> HYPERLINK \l "_Toc189845086" </w:instrText>
      </w:r>
      <w:r>
        <w:fldChar w:fldCharType="separate"/>
      </w:r>
      <w:r>
        <w:rPr>
          <w:rStyle w:val="58"/>
        </w:rPr>
        <w:t>Observation 28</w:t>
      </w:r>
      <w:r>
        <w:rPr>
          <w:rFonts w:eastAsiaTheme="minorEastAsia"/>
          <w:b w:val="0"/>
        </w:rPr>
        <w:tab/>
      </w:r>
      <w:r>
        <w:rPr>
          <w:rStyle w:val="58"/>
        </w:rPr>
        <w:t>From the RAN1 perspective, Part A data collection in Case 3a is either up to the network implementation or identical to measurement reporting for inference.</w:t>
      </w:r>
      <w:r>
        <w:rPr>
          <w:rStyle w:val="58"/>
        </w:rPr>
        <w:fldChar w:fldCharType="end"/>
      </w:r>
    </w:p>
    <w:p w14:paraId="4B815BF6">
      <w:pPr>
        <w:pStyle w:val="44"/>
        <w:tabs>
          <w:tab w:val="right" w:leader="dot" w:pos="9962"/>
        </w:tabs>
        <w:rPr>
          <w:rFonts w:eastAsiaTheme="minorEastAsia"/>
          <w:b w:val="0"/>
        </w:rPr>
      </w:pPr>
      <w:r>
        <w:fldChar w:fldCharType="begin"/>
      </w:r>
      <w:r>
        <w:instrText xml:space="preserve"> HYPERLINK \l "_Toc189845087" </w:instrText>
      </w:r>
      <w:r>
        <w:fldChar w:fldCharType="separate"/>
      </w:r>
      <w:r>
        <w:rPr>
          <w:rStyle w:val="58"/>
        </w:rPr>
        <w:t>Observation 29</w:t>
      </w:r>
      <w:r>
        <w:rPr>
          <w:rFonts w:eastAsiaTheme="minorEastAsia"/>
          <w:b w:val="0"/>
        </w:rPr>
        <w:tab/>
      </w:r>
      <w:r>
        <w:rPr>
          <w:rStyle w:val="58"/>
        </w:rPr>
        <w:t>Time stamp for Part B may span a period of time for which the location of the UE is consistent.</w:t>
      </w:r>
      <w:r>
        <w:rPr>
          <w:rStyle w:val="58"/>
        </w:rPr>
        <w:fldChar w:fldCharType="end"/>
      </w:r>
    </w:p>
    <w:p w14:paraId="3CB1BBF1">
      <w:pPr>
        <w:pStyle w:val="44"/>
        <w:tabs>
          <w:tab w:val="right" w:leader="dot" w:pos="9962"/>
        </w:tabs>
        <w:rPr>
          <w:rFonts w:eastAsiaTheme="minorEastAsia"/>
          <w:b w:val="0"/>
        </w:rPr>
      </w:pPr>
      <w:r>
        <w:fldChar w:fldCharType="begin"/>
      </w:r>
      <w:r>
        <w:instrText xml:space="preserve"> HYPERLINK \l "_Toc189845088" </w:instrText>
      </w:r>
      <w:r>
        <w:fldChar w:fldCharType="separate"/>
      </w:r>
      <w:r>
        <w:rPr>
          <w:rStyle w:val="58"/>
        </w:rPr>
        <w:t>Observation 30</w:t>
      </w:r>
      <w:r>
        <w:rPr>
          <w:rFonts w:eastAsiaTheme="minorEastAsia"/>
          <w:b w:val="0"/>
        </w:rPr>
        <w:tab/>
      </w:r>
      <w:r>
        <w:rPr>
          <w:rStyle w:val="58"/>
        </w:rPr>
        <w:t>Part A-B pairing is an issue across Case 1, 3a and 3b.</w:t>
      </w:r>
      <w:r>
        <w:rPr>
          <w:rStyle w:val="58"/>
        </w:rPr>
        <w:fldChar w:fldCharType="end"/>
      </w:r>
    </w:p>
    <w:p w14:paraId="0983E2A6">
      <w:pPr>
        <w:pStyle w:val="44"/>
        <w:tabs>
          <w:tab w:val="right" w:leader="dot" w:pos="9962"/>
        </w:tabs>
        <w:rPr>
          <w:rFonts w:eastAsiaTheme="minorEastAsia"/>
          <w:b w:val="0"/>
        </w:rPr>
      </w:pPr>
      <w:r>
        <w:fldChar w:fldCharType="begin"/>
      </w:r>
      <w:r>
        <w:instrText xml:space="preserve"> HYPERLINK \l "_Toc189845089" </w:instrText>
      </w:r>
      <w:r>
        <w:fldChar w:fldCharType="separate"/>
      </w:r>
      <w:r>
        <w:rPr>
          <w:rStyle w:val="58"/>
        </w:rPr>
        <w:t>Observation 31</w:t>
      </w:r>
      <w:r>
        <w:rPr>
          <w:rFonts w:eastAsiaTheme="minorEastAsia"/>
          <w:b w:val="0"/>
        </w:rPr>
        <w:tab/>
      </w:r>
      <w:r>
        <w:rPr>
          <w:rStyle w:val="58"/>
        </w:rPr>
        <w:t>Part A and Part B must be paired for the same UE, even though Part A and Part B may be reported by different entities.</w:t>
      </w:r>
      <w:r>
        <w:rPr>
          <w:rStyle w:val="58"/>
        </w:rPr>
        <w:fldChar w:fldCharType="end"/>
      </w:r>
    </w:p>
    <w:p w14:paraId="239AA278">
      <w:pPr>
        <w:pStyle w:val="44"/>
        <w:tabs>
          <w:tab w:val="right" w:leader="dot" w:pos="9962"/>
        </w:tabs>
        <w:rPr>
          <w:rFonts w:eastAsiaTheme="minorEastAsia"/>
          <w:b w:val="0"/>
        </w:rPr>
      </w:pPr>
      <w:r>
        <w:fldChar w:fldCharType="begin"/>
      </w:r>
      <w:r>
        <w:instrText xml:space="preserve"> HYPERLINK \l "_Toc189845090" </w:instrText>
      </w:r>
      <w:r>
        <w:fldChar w:fldCharType="separate"/>
      </w:r>
      <w:r>
        <w:rPr>
          <w:rStyle w:val="58"/>
        </w:rPr>
        <w:t>Observation 32</w:t>
      </w:r>
      <w:r>
        <w:rPr>
          <w:rFonts w:eastAsiaTheme="minorEastAsia"/>
          <w:b w:val="0"/>
        </w:rPr>
        <w:tab/>
      </w:r>
      <w:r>
        <w:rPr>
          <w:rStyle w:val="58"/>
        </w:rPr>
        <w:t>Collecting sufficient data in terms of training dataset size, UE distribution, diversity of UE sources, etc, is up to implementation.</w:t>
      </w:r>
      <w:r>
        <w:rPr>
          <w:rStyle w:val="58"/>
        </w:rPr>
        <w:fldChar w:fldCharType="end"/>
      </w:r>
    </w:p>
    <w:p w14:paraId="7E5796DA">
      <w:pPr>
        <w:pStyle w:val="44"/>
        <w:tabs>
          <w:tab w:val="right" w:leader="dot" w:pos="9962"/>
        </w:tabs>
        <w:rPr>
          <w:rFonts w:eastAsiaTheme="minorEastAsia"/>
          <w:b w:val="0"/>
        </w:rPr>
      </w:pPr>
      <w:r>
        <w:fldChar w:fldCharType="begin"/>
      </w:r>
      <w:r>
        <w:instrText xml:space="preserve"> HYPERLINK \l "_Toc189845091" </w:instrText>
      </w:r>
      <w:r>
        <w:fldChar w:fldCharType="separate"/>
      </w:r>
      <w:r>
        <w:rPr>
          <w:rStyle w:val="58"/>
        </w:rPr>
        <w:t>Observation 33</w:t>
      </w:r>
      <w:r>
        <w:rPr>
          <w:rFonts w:eastAsiaTheme="minorEastAsia"/>
          <w:b w:val="0"/>
        </w:rPr>
        <w:tab/>
      </w:r>
      <w:r>
        <w:rPr>
          <w:rStyle w:val="58"/>
        </w:rPr>
        <w:t>Label-free model performance monitoring is up to implementation of model inference entity. The only potential specification impact is to notify other entities of the model monitoring decision, if necessary.</w:t>
      </w:r>
      <w:r>
        <w:rPr>
          <w:rStyle w:val="58"/>
        </w:rPr>
        <w:fldChar w:fldCharType="end"/>
      </w:r>
    </w:p>
    <w:p w14:paraId="0143316B">
      <w:pPr>
        <w:pStyle w:val="44"/>
        <w:tabs>
          <w:tab w:val="right" w:leader="dot" w:pos="9962"/>
        </w:tabs>
        <w:rPr>
          <w:rFonts w:eastAsiaTheme="minorEastAsia"/>
          <w:b w:val="0"/>
        </w:rPr>
      </w:pPr>
      <w:r>
        <w:fldChar w:fldCharType="begin"/>
      </w:r>
      <w:r>
        <w:instrText xml:space="preserve"> HYPERLINK \l "_Toc189845092" </w:instrText>
      </w:r>
      <w:r>
        <w:fldChar w:fldCharType="separate"/>
      </w:r>
      <w:r>
        <w:rPr>
          <w:rStyle w:val="58"/>
        </w:rPr>
        <w:t>Observation 34</w:t>
      </w:r>
      <w:r>
        <w:rPr>
          <w:rFonts w:eastAsiaTheme="minorEastAsia"/>
          <w:b w:val="0"/>
        </w:rPr>
        <w:tab/>
      </w:r>
      <w:r>
        <w:rPr>
          <w:rStyle w:val="58"/>
        </w:rPr>
        <w:t>If certain information on the ground truth label can be generated by the model inference entity, then such label-based model performance monitoring is also self-contained and up to implementation of model inference entity. The only potential specification impact is to notify other entities of the model monitoring decision, if necessary.</w:t>
      </w:r>
      <w:r>
        <w:rPr>
          <w:rStyle w:val="58"/>
        </w:rPr>
        <w:fldChar w:fldCharType="end"/>
      </w:r>
    </w:p>
    <w:p w14:paraId="09CB920B">
      <w:pPr>
        <w:pStyle w:val="44"/>
        <w:tabs>
          <w:tab w:val="right" w:leader="dot" w:pos="9962"/>
        </w:tabs>
        <w:rPr>
          <w:rFonts w:eastAsiaTheme="minorEastAsia"/>
          <w:b w:val="0"/>
        </w:rPr>
      </w:pPr>
      <w:r>
        <w:fldChar w:fldCharType="begin"/>
      </w:r>
      <w:r>
        <w:instrText xml:space="preserve"> HYPERLINK \l "_Toc189845093" </w:instrText>
      </w:r>
      <w:r>
        <w:fldChar w:fldCharType="separate"/>
      </w:r>
      <w:r>
        <w:rPr>
          <w:rStyle w:val="58"/>
        </w:rPr>
        <w:t>Observation 35</w:t>
      </w:r>
      <w:r>
        <w:rPr>
          <w:rFonts w:eastAsiaTheme="minorEastAsia"/>
          <w:b w:val="0"/>
        </w:rPr>
        <w:tab/>
      </w:r>
      <w:r>
        <w:rPr>
          <w:rStyle w:val="58"/>
        </w:rPr>
        <w:t>The benefit of associated ID is that the details for the information covered by associated ID do not need to be explicitly signaled, if they are not needed for performing model inference, and only needed for consistency verification.</w:t>
      </w:r>
      <w:r>
        <w:rPr>
          <w:rStyle w:val="58"/>
        </w:rPr>
        <w:fldChar w:fldCharType="end"/>
      </w:r>
    </w:p>
    <w:p w14:paraId="61AE5E00">
      <w:pPr>
        <w:pStyle w:val="44"/>
        <w:tabs>
          <w:tab w:val="right" w:leader="dot" w:pos="9962"/>
        </w:tabs>
        <w:rPr>
          <w:rFonts w:eastAsiaTheme="minorEastAsia"/>
          <w:b w:val="0"/>
        </w:rPr>
      </w:pPr>
      <w:r>
        <w:fldChar w:fldCharType="begin"/>
      </w:r>
      <w:r>
        <w:instrText xml:space="preserve"> HYPERLINK \l "_Toc189845094" </w:instrText>
      </w:r>
      <w:r>
        <w:fldChar w:fldCharType="separate"/>
      </w:r>
      <w:r>
        <w:rPr>
          <w:rStyle w:val="58"/>
        </w:rPr>
        <w:t>Observation 36</w:t>
      </w:r>
      <w:r>
        <w:rPr>
          <w:rFonts w:eastAsiaTheme="minorEastAsia"/>
          <w:b w:val="0"/>
        </w:rPr>
        <w:tab/>
      </w:r>
      <w:r>
        <w:rPr>
          <w:rStyle w:val="58"/>
        </w:rPr>
        <w:t>For Cases with LMF-side model (Case 2b/3b), the measurements reported for model input must be consistent with the ones used with training data.</w:t>
      </w:r>
      <w:r>
        <w:rPr>
          <w:rStyle w:val="58"/>
        </w:rPr>
        <w:fldChar w:fldCharType="end"/>
      </w:r>
    </w:p>
    <w:p w14:paraId="79591F91">
      <w:pPr>
        <w:pStyle w:val="44"/>
        <w:tabs>
          <w:tab w:val="right" w:leader="dot" w:pos="9962"/>
        </w:tabs>
        <w:rPr>
          <w:rFonts w:eastAsiaTheme="minorEastAsia"/>
          <w:b w:val="0"/>
        </w:rPr>
      </w:pPr>
      <w:r>
        <w:fldChar w:fldCharType="begin"/>
      </w:r>
      <w:r>
        <w:instrText xml:space="preserve"> HYPERLINK \l "_Toc189845095" </w:instrText>
      </w:r>
      <w:r>
        <w:fldChar w:fldCharType="separate"/>
      </w:r>
      <w:r>
        <w:rPr>
          <w:rStyle w:val="58"/>
        </w:rPr>
        <w:t>Observation 37</w:t>
      </w:r>
      <w:r>
        <w:rPr>
          <w:rFonts w:eastAsiaTheme="minorEastAsia"/>
          <w:b w:val="0"/>
        </w:rPr>
        <w:tab/>
      </w:r>
      <w:r>
        <w:rPr>
          <w:rStyle w:val="58"/>
        </w:rPr>
        <w:t>For Case 1, the SI only considered time-based fingerprinting approaches.</w:t>
      </w:r>
      <w:r>
        <w:rPr>
          <w:rStyle w:val="58"/>
        </w:rPr>
        <w:fldChar w:fldCharType="end"/>
      </w:r>
    </w:p>
    <w:p w14:paraId="6B1D060B">
      <w:pPr>
        <w:pStyle w:val="44"/>
        <w:tabs>
          <w:tab w:val="right" w:leader="dot" w:pos="9962"/>
        </w:tabs>
        <w:rPr>
          <w:rFonts w:eastAsiaTheme="minorEastAsia"/>
          <w:b w:val="0"/>
        </w:rPr>
      </w:pPr>
      <w:r>
        <w:fldChar w:fldCharType="begin"/>
      </w:r>
      <w:r>
        <w:instrText xml:space="preserve"> HYPERLINK \l "_Toc189845096" </w:instrText>
      </w:r>
      <w:r>
        <w:fldChar w:fldCharType="separate"/>
      </w:r>
      <w:r>
        <w:rPr>
          <w:rStyle w:val="58"/>
        </w:rPr>
        <w:t>Observation 38</w:t>
      </w:r>
      <w:r>
        <w:rPr>
          <w:rFonts w:eastAsiaTheme="minorEastAsia"/>
          <w:b w:val="0"/>
        </w:rPr>
        <w:tab/>
      </w:r>
      <w:r>
        <w:rPr>
          <w:rStyle w:val="58"/>
        </w:rPr>
        <w:t>For Case 1, operators should have the possibility to support Case 1 and without disclosing TRP location.</w:t>
      </w:r>
      <w:r>
        <w:rPr>
          <w:rStyle w:val="58"/>
        </w:rPr>
        <w:fldChar w:fldCharType="end"/>
      </w:r>
    </w:p>
    <w:p w14:paraId="71B23DC5">
      <w:pPr>
        <w:pStyle w:val="15"/>
      </w:pPr>
      <w:r>
        <w:fldChar w:fldCharType="end"/>
      </w:r>
    </w:p>
    <w:p w14:paraId="5DF8B489">
      <w:pPr>
        <w:pStyle w:val="15"/>
      </w:pPr>
      <w:r>
        <w:t>Based on the discussion in the previous sections we propose the following:</w:t>
      </w:r>
    </w:p>
    <w:p w14:paraId="1B9822F7">
      <w:pPr>
        <w:pStyle w:val="44"/>
        <w:tabs>
          <w:tab w:val="right" w:leader="dot" w:pos="9962"/>
        </w:tabs>
        <w:rPr>
          <w:rFonts w:eastAsiaTheme="minorEastAsia"/>
          <w:b w:val="0"/>
        </w:rPr>
      </w:pPr>
      <w:r>
        <w:rPr>
          <w:bCs/>
        </w:rPr>
        <w:fldChar w:fldCharType="begin"/>
      </w:r>
      <w:r>
        <w:rPr>
          <w:bCs/>
        </w:rPr>
        <w:instrText xml:space="preserve"> TOC \n \h \z \t "Proposal" \c </w:instrText>
      </w:r>
      <w:r>
        <w:rPr>
          <w:bCs/>
        </w:rPr>
        <w:fldChar w:fldCharType="separate"/>
      </w:r>
      <w:r>
        <w:fldChar w:fldCharType="begin"/>
      </w:r>
      <w:r>
        <w:instrText xml:space="preserve"> HYPERLINK \l "_Toc189845097" </w:instrText>
      </w:r>
      <w:r>
        <w:fldChar w:fldCharType="separate"/>
      </w:r>
      <w:r>
        <w:rPr>
          <w:rStyle w:val="58"/>
        </w:rPr>
        <w:t>Proposal 1</w:t>
      </w:r>
      <w:r>
        <w:rPr>
          <w:rFonts w:eastAsiaTheme="minorEastAsia"/>
          <w:b w:val="0"/>
        </w:rPr>
        <w:tab/>
      </w:r>
      <w:r>
        <w:rPr>
          <w:rStyle w:val="58"/>
        </w:rPr>
        <w:t>RAN1 assumes Case 1 is supported using UE based DL-TDOA procedures as a foundation. It is up to RAN2 to decide whether a set of new procedure is to be defined for Case 1, or extension to DL-TDOA suffices. RAN1 confirms the understanding with RAN2.</w:t>
      </w:r>
      <w:r>
        <w:rPr>
          <w:rStyle w:val="58"/>
        </w:rPr>
        <w:fldChar w:fldCharType="end"/>
      </w:r>
    </w:p>
    <w:p w14:paraId="36822656">
      <w:pPr>
        <w:pStyle w:val="44"/>
        <w:tabs>
          <w:tab w:val="right" w:leader="dot" w:pos="9962"/>
        </w:tabs>
        <w:rPr>
          <w:rFonts w:eastAsiaTheme="minorEastAsia"/>
          <w:b w:val="0"/>
        </w:rPr>
      </w:pPr>
      <w:r>
        <w:fldChar w:fldCharType="begin"/>
      </w:r>
      <w:r>
        <w:instrText xml:space="preserve"> HYPERLINK \l "_Toc189845098" </w:instrText>
      </w:r>
      <w:r>
        <w:fldChar w:fldCharType="separate"/>
      </w:r>
      <w:r>
        <w:rPr>
          <w:rStyle w:val="58"/>
        </w:rPr>
        <w:t>Proposal 2</w:t>
      </w:r>
      <w:r>
        <w:rPr>
          <w:rFonts w:eastAsiaTheme="minorEastAsia"/>
          <w:b w:val="0"/>
        </w:rPr>
        <w:tab/>
      </w:r>
      <w:r>
        <w:rPr>
          <w:rStyle w:val="58"/>
        </w:rPr>
        <w:t>RAN1 assumes Case 3a is supported using UL-TDOA or multi RTT procedure as a foundation. It is up to RAN3 to decide whether a set of new procedure is to be defined for Case 3a, or extension to existing procedure suffices. RAN1 confirms the understanding with RAN2 and RAN3.</w:t>
      </w:r>
      <w:r>
        <w:rPr>
          <w:rStyle w:val="58"/>
        </w:rPr>
        <w:fldChar w:fldCharType="end"/>
      </w:r>
    </w:p>
    <w:p w14:paraId="3A058B75">
      <w:pPr>
        <w:pStyle w:val="44"/>
        <w:tabs>
          <w:tab w:val="right" w:leader="dot" w:pos="9962"/>
        </w:tabs>
        <w:rPr>
          <w:rFonts w:eastAsiaTheme="minorEastAsia"/>
          <w:b w:val="0"/>
        </w:rPr>
      </w:pPr>
      <w:r>
        <w:fldChar w:fldCharType="begin"/>
      </w:r>
      <w:r>
        <w:instrText xml:space="preserve"> HYPERLINK \l "_Toc189845099" </w:instrText>
      </w:r>
      <w:r>
        <w:fldChar w:fldCharType="separate"/>
      </w:r>
      <w:r>
        <w:rPr>
          <w:rStyle w:val="58"/>
        </w:rPr>
        <w:t>Proposal 3</w:t>
      </w:r>
      <w:r>
        <w:rPr>
          <w:rFonts w:eastAsiaTheme="minorEastAsia"/>
          <w:b w:val="0"/>
        </w:rPr>
        <w:tab/>
      </w:r>
      <w:r>
        <w:rPr>
          <w:rStyle w:val="58"/>
        </w:rPr>
        <w:t>RAN1 assumes that for Case 3b with sample-based reporting enhancements, measurement report with sample-based reporting can be differentiated by the involved nodes (LMF, gNB) from the legacy UL RTOA measurement requests / reports. RAN1 confirm the understanding with RAN2 and RAN3.</w:t>
      </w:r>
      <w:r>
        <w:rPr>
          <w:rStyle w:val="58"/>
        </w:rPr>
        <w:fldChar w:fldCharType="end"/>
      </w:r>
    </w:p>
    <w:p w14:paraId="01C3D5A9">
      <w:pPr>
        <w:pStyle w:val="44"/>
        <w:tabs>
          <w:tab w:val="right" w:leader="dot" w:pos="9962"/>
        </w:tabs>
        <w:rPr>
          <w:rFonts w:eastAsiaTheme="minorEastAsia"/>
          <w:b w:val="0"/>
        </w:rPr>
      </w:pPr>
      <w:r>
        <w:fldChar w:fldCharType="begin"/>
      </w:r>
      <w:r>
        <w:instrText xml:space="preserve"> HYPERLINK \l "_Toc189845100" </w:instrText>
      </w:r>
      <w:r>
        <w:fldChar w:fldCharType="separate"/>
      </w:r>
      <w:r>
        <w:rPr>
          <w:rStyle w:val="58"/>
          <w:lang w:eastAsia="en-GB"/>
        </w:rPr>
        <w:t>Proposal 4</w:t>
      </w:r>
      <w:r>
        <w:rPr>
          <w:rFonts w:eastAsiaTheme="minorEastAsia"/>
          <w:b w:val="0"/>
        </w:rPr>
        <w:tab/>
      </w:r>
      <w:r>
        <w:rPr>
          <w:rStyle w:val="58"/>
          <w:lang w:eastAsia="en-GB"/>
        </w:rPr>
        <w:t xml:space="preserve">From the candidate values agreed in RAN1#119 for </w:t>
      </w:r>
      <w:r>
        <w:rPr>
          <w:rStyle w:val="58"/>
        </w:rPr>
        <w:t>N</w:t>
      </w:r>
      <w:r>
        <w:rPr>
          <w:rStyle w:val="58"/>
          <w:vertAlign w:val="subscript"/>
        </w:rPr>
        <w:t>t</w:t>
      </w:r>
      <w:r>
        <w:rPr>
          <w:rStyle w:val="58"/>
          <w:lang w:eastAsia="en-GB"/>
        </w:rPr>
        <w:t xml:space="preserve"> (N</w:t>
      </w:r>
      <w:r>
        <w:rPr>
          <w:rStyle w:val="58"/>
          <w:vertAlign w:val="subscript"/>
          <w:lang w:eastAsia="en-GB"/>
        </w:rPr>
        <w:t>t</w:t>
      </w:r>
      <w:r>
        <w:rPr>
          <w:rStyle w:val="58"/>
          <w:lang w:eastAsia="en-GB"/>
        </w:rPr>
        <w:t xml:space="preserve"> = {32, 64, 128} ), support N</w:t>
      </w:r>
      <w:r>
        <w:rPr>
          <w:rStyle w:val="58"/>
          <w:vertAlign w:val="subscript"/>
          <w:lang w:eastAsia="en-GB"/>
        </w:rPr>
        <w:t>t</w:t>
      </w:r>
      <w:r>
        <w:rPr>
          <w:rStyle w:val="58"/>
          <w:lang w:eastAsia="en-GB"/>
        </w:rPr>
        <w:t xml:space="preserve"> = {32, 64}.</w:t>
      </w:r>
      <w:r>
        <w:rPr>
          <w:rStyle w:val="58"/>
          <w:lang w:eastAsia="en-GB"/>
        </w:rPr>
        <w:fldChar w:fldCharType="end"/>
      </w:r>
    </w:p>
    <w:p w14:paraId="50E852D1">
      <w:pPr>
        <w:pStyle w:val="44"/>
        <w:tabs>
          <w:tab w:val="right" w:leader="dot" w:pos="9962"/>
        </w:tabs>
        <w:rPr>
          <w:rFonts w:eastAsiaTheme="minorEastAsia"/>
          <w:b w:val="0"/>
        </w:rPr>
      </w:pPr>
      <w:r>
        <w:fldChar w:fldCharType="begin"/>
      </w:r>
      <w:r>
        <w:instrText xml:space="preserve"> HYPERLINK \l "_Toc189845101" </w:instrText>
      </w:r>
      <w:r>
        <w:fldChar w:fldCharType="separate"/>
      </w:r>
      <w:r>
        <w:rPr>
          <w:rStyle w:val="58"/>
          <w:lang w:eastAsia="en-GB"/>
        </w:rPr>
        <w:t>Proposal 5</w:t>
      </w:r>
      <w:r>
        <w:rPr>
          <w:rFonts w:eastAsiaTheme="minorEastAsia"/>
          <w:b w:val="0"/>
        </w:rPr>
        <w:tab/>
      </w:r>
      <w:r>
        <w:rPr>
          <w:rStyle w:val="58"/>
          <w:lang w:eastAsia="en-GB"/>
        </w:rPr>
        <w:t xml:space="preserve">From the candidate values agreed in RAN1#119 for </w:t>
      </w:r>
      <w:r>
        <w:rPr>
          <w:rStyle w:val="58"/>
        </w:rPr>
        <w:t>N</w:t>
      </w:r>
      <w:r>
        <w:rPr>
          <w:rStyle w:val="58"/>
          <w:vertAlign w:val="subscript"/>
        </w:rPr>
        <w:t>t</w:t>
      </w:r>
      <w:r>
        <w:rPr>
          <w:rStyle w:val="58"/>
        </w:rPr>
        <w:t>'</w:t>
      </w:r>
      <w:r>
        <w:rPr>
          <w:rStyle w:val="58"/>
          <w:lang w:eastAsia="en-GB"/>
        </w:rPr>
        <w:t xml:space="preserve"> (</w:t>
      </w:r>
      <w:r>
        <w:rPr>
          <w:rStyle w:val="58"/>
        </w:rPr>
        <w:t>N</w:t>
      </w:r>
      <w:r>
        <w:rPr>
          <w:rStyle w:val="58"/>
          <w:vertAlign w:val="subscript"/>
        </w:rPr>
        <w:t>t</w:t>
      </w:r>
      <w:r>
        <w:rPr>
          <w:rStyle w:val="58"/>
        </w:rPr>
        <w:t>'</w:t>
      </w:r>
      <w:r>
        <w:rPr>
          <w:rStyle w:val="58"/>
          <w:lang w:eastAsia="en-GB"/>
        </w:rPr>
        <w:t xml:space="preserve"> &lt;=24), </w:t>
      </w:r>
      <w:r>
        <w:rPr>
          <w:rStyle w:val="58"/>
        </w:rPr>
        <w:t>N</w:t>
      </w:r>
      <w:r>
        <w:rPr>
          <w:rStyle w:val="58"/>
          <w:vertAlign w:val="subscript"/>
        </w:rPr>
        <w:t>t</w:t>
      </w:r>
      <w:r>
        <w:rPr>
          <w:rStyle w:val="58"/>
        </w:rPr>
        <w:t xml:space="preserve">' </w:t>
      </w:r>
      <w:r>
        <w:rPr>
          <w:rStyle w:val="58"/>
          <w:lang w:eastAsia="en-GB"/>
        </w:rPr>
        <w:t>values {9, 16, 24} are supported.</w:t>
      </w:r>
      <w:r>
        <w:rPr>
          <w:rStyle w:val="58"/>
          <w:lang w:eastAsia="en-GB"/>
        </w:rPr>
        <w:fldChar w:fldCharType="end"/>
      </w:r>
    </w:p>
    <w:p w14:paraId="7BBDEC06">
      <w:pPr>
        <w:pStyle w:val="44"/>
        <w:tabs>
          <w:tab w:val="right" w:leader="dot" w:pos="9962"/>
        </w:tabs>
        <w:rPr>
          <w:rFonts w:eastAsiaTheme="minorEastAsia"/>
          <w:b w:val="0"/>
        </w:rPr>
      </w:pPr>
      <w:r>
        <w:fldChar w:fldCharType="begin"/>
      </w:r>
      <w:r>
        <w:instrText xml:space="preserve"> HYPERLINK \l "_Toc189845102" </w:instrText>
      </w:r>
      <w:r>
        <w:fldChar w:fldCharType="separate"/>
      </w:r>
      <w:r>
        <w:rPr>
          <w:rStyle w:val="58"/>
          <w:lang w:eastAsia="en-GB"/>
        </w:rPr>
        <w:t>Proposal 6</w:t>
      </w:r>
      <w:r>
        <w:rPr>
          <w:rFonts w:eastAsiaTheme="minorEastAsia"/>
          <w:b w:val="0"/>
        </w:rPr>
        <w:tab/>
      </w:r>
      <w:r>
        <w:rPr>
          <w:rStyle w:val="58"/>
          <w:lang w:eastAsia="en-GB"/>
        </w:rPr>
        <w:t xml:space="preserve">For </w:t>
      </w:r>
      <w:r>
        <w:rPr>
          <w:rStyle w:val="58"/>
        </w:rPr>
        <w:t>{N</w:t>
      </w:r>
      <w:r>
        <w:rPr>
          <w:rStyle w:val="58"/>
          <w:vertAlign w:val="subscript"/>
        </w:rPr>
        <w:t>t</w:t>
      </w:r>
      <w:r>
        <w:rPr>
          <w:rStyle w:val="58"/>
        </w:rPr>
        <w:t>, N</w:t>
      </w:r>
      <w:r>
        <w:rPr>
          <w:rStyle w:val="58"/>
          <w:vertAlign w:val="subscript"/>
        </w:rPr>
        <w:t>t</w:t>
      </w:r>
      <w:r>
        <w:rPr>
          <w:rStyle w:val="58"/>
        </w:rPr>
        <w:t>'}, support these combinations: {32, 24}, {32, 9}; {64, 24}, {64, 16}, {64, 9}.</w:t>
      </w:r>
      <w:r>
        <w:rPr>
          <w:rStyle w:val="58"/>
        </w:rPr>
        <w:fldChar w:fldCharType="end"/>
      </w:r>
    </w:p>
    <w:p w14:paraId="401499B1">
      <w:pPr>
        <w:pStyle w:val="44"/>
        <w:tabs>
          <w:tab w:val="right" w:leader="dot" w:pos="9962"/>
        </w:tabs>
        <w:rPr>
          <w:rFonts w:eastAsiaTheme="minorEastAsia"/>
          <w:b w:val="0"/>
        </w:rPr>
      </w:pPr>
      <w:r>
        <w:fldChar w:fldCharType="begin"/>
      </w:r>
      <w:r>
        <w:instrText xml:space="preserve"> HYPERLINK \l "_Toc189845103" </w:instrText>
      </w:r>
      <w:r>
        <w:fldChar w:fldCharType="separate"/>
      </w:r>
      <w:r>
        <w:rPr>
          <w:rStyle w:val="58"/>
        </w:rPr>
        <w:t>Proposal 7</w:t>
      </w:r>
      <w:r>
        <w:rPr>
          <w:rFonts w:eastAsiaTheme="minorEastAsia"/>
          <w:b w:val="0"/>
        </w:rPr>
        <w:tab/>
      </w:r>
      <w:r>
        <w:rPr>
          <w:rStyle w:val="58"/>
        </w:rPr>
        <w:t xml:space="preserve">For Case 3b (and 3a if needed), a small number of </w:t>
      </w:r>
      <w:r>
        <w:rPr>
          <w:rStyle w:val="58"/>
          <w:snapToGrid w:val="0"/>
        </w:rPr>
        <w:t>k</w:t>
      </w:r>
      <w:r>
        <w:rPr>
          <w:rStyle w:val="58"/>
        </w:rPr>
        <w:t xml:space="preserve"> values, e.g., </w:t>
      </w:r>
      <w:r>
        <w:rPr>
          <w:rStyle w:val="58"/>
          <w:snapToGrid w:val="0"/>
        </w:rPr>
        <w:t>k={4}, k={3,4}, or k={2,3,4,5}, is supported for timing reporting granularity factor in Rel-19.</w:t>
      </w:r>
      <w:r>
        <w:rPr>
          <w:rStyle w:val="58"/>
          <w:snapToGrid w:val="0"/>
        </w:rPr>
        <w:fldChar w:fldCharType="end"/>
      </w:r>
    </w:p>
    <w:p w14:paraId="7158EA59">
      <w:pPr>
        <w:pStyle w:val="44"/>
        <w:tabs>
          <w:tab w:val="right" w:leader="dot" w:pos="9962"/>
        </w:tabs>
        <w:rPr>
          <w:rFonts w:eastAsiaTheme="minorEastAsia"/>
          <w:b w:val="0"/>
        </w:rPr>
      </w:pPr>
      <w:r>
        <w:fldChar w:fldCharType="begin"/>
      </w:r>
      <w:r>
        <w:instrText xml:space="preserve"> HYPERLINK \l "_Toc189845104" </w:instrText>
      </w:r>
      <w:r>
        <w:fldChar w:fldCharType="separate"/>
      </w:r>
      <w:r>
        <w:rPr>
          <w:rStyle w:val="58"/>
        </w:rPr>
        <w:t>Proposal 8</w:t>
      </w:r>
      <w:r>
        <w:rPr>
          <w:rFonts w:eastAsiaTheme="minorEastAsia"/>
          <w:b w:val="0"/>
        </w:rPr>
        <w:tab/>
      </w:r>
      <w:r>
        <w:rPr>
          <w:rStyle w:val="58"/>
        </w:rPr>
        <w:t>For Case 3b (and 3a if needed), when enhanced measurement are reported (i.e., sample-based reports) from the gNB to the LMF:</w:t>
      </w:r>
      <w:r>
        <w:rPr>
          <w:rStyle w:val="58"/>
        </w:rPr>
        <w:fldChar w:fldCharType="end"/>
      </w:r>
    </w:p>
    <w:p w14:paraId="7B234A5F">
      <w:pPr>
        <w:pStyle w:val="44"/>
        <w:tabs>
          <w:tab w:val="right" w:leader="dot" w:pos="9962"/>
        </w:tabs>
        <w:rPr>
          <w:rFonts w:eastAsiaTheme="minorEastAsia"/>
          <w:b w:val="0"/>
        </w:rPr>
      </w:pPr>
      <w:r>
        <w:fldChar w:fldCharType="begin"/>
      </w:r>
      <w:r>
        <w:instrText xml:space="preserve"> HYPERLINK \l "_Toc189845105" </w:instrText>
      </w:r>
      <w:r>
        <w:fldChar w:fldCharType="separate"/>
      </w:r>
      <w:r>
        <w:rPr>
          <w:rStyle w:val="58"/>
          <w:rFonts w:ascii="Symbol" w:hAnsi="Symbol"/>
        </w:rPr>
        <w:t></w:t>
      </w:r>
      <w:r>
        <w:rPr>
          <w:rFonts w:eastAsiaTheme="minorEastAsia"/>
          <w:b w:val="0"/>
        </w:rPr>
        <w:tab/>
      </w:r>
      <w:r>
        <w:rPr>
          <w:rStyle w:val="58"/>
        </w:rPr>
        <w:t xml:space="preserve">When the </w:t>
      </w:r>
      <w:r>
        <w:rPr>
          <w:rStyle w:val="58"/>
          <w:lang w:val="en-GB"/>
        </w:rPr>
        <w:t>N</w:t>
      </w:r>
      <w:r>
        <w:rPr>
          <w:rStyle w:val="58"/>
          <w:vertAlign w:val="subscript"/>
          <w:lang w:val="en-GB"/>
        </w:rPr>
        <w:t>t</w:t>
      </w:r>
      <w:r>
        <w:rPr>
          <w:rStyle w:val="58"/>
          <w:lang w:val="en-GB"/>
        </w:rPr>
        <w:t>, N</w:t>
      </w:r>
      <w:r>
        <w:rPr>
          <w:rStyle w:val="58"/>
          <w:vertAlign w:val="subscript"/>
          <w:lang w:val="en-GB"/>
        </w:rPr>
        <w:t>t</w:t>
      </w:r>
      <w:r>
        <w:rPr>
          <w:rStyle w:val="58"/>
          <w:lang w:val="en-GB"/>
        </w:rPr>
        <w:t>', k values used to produce the report are different from the ones provided by the LMF in the measurement request, gNB provides in the measurement report to the LMF the N</w:t>
      </w:r>
      <w:r>
        <w:rPr>
          <w:rStyle w:val="58"/>
          <w:vertAlign w:val="subscript"/>
          <w:lang w:val="en-GB"/>
        </w:rPr>
        <w:t>t</w:t>
      </w:r>
      <w:r>
        <w:rPr>
          <w:rStyle w:val="58"/>
          <w:lang w:val="en-GB"/>
        </w:rPr>
        <w:t xml:space="preserve"> value used for the measurement.</w:t>
      </w:r>
      <w:r>
        <w:rPr>
          <w:rStyle w:val="58"/>
          <w:lang w:val="en-GB"/>
        </w:rPr>
        <w:fldChar w:fldCharType="end"/>
      </w:r>
    </w:p>
    <w:p w14:paraId="13E90A09">
      <w:pPr>
        <w:pStyle w:val="44"/>
        <w:tabs>
          <w:tab w:val="right" w:leader="dot" w:pos="9962"/>
        </w:tabs>
        <w:rPr>
          <w:rFonts w:eastAsiaTheme="minorEastAsia"/>
          <w:b w:val="0"/>
        </w:rPr>
      </w:pPr>
      <w:r>
        <w:fldChar w:fldCharType="begin"/>
      </w:r>
      <w:r>
        <w:instrText xml:space="preserve"> HYPERLINK \l "_Toc189845106" </w:instrText>
      </w:r>
      <w:r>
        <w:fldChar w:fldCharType="separate"/>
      </w:r>
      <w:r>
        <w:rPr>
          <w:rStyle w:val="58"/>
          <w:rFonts w:ascii="Symbol" w:hAnsi="Symbol"/>
        </w:rPr>
        <w:t></w:t>
      </w:r>
      <w:r>
        <w:rPr>
          <w:rFonts w:eastAsiaTheme="minorEastAsia"/>
          <w:b w:val="0"/>
        </w:rPr>
        <w:tab/>
      </w:r>
      <w:r>
        <w:rPr>
          <w:rStyle w:val="58"/>
          <w:lang w:val="en-GB"/>
        </w:rPr>
        <w:t>Note: k value is already supported in the measurement report, and N</w:t>
      </w:r>
      <w:r>
        <w:rPr>
          <w:rStyle w:val="58"/>
          <w:vertAlign w:val="subscript"/>
          <w:lang w:val="en-GB"/>
        </w:rPr>
        <w:t>t</w:t>
      </w:r>
      <w:r>
        <w:rPr>
          <w:rStyle w:val="58"/>
          <w:lang w:val="en-GB"/>
        </w:rPr>
        <w:t>’ can be inferred by the report size.</w:t>
      </w:r>
      <w:r>
        <w:rPr>
          <w:rStyle w:val="58"/>
          <w:lang w:val="en-GB"/>
        </w:rPr>
        <w:fldChar w:fldCharType="end"/>
      </w:r>
    </w:p>
    <w:p w14:paraId="6E32C7EB">
      <w:pPr>
        <w:pStyle w:val="44"/>
        <w:tabs>
          <w:tab w:val="right" w:leader="dot" w:pos="9962"/>
        </w:tabs>
        <w:rPr>
          <w:rFonts w:eastAsiaTheme="minorEastAsia"/>
          <w:b w:val="0"/>
        </w:rPr>
      </w:pPr>
      <w:r>
        <w:fldChar w:fldCharType="begin"/>
      </w:r>
      <w:r>
        <w:instrText xml:space="preserve"> HYPERLINK \l "_Toc189845107" </w:instrText>
      </w:r>
      <w:r>
        <w:fldChar w:fldCharType="separate"/>
      </w:r>
      <w:r>
        <w:rPr>
          <w:rStyle w:val="58"/>
        </w:rPr>
        <w:t>Proposal 9</w:t>
      </w:r>
      <w:r>
        <w:rPr>
          <w:rFonts w:eastAsiaTheme="minorEastAsia"/>
          <w:b w:val="0"/>
        </w:rPr>
        <w:tab/>
      </w:r>
      <w:r>
        <w:rPr>
          <w:rStyle w:val="58"/>
        </w:rPr>
        <w:t>For Rel-19 AI/ML based positioning Case 3b, LMF includes an indicator in the measurement request to gNB, where the indicator is on the LMF preferred measurement report: either (a) sample-based measurement, or (b) legacy path-based measurement.</w:t>
      </w:r>
      <w:r>
        <w:rPr>
          <w:rStyle w:val="58"/>
        </w:rPr>
        <w:fldChar w:fldCharType="end"/>
      </w:r>
    </w:p>
    <w:p w14:paraId="2D2C7B9B">
      <w:pPr>
        <w:pStyle w:val="44"/>
        <w:tabs>
          <w:tab w:val="right" w:leader="dot" w:pos="9962"/>
        </w:tabs>
        <w:rPr>
          <w:rFonts w:eastAsiaTheme="minorEastAsia"/>
          <w:b w:val="0"/>
        </w:rPr>
      </w:pPr>
      <w:r>
        <w:fldChar w:fldCharType="begin"/>
      </w:r>
      <w:r>
        <w:instrText xml:space="preserve"> HYPERLINK \l "_Toc189845108" </w:instrText>
      </w:r>
      <w:r>
        <w:fldChar w:fldCharType="separate"/>
      </w:r>
      <w:r>
        <w:rPr>
          <w:rStyle w:val="58"/>
        </w:rPr>
        <w:t>Proposal 10</w:t>
      </w:r>
      <w:r>
        <w:rPr>
          <w:rFonts w:eastAsiaTheme="minorEastAsia"/>
          <w:b w:val="0"/>
        </w:rPr>
        <w:tab/>
      </w:r>
      <w:r>
        <w:rPr>
          <w:rStyle w:val="58"/>
        </w:rPr>
        <w:t>For Rel-19 AI/ML based positioning, legacy path-based measurement (if needed) is used without enhancement.</w:t>
      </w:r>
      <w:r>
        <w:rPr>
          <w:rStyle w:val="58"/>
        </w:rPr>
        <w:fldChar w:fldCharType="end"/>
      </w:r>
    </w:p>
    <w:p w14:paraId="1E8EBF41">
      <w:pPr>
        <w:pStyle w:val="44"/>
        <w:tabs>
          <w:tab w:val="right" w:leader="dot" w:pos="9962"/>
        </w:tabs>
        <w:rPr>
          <w:rFonts w:eastAsiaTheme="minorEastAsia"/>
          <w:b w:val="0"/>
        </w:rPr>
      </w:pPr>
      <w:r>
        <w:fldChar w:fldCharType="begin"/>
      </w:r>
      <w:r>
        <w:instrText xml:space="preserve"> HYPERLINK \l "_Toc189845109" </w:instrText>
      </w:r>
      <w:r>
        <w:fldChar w:fldCharType="separate"/>
      </w:r>
      <w:r>
        <w:rPr>
          <w:rStyle w:val="58"/>
          <w:lang w:val="en-GB"/>
        </w:rPr>
        <w:t>Proposal 11</w:t>
      </w:r>
      <w:r>
        <w:rPr>
          <w:rFonts w:eastAsiaTheme="minorEastAsia"/>
          <w:b w:val="0"/>
        </w:rPr>
        <w:tab/>
      </w:r>
      <w:r>
        <w:rPr>
          <w:rStyle w:val="58"/>
          <w:lang w:val="en-GB"/>
        </w:rPr>
        <w:t>For Case 3b, do not specify signalling enhancements for fallback between sample-based and path-based measurement.</w:t>
      </w:r>
      <w:r>
        <w:rPr>
          <w:rStyle w:val="58"/>
          <w:lang w:val="en-GB"/>
        </w:rPr>
        <w:fldChar w:fldCharType="end"/>
      </w:r>
    </w:p>
    <w:p w14:paraId="654BE133">
      <w:pPr>
        <w:pStyle w:val="44"/>
        <w:tabs>
          <w:tab w:val="right" w:leader="dot" w:pos="9962"/>
        </w:tabs>
        <w:rPr>
          <w:rFonts w:eastAsiaTheme="minorEastAsia"/>
          <w:b w:val="0"/>
        </w:rPr>
      </w:pPr>
      <w:r>
        <w:fldChar w:fldCharType="begin"/>
      </w:r>
      <w:r>
        <w:instrText xml:space="preserve"> HYPERLINK \l "_Toc189845110" </w:instrText>
      </w:r>
      <w:r>
        <w:fldChar w:fldCharType="separate"/>
      </w:r>
      <w:r>
        <w:rPr>
          <w:rStyle w:val="58"/>
          <w:rFonts w:ascii="Symbol" w:hAnsi="Symbol"/>
          <w:lang w:val="en-GB"/>
        </w:rPr>
        <w:t></w:t>
      </w:r>
      <w:r>
        <w:rPr>
          <w:rFonts w:eastAsiaTheme="minorEastAsia"/>
          <w:b w:val="0"/>
        </w:rPr>
        <w:tab/>
      </w:r>
      <w:r>
        <w:rPr>
          <w:rStyle w:val="58"/>
          <w:lang w:val="en-GB"/>
        </w:rPr>
        <w:t>Note: fallback can be supported by existing procedure using cause values.</w:t>
      </w:r>
      <w:r>
        <w:rPr>
          <w:rStyle w:val="58"/>
          <w:lang w:val="en-GB"/>
        </w:rPr>
        <w:fldChar w:fldCharType="end"/>
      </w:r>
    </w:p>
    <w:p w14:paraId="2B0B5166">
      <w:pPr>
        <w:pStyle w:val="44"/>
        <w:tabs>
          <w:tab w:val="right" w:leader="dot" w:pos="9962"/>
        </w:tabs>
        <w:rPr>
          <w:rFonts w:eastAsiaTheme="minorEastAsia"/>
          <w:b w:val="0"/>
        </w:rPr>
      </w:pPr>
      <w:r>
        <w:fldChar w:fldCharType="begin"/>
      </w:r>
      <w:r>
        <w:instrText xml:space="preserve"> HYPERLINK \l "_Toc189845111" </w:instrText>
      </w:r>
      <w:r>
        <w:fldChar w:fldCharType="separate"/>
      </w:r>
      <w:r>
        <w:rPr>
          <w:rStyle w:val="58"/>
        </w:rPr>
        <w:t>Proposal 12</w:t>
      </w:r>
      <w:r>
        <w:rPr>
          <w:rFonts w:eastAsiaTheme="minorEastAsia"/>
          <w:b w:val="0"/>
        </w:rPr>
        <w:tab/>
      </w:r>
      <w:r>
        <w:rPr>
          <w:rStyle w:val="58"/>
        </w:rPr>
        <w:t>Regarding PDP for model input, update the DL PRS-RSRPP and UL SRS-RSPP definitions where the path or sample powers are summed over all receive antenna ports, i.e., using total-power PDP.</w:t>
      </w:r>
      <w:r>
        <w:rPr>
          <w:rStyle w:val="58"/>
        </w:rPr>
        <w:fldChar w:fldCharType="end"/>
      </w:r>
    </w:p>
    <w:p w14:paraId="6C3E70CC">
      <w:pPr>
        <w:pStyle w:val="44"/>
        <w:tabs>
          <w:tab w:val="right" w:leader="dot" w:pos="9962"/>
        </w:tabs>
        <w:rPr>
          <w:rFonts w:eastAsiaTheme="minorEastAsia"/>
          <w:b w:val="0"/>
        </w:rPr>
      </w:pPr>
      <w:r>
        <w:fldChar w:fldCharType="begin"/>
      </w:r>
      <w:r>
        <w:instrText xml:space="preserve"> HYPERLINK \l "_Toc189845112" </w:instrText>
      </w:r>
      <w:r>
        <w:fldChar w:fldCharType="separate"/>
      </w:r>
      <w:r>
        <w:rPr>
          <w:rStyle w:val="58"/>
        </w:rPr>
        <w:t>Proposal 13</w:t>
      </w:r>
      <w:r>
        <w:rPr>
          <w:rFonts w:eastAsiaTheme="minorEastAsia"/>
          <w:b w:val="0"/>
        </w:rPr>
        <w:tab/>
      </w:r>
      <w:r>
        <w:rPr>
          <w:rStyle w:val="58"/>
        </w:rPr>
        <w:t>Do not support phase information for determining model input, including CIR and single phase value for first path/sample.</w:t>
      </w:r>
      <w:r>
        <w:rPr>
          <w:rStyle w:val="58"/>
        </w:rPr>
        <w:fldChar w:fldCharType="end"/>
      </w:r>
    </w:p>
    <w:p w14:paraId="327A2B89">
      <w:pPr>
        <w:pStyle w:val="44"/>
        <w:tabs>
          <w:tab w:val="right" w:leader="dot" w:pos="9962"/>
        </w:tabs>
        <w:rPr>
          <w:rFonts w:eastAsiaTheme="minorEastAsia"/>
          <w:b w:val="0"/>
        </w:rPr>
      </w:pPr>
      <w:r>
        <w:fldChar w:fldCharType="begin"/>
      </w:r>
      <w:r>
        <w:instrText xml:space="preserve"> HYPERLINK \l "_Toc189845113" </w:instrText>
      </w:r>
      <w:r>
        <w:fldChar w:fldCharType="separate"/>
      </w:r>
      <w:r>
        <w:rPr>
          <w:rStyle w:val="58"/>
        </w:rPr>
        <w:t>Proposal 14</w:t>
      </w:r>
      <w:r>
        <w:rPr>
          <w:rFonts w:eastAsiaTheme="minorEastAsia"/>
          <w:b w:val="0"/>
        </w:rPr>
        <w:tab/>
      </w:r>
      <w:r>
        <w:rPr>
          <w:rStyle w:val="58"/>
        </w:rPr>
        <w:t>Before CIR can be adopted as model input, RAN1 need to investigate whether fingerprinting ML models can handle CIR phase measurements, which vary not only with the radio channel environment but also with the transmitter/receiver circuits.</w:t>
      </w:r>
      <w:r>
        <w:rPr>
          <w:rStyle w:val="58"/>
        </w:rPr>
        <w:fldChar w:fldCharType="end"/>
      </w:r>
    </w:p>
    <w:p w14:paraId="13E4F021">
      <w:pPr>
        <w:pStyle w:val="44"/>
        <w:tabs>
          <w:tab w:val="right" w:leader="dot" w:pos="9962"/>
        </w:tabs>
        <w:rPr>
          <w:rFonts w:eastAsiaTheme="minorEastAsia"/>
          <w:b w:val="0"/>
        </w:rPr>
      </w:pPr>
      <w:r>
        <w:fldChar w:fldCharType="begin"/>
      </w:r>
      <w:r>
        <w:instrText xml:space="preserve"> HYPERLINK \l "_Toc189845114" </w:instrText>
      </w:r>
      <w:r>
        <w:fldChar w:fldCharType="separate"/>
      </w:r>
      <w:r>
        <w:rPr>
          <w:rStyle w:val="58"/>
        </w:rPr>
        <w:t>Proposal 15</w:t>
      </w:r>
      <w:r>
        <w:rPr>
          <w:rFonts w:eastAsiaTheme="minorEastAsia"/>
          <w:b w:val="0"/>
        </w:rPr>
        <w:tab/>
      </w:r>
      <w:r>
        <w:rPr>
          <w:rStyle w:val="58"/>
        </w:rPr>
        <w:t>To decide whether to support phase information to enable CIR as model input, RAN1 should weigh the small positioning accuracy improvement against the standardization effort, the signaling overhead, and the difficulty to align phase information between training and inference.</w:t>
      </w:r>
      <w:r>
        <w:rPr>
          <w:rStyle w:val="58"/>
        </w:rPr>
        <w:fldChar w:fldCharType="end"/>
      </w:r>
    </w:p>
    <w:p w14:paraId="50DCCECB">
      <w:pPr>
        <w:pStyle w:val="44"/>
        <w:tabs>
          <w:tab w:val="right" w:leader="dot" w:pos="9962"/>
        </w:tabs>
        <w:rPr>
          <w:rFonts w:eastAsiaTheme="minorEastAsia"/>
          <w:b w:val="0"/>
        </w:rPr>
      </w:pPr>
      <w:r>
        <w:fldChar w:fldCharType="begin"/>
      </w:r>
      <w:r>
        <w:instrText xml:space="preserve"> HYPERLINK \l "_Toc189845115" </w:instrText>
      </w:r>
      <w:r>
        <w:fldChar w:fldCharType="separate"/>
      </w:r>
      <w:r>
        <w:rPr>
          <w:rStyle w:val="58"/>
        </w:rPr>
        <w:t>Proposal 16</w:t>
      </w:r>
      <w:r>
        <w:rPr>
          <w:rFonts w:eastAsiaTheme="minorEastAsia"/>
          <w:b w:val="0"/>
        </w:rPr>
        <w:tab/>
      </w:r>
      <w:r>
        <w:rPr>
          <w:rStyle w:val="58"/>
        </w:rPr>
        <w:t>If phase information is supported to enable CIR as model input, the phase values are reported in the format of relative phase.</w:t>
      </w:r>
      <w:r>
        <w:rPr>
          <w:rStyle w:val="58"/>
        </w:rPr>
        <w:fldChar w:fldCharType="end"/>
      </w:r>
    </w:p>
    <w:p w14:paraId="41F6336A">
      <w:pPr>
        <w:pStyle w:val="44"/>
        <w:tabs>
          <w:tab w:val="right" w:leader="dot" w:pos="9962"/>
        </w:tabs>
        <w:rPr>
          <w:rFonts w:eastAsiaTheme="minorEastAsia"/>
          <w:b w:val="0"/>
        </w:rPr>
      </w:pPr>
      <w:r>
        <w:fldChar w:fldCharType="begin"/>
      </w:r>
      <w:r>
        <w:instrText xml:space="preserve"> HYPERLINK \l "_Toc189845116" </w:instrText>
      </w:r>
      <w:r>
        <w:fldChar w:fldCharType="separate"/>
      </w:r>
      <w:r>
        <w:rPr>
          <w:rStyle w:val="58"/>
        </w:rPr>
        <w:t>Proposal 17</w:t>
      </w:r>
      <w:r>
        <w:rPr>
          <w:rFonts w:eastAsiaTheme="minorEastAsia"/>
          <w:b w:val="0"/>
        </w:rPr>
        <w:tab/>
      </w:r>
      <w:r>
        <w:rPr>
          <w:rStyle w:val="58"/>
        </w:rPr>
        <w:t>RAN1 to down-prioritize the signaling approach(es) and/or measurement definitions to support CIR model input types for Case 3b (1</w:t>
      </w:r>
      <w:r>
        <w:rPr>
          <w:rStyle w:val="58"/>
          <w:vertAlign w:val="superscript"/>
        </w:rPr>
        <w:t>st</w:t>
      </w:r>
      <w:r>
        <w:rPr>
          <w:rStyle w:val="58"/>
        </w:rPr>
        <w:t xml:space="preserve"> priority) and Case 2b (2</w:t>
      </w:r>
      <w:r>
        <w:rPr>
          <w:rStyle w:val="58"/>
          <w:vertAlign w:val="superscript"/>
        </w:rPr>
        <w:t>nd</w:t>
      </w:r>
      <w:r>
        <w:rPr>
          <w:rStyle w:val="58"/>
        </w:rPr>
        <w:t xml:space="preserve"> priority).</w:t>
      </w:r>
      <w:r>
        <w:rPr>
          <w:rStyle w:val="58"/>
        </w:rPr>
        <w:fldChar w:fldCharType="end"/>
      </w:r>
    </w:p>
    <w:p w14:paraId="1D1F320A">
      <w:pPr>
        <w:pStyle w:val="44"/>
        <w:tabs>
          <w:tab w:val="right" w:leader="dot" w:pos="9962"/>
        </w:tabs>
        <w:rPr>
          <w:rFonts w:eastAsiaTheme="minorEastAsia"/>
          <w:b w:val="0"/>
        </w:rPr>
      </w:pPr>
      <w:r>
        <w:fldChar w:fldCharType="begin"/>
      </w:r>
      <w:r>
        <w:instrText xml:space="preserve"> HYPERLINK \l "_Toc189845117" </w:instrText>
      </w:r>
      <w:r>
        <w:fldChar w:fldCharType="separate"/>
      </w:r>
      <w:r>
        <w:rPr>
          <w:rStyle w:val="58"/>
        </w:rPr>
        <w:t>Proposal 18</w:t>
      </w:r>
      <w:r>
        <w:rPr>
          <w:rFonts w:eastAsiaTheme="minorEastAsia"/>
          <w:b w:val="0"/>
        </w:rPr>
        <w:tab/>
      </w:r>
      <w:r>
        <w:rPr>
          <w:rStyle w:val="58"/>
        </w:rPr>
        <w:t>Send an LS to RAN3 to request feedback on whether the input to the AI/ML model for case 3a need to be specified.</w:t>
      </w:r>
      <w:r>
        <w:rPr>
          <w:rStyle w:val="58"/>
        </w:rPr>
        <w:fldChar w:fldCharType="end"/>
      </w:r>
    </w:p>
    <w:p w14:paraId="50CF7CE1">
      <w:pPr>
        <w:pStyle w:val="44"/>
        <w:tabs>
          <w:tab w:val="right" w:leader="dot" w:pos="9962"/>
        </w:tabs>
        <w:rPr>
          <w:rFonts w:eastAsiaTheme="minorEastAsia"/>
          <w:b w:val="0"/>
        </w:rPr>
      </w:pPr>
      <w:r>
        <w:fldChar w:fldCharType="begin"/>
      </w:r>
      <w:r>
        <w:instrText xml:space="preserve"> HYPERLINK \l "_Toc189845118" </w:instrText>
      </w:r>
      <w:r>
        <w:fldChar w:fldCharType="separate"/>
      </w:r>
      <w:r>
        <w:rPr>
          <w:rStyle w:val="58"/>
        </w:rPr>
        <w:t>Proposal 19</w:t>
      </w:r>
      <w:r>
        <w:rPr>
          <w:rFonts w:eastAsiaTheme="minorEastAsia"/>
          <w:b w:val="0"/>
        </w:rPr>
        <w:tab/>
      </w:r>
      <w:r>
        <w:rPr>
          <w:rStyle w:val="58"/>
        </w:rPr>
        <w:t>For measurement report of AI/ML assisted positioning Case 3a, when timing information is reported from gNB to LMF, the timing information is for virtual LOS link if carried in a new Rel-19 measurement report, and the timing information is for physical LOS link if carried in a legacy measurement report (Rel-18 or prior).</w:t>
      </w:r>
      <w:r>
        <w:rPr>
          <w:rStyle w:val="58"/>
        </w:rPr>
        <w:fldChar w:fldCharType="end"/>
      </w:r>
    </w:p>
    <w:p w14:paraId="42F69602">
      <w:pPr>
        <w:pStyle w:val="44"/>
        <w:tabs>
          <w:tab w:val="right" w:leader="dot" w:pos="9962"/>
        </w:tabs>
        <w:rPr>
          <w:rFonts w:eastAsiaTheme="minorEastAsia"/>
          <w:b w:val="0"/>
        </w:rPr>
      </w:pPr>
      <w:r>
        <w:fldChar w:fldCharType="begin"/>
      </w:r>
      <w:r>
        <w:instrText xml:space="preserve"> HYPERLINK \l "_Toc189845119" </w:instrText>
      </w:r>
      <w:r>
        <w:fldChar w:fldCharType="separate"/>
      </w:r>
      <w:r>
        <w:rPr>
          <w:rStyle w:val="58"/>
        </w:rPr>
        <w:t>Proposal 20</w:t>
      </w:r>
      <w:r>
        <w:rPr>
          <w:rFonts w:eastAsiaTheme="minorEastAsia"/>
          <w:b w:val="0"/>
        </w:rPr>
        <w:tab/>
      </w:r>
      <w:r>
        <w:rPr>
          <w:rStyle w:val="58"/>
        </w:rPr>
        <w:t>For Rel-19 measurement report, the LOS/NLOS indicator (for physical LOS link) is decoupled from the timing information reporting (for virtual LOS link).</w:t>
      </w:r>
      <w:r>
        <w:rPr>
          <w:rStyle w:val="58"/>
        </w:rPr>
        <w:fldChar w:fldCharType="end"/>
      </w:r>
    </w:p>
    <w:p w14:paraId="08E5B581">
      <w:pPr>
        <w:pStyle w:val="44"/>
        <w:tabs>
          <w:tab w:val="right" w:leader="dot" w:pos="9962"/>
        </w:tabs>
        <w:rPr>
          <w:rFonts w:eastAsiaTheme="minorEastAsia"/>
          <w:b w:val="0"/>
        </w:rPr>
      </w:pPr>
      <w:r>
        <w:fldChar w:fldCharType="begin"/>
      </w:r>
      <w:r>
        <w:instrText xml:space="preserve"> HYPERLINK \l "_Toc189845120" </w:instrText>
      </w:r>
      <w:r>
        <w:fldChar w:fldCharType="separate"/>
      </w:r>
      <w:r>
        <w:rPr>
          <w:rStyle w:val="58"/>
        </w:rPr>
        <w:t>Proposal 21</w:t>
      </w:r>
      <w:r>
        <w:rPr>
          <w:rFonts w:eastAsiaTheme="minorEastAsia"/>
          <w:b w:val="0"/>
        </w:rPr>
        <w:tab/>
      </w:r>
      <w:r>
        <w:rPr>
          <w:rStyle w:val="58"/>
        </w:rPr>
        <w:t>Support reporting (optionally) a LOS/NLOS indicator when timing information is reported for Rel-19</w:t>
      </w:r>
      <w:r>
        <w:rPr>
          <w:rStyle w:val="58"/>
          <w:rFonts w:eastAsia="等线"/>
          <w:lang w:eastAsia="zh-CN"/>
        </w:rPr>
        <w:t xml:space="preserve"> </w:t>
      </w:r>
      <w:r>
        <w:rPr>
          <w:rStyle w:val="58"/>
        </w:rPr>
        <w:t>AI/ML positioning Case 3a.</w:t>
      </w:r>
      <w:r>
        <w:rPr>
          <w:rStyle w:val="58"/>
        </w:rPr>
        <w:fldChar w:fldCharType="end"/>
      </w:r>
    </w:p>
    <w:p w14:paraId="6F70C31E">
      <w:pPr>
        <w:pStyle w:val="44"/>
        <w:tabs>
          <w:tab w:val="right" w:leader="dot" w:pos="9962"/>
        </w:tabs>
        <w:rPr>
          <w:rFonts w:eastAsiaTheme="minorEastAsia"/>
          <w:b w:val="0"/>
        </w:rPr>
      </w:pPr>
      <w:r>
        <w:fldChar w:fldCharType="begin"/>
      </w:r>
      <w:r>
        <w:instrText xml:space="preserve"> HYPERLINK \l "_Toc189845121" </w:instrText>
      </w:r>
      <w:r>
        <w:fldChar w:fldCharType="separate"/>
      </w:r>
      <w:r>
        <w:rPr>
          <w:rStyle w:val="58"/>
        </w:rPr>
        <w:t>Proposal 22</w:t>
      </w:r>
      <w:r>
        <w:rPr>
          <w:rFonts w:eastAsiaTheme="minorEastAsia"/>
          <w:b w:val="0"/>
        </w:rPr>
        <w:tab/>
      </w:r>
      <w:r>
        <w:rPr>
          <w:rStyle w:val="58"/>
        </w:rPr>
        <w:t>For AI/ML assisted positioning Case 3a, when the LOS/NLOS indicator is reported, from RAN1 perspective, the LOS/NLOS indicator provides information on the likelihood of a physical Line-of-Sight propagation path from the source to the receiver with a value of 1 corresponding to LOS and a value of 0 corresponding to NLOS; the LOS/NLOS indicator reuse the same format as the existing IE "LOS/NLOS Information" in 38.455.</w:t>
      </w:r>
      <w:r>
        <w:rPr>
          <w:rStyle w:val="58"/>
        </w:rPr>
        <w:fldChar w:fldCharType="end"/>
      </w:r>
    </w:p>
    <w:p w14:paraId="53FA4B03">
      <w:pPr>
        <w:pStyle w:val="44"/>
        <w:tabs>
          <w:tab w:val="right" w:leader="dot" w:pos="9962"/>
        </w:tabs>
        <w:rPr>
          <w:rFonts w:eastAsiaTheme="minorEastAsia"/>
          <w:b w:val="0"/>
        </w:rPr>
      </w:pPr>
      <w:r>
        <w:fldChar w:fldCharType="begin"/>
      </w:r>
      <w:r>
        <w:instrText xml:space="preserve"> HYPERLINK \l "_Toc189845122" </w:instrText>
      </w:r>
      <w:r>
        <w:fldChar w:fldCharType="separate"/>
      </w:r>
      <w:r>
        <w:rPr>
          <w:rStyle w:val="58"/>
        </w:rPr>
        <w:t>Proposal 23</w:t>
      </w:r>
      <w:r>
        <w:rPr>
          <w:rFonts w:eastAsiaTheme="minorEastAsia"/>
          <w:b w:val="0"/>
        </w:rPr>
        <w:tab/>
      </w:r>
      <w:r>
        <w:rPr>
          <w:rStyle w:val="58"/>
        </w:rPr>
        <w:t>(for conclusion) For AI/ML assisted positioning, when the LOS/NLOS indicator is reported for Rel-19 Case 3a, do not support an indication of whether the LOS/NLOS indicator is obtained via a model output or via legacy method.</w:t>
      </w:r>
      <w:r>
        <w:rPr>
          <w:rStyle w:val="58"/>
        </w:rPr>
        <w:fldChar w:fldCharType="end"/>
      </w:r>
    </w:p>
    <w:p w14:paraId="441C8855">
      <w:pPr>
        <w:pStyle w:val="44"/>
        <w:tabs>
          <w:tab w:val="right" w:leader="dot" w:pos="9962"/>
        </w:tabs>
        <w:rPr>
          <w:rFonts w:eastAsiaTheme="minorEastAsia"/>
          <w:b w:val="0"/>
        </w:rPr>
      </w:pPr>
      <w:r>
        <w:fldChar w:fldCharType="begin"/>
      </w:r>
      <w:r>
        <w:instrText xml:space="preserve"> HYPERLINK \l "_Toc189845123" </w:instrText>
      </w:r>
      <w:r>
        <w:fldChar w:fldCharType="separate"/>
      </w:r>
      <w:r>
        <w:rPr>
          <w:rStyle w:val="58"/>
        </w:rPr>
        <w:t>Proposal 24</w:t>
      </w:r>
      <w:r>
        <w:rPr>
          <w:rFonts w:eastAsiaTheme="minorEastAsia"/>
          <w:b w:val="0"/>
        </w:rPr>
        <w:tab/>
      </w:r>
      <w:r>
        <w:rPr>
          <w:rStyle w:val="58"/>
          <w:lang w:val="en-GB"/>
        </w:rPr>
        <w:t xml:space="preserve">From RAN1 perspective, when timing information is reported for Rel-19 AI/ML positioning Case 3a, </w:t>
      </w:r>
      <w:r>
        <w:rPr>
          <w:rStyle w:val="58"/>
        </w:rPr>
        <w:t xml:space="preserve">one LOS/NLOS indicator is optionally reported per TRP </w:t>
      </w:r>
      <w:r>
        <w:rPr>
          <w:rStyle w:val="58"/>
          <w:lang w:val="en-GB"/>
        </w:rPr>
        <w:t xml:space="preserve">in a measurement report from gNB to LMF, </w:t>
      </w:r>
      <w:r>
        <w:rPr>
          <w:rStyle w:val="58"/>
        </w:rPr>
        <w:t>as in the existing specification</w:t>
      </w:r>
      <w:r>
        <w:rPr>
          <w:rStyle w:val="58"/>
          <w:lang w:val="en-GB"/>
        </w:rPr>
        <w:t>.</w:t>
      </w:r>
      <w:r>
        <w:rPr>
          <w:rStyle w:val="58"/>
          <w:lang w:val="en-GB"/>
        </w:rPr>
        <w:fldChar w:fldCharType="end"/>
      </w:r>
    </w:p>
    <w:p w14:paraId="15A70158">
      <w:pPr>
        <w:pStyle w:val="44"/>
        <w:tabs>
          <w:tab w:val="right" w:leader="dot" w:pos="9962"/>
        </w:tabs>
        <w:rPr>
          <w:rFonts w:eastAsiaTheme="minorEastAsia"/>
          <w:b w:val="0"/>
        </w:rPr>
      </w:pPr>
      <w:r>
        <w:fldChar w:fldCharType="begin"/>
      </w:r>
      <w:r>
        <w:instrText xml:space="preserve"> HYPERLINK \l "_Toc189845124" </w:instrText>
      </w:r>
      <w:r>
        <w:fldChar w:fldCharType="separate"/>
      </w:r>
      <w:r>
        <w:rPr>
          <w:rStyle w:val="58"/>
        </w:rPr>
        <w:t>Proposal 25</w:t>
      </w:r>
      <w:r>
        <w:rPr>
          <w:rFonts w:eastAsiaTheme="minorEastAsia"/>
          <w:b w:val="0"/>
        </w:rPr>
        <w:tab/>
      </w:r>
      <w:r>
        <w:rPr>
          <w:rStyle w:val="58"/>
        </w:rPr>
        <w:t>For measurement report of AI/ML assisted positioning Case 3a, when timing information is reported from gNB to LMF, LMF shall be able to distinguish whether the timing information is obtained for Rel-19 measurement report (virtual LOS link) or for legacy measurement report (physical LOS link).</w:t>
      </w:r>
      <w:r>
        <w:rPr>
          <w:rStyle w:val="58"/>
        </w:rPr>
        <w:fldChar w:fldCharType="end"/>
      </w:r>
    </w:p>
    <w:p w14:paraId="42EB45FD">
      <w:pPr>
        <w:pStyle w:val="44"/>
        <w:tabs>
          <w:tab w:val="right" w:leader="dot" w:pos="9962"/>
        </w:tabs>
        <w:rPr>
          <w:rFonts w:eastAsiaTheme="minorEastAsia"/>
          <w:b w:val="0"/>
        </w:rPr>
      </w:pPr>
      <w:r>
        <w:fldChar w:fldCharType="begin"/>
      </w:r>
      <w:r>
        <w:instrText xml:space="preserve"> HYPERLINK \l "_Toc189845125" </w:instrText>
      </w:r>
      <w:r>
        <w:fldChar w:fldCharType="separate"/>
      </w:r>
      <w:r>
        <w:rPr>
          <w:rStyle w:val="58"/>
          <w:rFonts w:ascii="Symbol" w:hAnsi="Symbol"/>
        </w:rPr>
        <w:t></w:t>
      </w:r>
      <w:r>
        <w:rPr>
          <w:rFonts w:eastAsiaTheme="minorEastAsia"/>
          <w:b w:val="0"/>
        </w:rPr>
        <w:tab/>
      </w:r>
      <w:r>
        <w:rPr>
          <w:rStyle w:val="58"/>
        </w:rPr>
        <w:t>For timing information obtained for Rel-19 measurement report, If a timing measurement is reported together with the LOS/NLOS indicator, the indicator status (for physical LOS/NLOS) is decoupled from the reported timing measurement (for virtual LOS)</w:t>
      </w:r>
      <w:r>
        <w:rPr>
          <w:rStyle w:val="58"/>
        </w:rPr>
        <w:fldChar w:fldCharType="end"/>
      </w:r>
    </w:p>
    <w:p w14:paraId="56E8DD84">
      <w:pPr>
        <w:pStyle w:val="44"/>
        <w:tabs>
          <w:tab w:val="right" w:leader="dot" w:pos="9962"/>
        </w:tabs>
        <w:rPr>
          <w:rFonts w:eastAsiaTheme="minorEastAsia"/>
          <w:b w:val="0"/>
        </w:rPr>
      </w:pPr>
      <w:r>
        <w:fldChar w:fldCharType="begin"/>
      </w:r>
      <w:r>
        <w:instrText xml:space="preserve"> HYPERLINK \l "_Toc189845126" </w:instrText>
      </w:r>
      <w:r>
        <w:fldChar w:fldCharType="separate"/>
      </w:r>
      <w:r>
        <w:rPr>
          <w:rStyle w:val="58"/>
          <w:rFonts w:ascii="Symbol" w:hAnsi="Symbol"/>
        </w:rPr>
        <w:t></w:t>
      </w:r>
      <w:r>
        <w:rPr>
          <w:rFonts w:eastAsiaTheme="minorEastAsia"/>
          <w:b w:val="0"/>
        </w:rPr>
        <w:tab/>
      </w:r>
      <w:r>
        <w:rPr>
          <w:rStyle w:val="58"/>
        </w:rPr>
        <w:t>Note: when the TRP-UE radio link is LOS, the virtual LOS coincides with the physical LOS.</w:t>
      </w:r>
      <w:r>
        <w:rPr>
          <w:rStyle w:val="58"/>
        </w:rPr>
        <w:fldChar w:fldCharType="end"/>
      </w:r>
    </w:p>
    <w:p w14:paraId="3E86EC4B">
      <w:pPr>
        <w:pStyle w:val="44"/>
        <w:tabs>
          <w:tab w:val="right" w:leader="dot" w:pos="9962"/>
        </w:tabs>
        <w:rPr>
          <w:rFonts w:eastAsiaTheme="minorEastAsia"/>
          <w:b w:val="0"/>
        </w:rPr>
      </w:pPr>
      <w:r>
        <w:fldChar w:fldCharType="begin"/>
      </w:r>
      <w:r>
        <w:instrText xml:space="preserve"> HYPERLINK \l "_Toc189845127" </w:instrText>
      </w:r>
      <w:r>
        <w:fldChar w:fldCharType="separate"/>
      </w:r>
      <w:r>
        <w:rPr>
          <w:rStyle w:val="58"/>
          <w:rFonts w:ascii="Symbol" w:hAnsi="Symbol" w:eastAsia="等线"/>
        </w:rPr>
        <w:t></w:t>
      </w:r>
      <w:r>
        <w:rPr>
          <w:rFonts w:eastAsiaTheme="minorEastAsia"/>
          <w:b w:val="0"/>
        </w:rPr>
        <w:tab/>
      </w:r>
      <w:r>
        <w:rPr>
          <w:rStyle w:val="58"/>
        </w:rPr>
        <w:t>Details of how to associate the Rel-19 timing information with virtual LOS is up to RAN2/3, e.g. indication in measurement report, or configuration in measurement request.</w:t>
      </w:r>
      <w:r>
        <w:rPr>
          <w:rStyle w:val="58"/>
        </w:rPr>
        <w:fldChar w:fldCharType="end"/>
      </w:r>
    </w:p>
    <w:p w14:paraId="5923BCD5">
      <w:pPr>
        <w:pStyle w:val="44"/>
        <w:tabs>
          <w:tab w:val="right" w:leader="dot" w:pos="9962"/>
        </w:tabs>
        <w:rPr>
          <w:rFonts w:eastAsiaTheme="minorEastAsia"/>
          <w:b w:val="0"/>
        </w:rPr>
      </w:pPr>
      <w:r>
        <w:fldChar w:fldCharType="begin"/>
      </w:r>
      <w:r>
        <w:instrText xml:space="preserve"> HYPERLINK \l "_Toc189845128" </w:instrText>
      </w:r>
      <w:r>
        <w:fldChar w:fldCharType="separate"/>
      </w:r>
      <w:r>
        <w:rPr>
          <w:rStyle w:val="58"/>
        </w:rPr>
        <w:t>Proposal 26</w:t>
      </w:r>
      <w:r>
        <w:rPr>
          <w:rFonts w:eastAsiaTheme="minorEastAsia"/>
          <w:b w:val="0"/>
        </w:rPr>
        <w:tab/>
      </w:r>
      <w:r>
        <w:rPr>
          <w:rStyle w:val="58"/>
        </w:rPr>
        <w:t>Reuse the existing measurement reporting in LPP and NRPPa to report timing information for the model output of AI/ML assisted positioning.</w:t>
      </w:r>
      <w:r>
        <w:rPr>
          <w:rStyle w:val="58"/>
        </w:rPr>
        <w:fldChar w:fldCharType="end"/>
      </w:r>
    </w:p>
    <w:p w14:paraId="4B100B13">
      <w:pPr>
        <w:pStyle w:val="44"/>
        <w:tabs>
          <w:tab w:val="right" w:leader="dot" w:pos="9962"/>
        </w:tabs>
        <w:rPr>
          <w:rFonts w:eastAsiaTheme="minorEastAsia"/>
          <w:b w:val="0"/>
        </w:rPr>
      </w:pPr>
      <w:r>
        <w:fldChar w:fldCharType="begin"/>
      </w:r>
      <w:r>
        <w:instrText xml:space="preserve"> HYPERLINK \l "_Toc189845129" </w:instrText>
      </w:r>
      <w:r>
        <w:fldChar w:fldCharType="separate"/>
      </w:r>
      <w:r>
        <w:rPr>
          <w:rStyle w:val="58"/>
        </w:rPr>
        <w:t>Proposal 27</w:t>
      </w:r>
      <w:r>
        <w:rPr>
          <w:rFonts w:eastAsiaTheme="minorEastAsia"/>
          <w:b w:val="0"/>
        </w:rPr>
        <w:tab/>
      </w:r>
      <w:r>
        <w:rPr>
          <w:rStyle w:val="58"/>
        </w:rPr>
        <w:t>For AI/ML assisted positioning at gNB (Case 3a), the model output is uplink relative time of arrival (</w:t>
      </w:r>
      <w:r>
        <w:rPr>
          <w:rStyle w:val="58"/>
          <w:rFonts w:cs="Arial"/>
          <w:lang w:eastAsia="en-GB"/>
        </w:rPr>
        <w:t>T</w:t>
      </w:r>
      <w:r>
        <w:rPr>
          <w:rStyle w:val="58"/>
          <w:rFonts w:cs="Arial"/>
          <w:vertAlign w:val="subscript"/>
          <w:lang w:eastAsia="en-GB"/>
        </w:rPr>
        <w:t>UL-RTOA</w:t>
      </w:r>
      <w:r>
        <w:rPr>
          <w:rStyle w:val="58"/>
        </w:rPr>
        <w:t>).</w:t>
      </w:r>
      <w:r>
        <w:rPr>
          <w:rStyle w:val="58"/>
        </w:rPr>
        <w:fldChar w:fldCharType="end"/>
      </w:r>
    </w:p>
    <w:p w14:paraId="4185AD9F">
      <w:pPr>
        <w:pStyle w:val="44"/>
        <w:tabs>
          <w:tab w:val="right" w:leader="dot" w:pos="9962"/>
        </w:tabs>
        <w:rPr>
          <w:rFonts w:eastAsiaTheme="minorEastAsia"/>
          <w:b w:val="0"/>
        </w:rPr>
      </w:pPr>
      <w:r>
        <w:fldChar w:fldCharType="begin"/>
      </w:r>
      <w:r>
        <w:instrText xml:space="preserve"> HYPERLINK \l "_Toc189845130" </w:instrText>
      </w:r>
      <w:r>
        <w:fldChar w:fldCharType="separate"/>
      </w:r>
      <w:r>
        <w:rPr>
          <w:rStyle w:val="58"/>
          <w:rFonts w:ascii="Calibri" w:hAnsi="Calibri"/>
        </w:rPr>
        <w:t>Proposal 28</w:t>
      </w:r>
      <w:r>
        <w:rPr>
          <w:rFonts w:eastAsiaTheme="minorEastAsia"/>
          <w:b w:val="0"/>
        </w:rPr>
        <w:tab/>
      </w:r>
      <w:r>
        <w:rPr>
          <w:rStyle w:val="58"/>
        </w:rPr>
        <w:t>For AI/ML assisted positioning at gNB (Case 3a), postprocessing is applied to generate gNB RxTxTimeDiff for measurement reporting of multi-RTT method.</w:t>
      </w:r>
      <w:r>
        <w:rPr>
          <w:rStyle w:val="58"/>
        </w:rPr>
        <w:fldChar w:fldCharType="end"/>
      </w:r>
    </w:p>
    <w:p w14:paraId="40627ECF">
      <w:pPr>
        <w:pStyle w:val="44"/>
        <w:tabs>
          <w:tab w:val="right" w:leader="dot" w:pos="9962"/>
        </w:tabs>
        <w:rPr>
          <w:rFonts w:eastAsiaTheme="minorEastAsia"/>
          <w:b w:val="0"/>
        </w:rPr>
      </w:pPr>
      <w:r>
        <w:fldChar w:fldCharType="begin"/>
      </w:r>
      <w:r>
        <w:instrText xml:space="preserve"> HYPERLINK \l "_Toc189845131" </w:instrText>
      </w:r>
      <w:r>
        <w:fldChar w:fldCharType="separate"/>
      </w:r>
      <w:r>
        <w:rPr>
          <w:rStyle w:val="58"/>
        </w:rPr>
        <w:t>Proposal 29</w:t>
      </w:r>
      <w:r>
        <w:rPr>
          <w:rFonts w:eastAsiaTheme="minorEastAsia"/>
          <w:b w:val="0"/>
        </w:rPr>
        <w:tab/>
      </w:r>
      <w:r>
        <w:rPr>
          <w:rStyle w:val="58"/>
        </w:rPr>
        <w:t>For AI/ML assisted positioning at gNB (Case 3a) and UE (Case 2a), the measurement report contains an indicator that AI/ML is used to produce the measurements. The signaling details are up to RAN3/RAN2.</w:t>
      </w:r>
      <w:r>
        <w:rPr>
          <w:rStyle w:val="58"/>
        </w:rPr>
        <w:fldChar w:fldCharType="end"/>
      </w:r>
    </w:p>
    <w:p w14:paraId="1DA7A112">
      <w:pPr>
        <w:pStyle w:val="44"/>
        <w:tabs>
          <w:tab w:val="right" w:leader="dot" w:pos="9962"/>
        </w:tabs>
        <w:rPr>
          <w:rFonts w:eastAsiaTheme="minorEastAsia"/>
          <w:b w:val="0"/>
        </w:rPr>
      </w:pPr>
      <w:r>
        <w:fldChar w:fldCharType="begin"/>
      </w:r>
      <w:r>
        <w:instrText xml:space="preserve"> HYPERLINK \l "_Toc189845132" </w:instrText>
      </w:r>
      <w:r>
        <w:fldChar w:fldCharType="separate"/>
      </w:r>
      <w:r>
        <w:rPr>
          <w:rStyle w:val="58"/>
        </w:rPr>
        <w:t>Proposal 30</w:t>
      </w:r>
      <w:r>
        <w:rPr>
          <w:rFonts w:eastAsiaTheme="minorEastAsia"/>
          <w:b w:val="0"/>
        </w:rPr>
        <w:tab/>
      </w:r>
      <w:r>
        <w:rPr>
          <w:rStyle w:val="58"/>
        </w:rPr>
        <w:t>For Rel-19 AI/ML based positioning, support collecting labelled and optionally un-labelled training data samples.</w:t>
      </w:r>
      <w:r>
        <w:rPr>
          <w:rStyle w:val="58"/>
        </w:rPr>
        <w:fldChar w:fldCharType="end"/>
      </w:r>
    </w:p>
    <w:p w14:paraId="42DAE929">
      <w:pPr>
        <w:pStyle w:val="44"/>
        <w:tabs>
          <w:tab w:val="right" w:leader="dot" w:pos="9962"/>
        </w:tabs>
        <w:rPr>
          <w:rFonts w:eastAsiaTheme="minorEastAsia"/>
          <w:b w:val="0"/>
        </w:rPr>
      </w:pPr>
      <w:r>
        <w:fldChar w:fldCharType="begin"/>
      </w:r>
      <w:r>
        <w:instrText xml:space="preserve"> HYPERLINK \l "_Toc189845133" </w:instrText>
      </w:r>
      <w:r>
        <w:fldChar w:fldCharType="separate"/>
      </w:r>
      <w:r>
        <w:rPr>
          <w:rStyle w:val="58"/>
        </w:rPr>
        <w:t>Proposal 31</w:t>
      </w:r>
      <w:r>
        <w:rPr>
          <w:rFonts w:eastAsiaTheme="minorEastAsia"/>
          <w:b w:val="0"/>
        </w:rPr>
        <w:tab/>
      </w:r>
      <w:r>
        <w:rPr>
          <w:rStyle w:val="58"/>
        </w:rPr>
        <w:t>For training data collection of AI/ML based positioning, for both Part A and Part B, time stamp is mandatorily provided by the training data generation entity.</w:t>
      </w:r>
      <w:r>
        <w:rPr>
          <w:rStyle w:val="58"/>
        </w:rPr>
        <w:fldChar w:fldCharType="end"/>
      </w:r>
    </w:p>
    <w:p w14:paraId="632F9785">
      <w:pPr>
        <w:pStyle w:val="44"/>
        <w:tabs>
          <w:tab w:val="right" w:leader="dot" w:pos="9962"/>
        </w:tabs>
        <w:rPr>
          <w:rFonts w:eastAsiaTheme="minorEastAsia"/>
          <w:b w:val="0"/>
        </w:rPr>
      </w:pPr>
      <w:r>
        <w:fldChar w:fldCharType="begin"/>
      </w:r>
      <w:r>
        <w:instrText xml:space="preserve"> HYPERLINK \l "_Toc189845134" </w:instrText>
      </w:r>
      <w:r>
        <w:fldChar w:fldCharType="separate"/>
      </w:r>
      <w:r>
        <w:rPr>
          <w:rStyle w:val="58"/>
        </w:rPr>
        <w:t>Proposal 32</w:t>
      </w:r>
      <w:r>
        <w:rPr>
          <w:rFonts w:eastAsiaTheme="minorEastAsia"/>
          <w:b w:val="0"/>
        </w:rPr>
        <w:tab/>
      </w:r>
      <w:r>
        <w:rPr>
          <w:rStyle w:val="58"/>
        </w:rPr>
        <w:t>For training data collection of AI/ML based positioning, the time stamp should allow unambiguous mapping between Part A and Part B.</w:t>
      </w:r>
      <w:r>
        <w:rPr>
          <w:rStyle w:val="58"/>
        </w:rPr>
        <w:fldChar w:fldCharType="end"/>
      </w:r>
    </w:p>
    <w:p w14:paraId="33D4AA0D">
      <w:pPr>
        <w:pStyle w:val="44"/>
        <w:tabs>
          <w:tab w:val="right" w:leader="dot" w:pos="9962"/>
        </w:tabs>
        <w:rPr>
          <w:rFonts w:eastAsiaTheme="minorEastAsia"/>
          <w:b w:val="0"/>
        </w:rPr>
      </w:pPr>
      <w:r>
        <w:fldChar w:fldCharType="begin"/>
      </w:r>
      <w:r>
        <w:instrText xml:space="preserve"> HYPERLINK \l "_Toc189845135" </w:instrText>
      </w:r>
      <w:r>
        <w:fldChar w:fldCharType="separate"/>
      </w:r>
      <w:r>
        <w:rPr>
          <w:rStyle w:val="58"/>
          <w:rFonts w:ascii="Symbol" w:hAnsi="Symbol"/>
        </w:rPr>
        <w:t></w:t>
      </w:r>
      <w:r>
        <w:rPr>
          <w:rFonts w:eastAsiaTheme="minorEastAsia"/>
          <w:b w:val="0"/>
        </w:rPr>
        <w:tab/>
      </w:r>
      <w:r>
        <w:rPr>
          <w:rStyle w:val="58"/>
        </w:rPr>
        <w:t>For channel measurement generated by TRP/gNB, at least when measurement periodicity exceeds the SFN/slot wrap around time (10.24 sec), field “Measurement time” is included in the time stamp.</w:t>
      </w:r>
      <w:r>
        <w:rPr>
          <w:rStyle w:val="58"/>
        </w:rPr>
        <w:fldChar w:fldCharType="end"/>
      </w:r>
    </w:p>
    <w:p w14:paraId="008C7B4F">
      <w:pPr>
        <w:pStyle w:val="44"/>
        <w:tabs>
          <w:tab w:val="right" w:leader="dot" w:pos="9962"/>
        </w:tabs>
        <w:rPr>
          <w:rFonts w:eastAsiaTheme="minorEastAsia"/>
          <w:b w:val="0"/>
        </w:rPr>
      </w:pPr>
      <w:r>
        <w:fldChar w:fldCharType="begin"/>
      </w:r>
      <w:r>
        <w:instrText xml:space="preserve"> HYPERLINK \l "_Toc189845136" </w:instrText>
      </w:r>
      <w:r>
        <w:fldChar w:fldCharType="separate"/>
      </w:r>
      <w:r>
        <w:rPr>
          <w:rStyle w:val="58"/>
          <w:rFonts w:ascii="Symbol" w:hAnsi="Symbol"/>
          <w:lang w:eastAsia="zh-CN"/>
        </w:rPr>
        <w:t></w:t>
      </w:r>
      <w:r>
        <w:rPr>
          <w:rFonts w:eastAsiaTheme="minorEastAsia"/>
          <w:b w:val="0"/>
        </w:rPr>
        <w:tab/>
      </w:r>
      <w:r>
        <w:rPr>
          <w:rStyle w:val="58"/>
          <w:lang w:eastAsia="zh-CN"/>
        </w:rPr>
        <w:t xml:space="preserve">For </w:t>
      </w:r>
      <w:r>
        <w:rPr>
          <w:rStyle w:val="58"/>
        </w:rPr>
        <w:t xml:space="preserve">channel measurement and </w:t>
      </w:r>
      <w:r>
        <w:rPr>
          <w:rStyle w:val="58"/>
          <w:lang w:eastAsia="zh-CN"/>
        </w:rPr>
        <w:t>label generated by PRU or non-PRU UE, UTC Time (e.g., for utc-time-r16) is included in the time stamp.</w:t>
      </w:r>
      <w:r>
        <w:rPr>
          <w:rStyle w:val="58"/>
          <w:lang w:eastAsia="zh-CN"/>
        </w:rPr>
        <w:fldChar w:fldCharType="end"/>
      </w:r>
    </w:p>
    <w:p w14:paraId="28633D39">
      <w:pPr>
        <w:pStyle w:val="44"/>
        <w:tabs>
          <w:tab w:val="right" w:leader="dot" w:pos="9962"/>
        </w:tabs>
        <w:rPr>
          <w:rFonts w:eastAsiaTheme="minorEastAsia"/>
          <w:b w:val="0"/>
        </w:rPr>
      </w:pPr>
      <w:r>
        <w:fldChar w:fldCharType="begin"/>
      </w:r>
      <w:r>
        <w:instrText xml:space="preserve"> HYPERLINK \l "_Toc189845137" </w:instrText>
      </w:r>
      <w:r>
        <w:fldChar w:fldCharType="separate"/>
      </w:r>
      <w:r>
        <w:rPr>
          <w:rStyle w:val="58"/>
          <w:rFonts w:ascii="Symbol" w:hAnsi="Symbol"/>
        </w:rPr>
        <w:t></w:t>
      </w:r>
      <w:r>
        <w:rPr>
          <w:rFonts w:eastAsiaTheme="minorEastAsia"/>
          <w:b w:val="0"/>
        </w:rPr>
        <w:tab/>
      </w:r>
      <w:r>
        <w:rPr>
          <w:rStyle w:val="58"/>
        </w:rPr>
        <w:t>Exactly how to specify time stamp for Part A and Part B is up to RAN2/RAN3.</w:t>
      </w:r>
      <w:r>
        <w:rPr>
          <w:rStyle w:val="58"/>
        </w:rPr>
        <w:fldChar w:fldCharType="end"/>
      </w:r>
    </w:p>
    <w:p w14:paraId="02307E0B">
      <w:pPr>
        <w:pStyle w:val="44"/>
        <w:tabs>
          <w:tab w:val="right" w:leader="dot" w:pos="9962"/>
        </w:tabs>
        <w:rPr>
          <w:rFonts w:eastAsiaTheme="minorEastAsia"/>
          <w:b w:val="0"/>
        </w:rPr>
      </w:pPr>
      <w:r>
        <w:fldChar w:fldCharType="begin"/>
      </w:r>
      <w:r>
        <w:instrText xml:space="preserve"> HYPERLINK \l "_Toc189845138" </w:instrText>
      </w:r>
      <w:r>
        <w:fldChar w:fldCharType="separate"/>
      </w:r>
      <w:r>
        <w:rPr>
          <w:rStyle w:val="58"/>
        </w:rPr>
        <w:t>Proposal 33</w:t>
      </w:r>
      <w:r>
        <w:rPr>
          <w:rFonts w:eastAsiaTheme="minorEastAsia"/>
          <w:b w:val="0"/>
        </w:rPr>
        <w:tab/>
      </w:r>
      <w:r>
        <w:rPr>
          <w:rStyle w:val="58"/>
        </w:rPr>
        <w:t>From RAN1 perspective, the existing IEs and their associated granularities can be reused for time stamp of Part A and Part B. It is acceptable to have different time stamp granularity for Part A and Part B. There is no need for RAN1 to discuss how to perform the pairing using the time stamps.</w:t>
      </w:r>
      <w:r>
        <w:rPr>
          <w:rStyle w:val="58"/>
        </w:rPr>
        <w:fldChar w:fldCharType="end"/>
      </w:r>
    </w:p>
    <w:p w14:paraId="19600BCE">
      <w:pPr>
        <w:pStyle w:val="44"/>
        <w:tabs>
          <w:tab w:val="right" w:leader="dot" w:pos="9962"/>
        </w:tabs>
        <w:rPr>
          <w:rFonts w:eastAsiaTheme="minorEastAsia"/>
          <w:b w:val="0"/>
        </w:rPr>
      </w:pPr>
      <w:r>
        <w:fldChar w:fldCharType="begin"/>
      </w:r>
      <w:r>
        <w:instrText xml:space="preserve"> HYPERLINK \l "_Toc189845139" </w:instrText>
      </w:r>
      <w:r>
        <w:fldChar w:fldCharType="separate"/>
      </w:r>
      <w:r>
        <w:rPr>
          <w:rStyle w:val="58"/>
        </w:rPr>
        <w:t>Proposal 34</w:t>
      </w:r>
      <w:r>
        <w:rPr>
          <w:rFonts w:eastAsiaTheme="minorEastAsia"/>
          <w:b w:val="0"/>
        </w:rPr>
        <w:tab/>
      </w:r>
      <w:r>
        <w:rPr>
          <w:rStyle w:val="58"/>
        </w:rPr>
        <w:t>RAN1 does not need to discuss further signalling to enable Part A data collection.  Measurement reporting is jointly discussed for training data collection and inference.</w:t>
      </w:r>
      <w:r>
        <w:rPr>
          <w:rStyle w:val="58"/>
        </w:rPr>
        <w:fldChar w:fldCharType="end"/>
      </w:r>
    </w:p>
    <w:p w14:paraId="14B1A895">
      <w:pPr>
        <w:pStyle w:val="44"/>
        <w:tabs>
          <w:tab w:val="right" w:leader="dot" w:pos="9962"/>
        </w:tabs>
        <w:rPr>
          <w:rFonts w:eastAsiaTheme="minorEastAsia"/>
          <w:b w:val="0"/>
        </w:rPr>
      </w:pPr>
      <w:r>
        <w:fldChar w:fldCharType="begin"/>
      </w:r>
      <w:r>
        <w:instrText xml:space="preserve"> HYPERLINK \l "_Toc189845140" </w:instrText>
      </w:r>
      <w:r>
        <w:fldChar w:fldCharType="separate"/>
      </w:r>
      <w:r>
        <w:rPr>
          <w:rStyle w:val="58"/>
        </w:rPr>
        <w:t>Proposal 35</w:t>
      </w:r>
      <w:r>
        <w:rPr>
          <w:rFonts w:eastAsiaTheme="minorEastAsia"/>
          <w:b w:val="0"/>
        </w:rPr>
        <w:tab/>
      </w:r>
      <w:r>
        <w:rPr>
          <w:rStyle w:val="58"/>
        </w:rPr>
        <w:t>For training data collection in all cases, a power quality is provided for the entire PDP measurement in Part A in units of dB. The candidate resolution includes 0.1 dB and 1 dB.</w:t>
      </w:r>
      <w:r>
        <w:rPr>
          <w:rStyle w:val="58"/>
        </w:rPr>
        <w:fldChar w:fldCharType="end"/>
      </w:r>
    </w:p>
    <w:p w14:paraId="7E9D1A94">
      <w:pPr>
        <w:pStyle w:val="44"/>
        <w:tabs>
          <w:tab w:val="right" w:leader="dot" w:pos="9962"/>
        </w:tabs>
        <w:rPr>
          <w:rFonts w:eastAsiaTheme="minorEastAsia"/>
          <w:b w:val="0"/>
        </w:rPr>
      </w:pPr>
      <w:r>
        <w:fldChar w:fldCharType="begin"/>
      </w:r>
      <w:r>
        <w:instrText xml:space="preserve"> HYPERLINK \l "_Toc189845141" </w:instrText>
      </w:r>
      <w:r>
        <w:fldChar w:fldCharType="separate"/>
      </w:r>
      <w:r>
        <w:rPr>
          <w:rStyle w:val="58"/>
        </w:rPr>
        <w:t>Proposal 36</w:t>
      </w:r>
      <w:r>
        <w:rPr>
          <w:rFonts w:eastAsiaTheme="minorEastAsia"/>
          <w:b w:val="0"/>
        </w:rPr>
        <w:tab/>
      </w:r>
      <w:r>
        <w:rPr>
          <w:rStyle w:val="58"/>
        </w:rPr>
        <w:t>Confirm the existing WAs on label generation for all cases and send the agreements to RAN2.</w:t>
      </w:r>
      <w:r>
        <w:rPr>
          <w:rStyle w:val="58"/>
        </w:rPr>
        <w:fldChar w:fldCharType="end"/>
      </w:r>
    </w:p>
    <w:p w14:paraId="6C119C08">
      <w:pPr>
        <w:pStyle w:val="44"/>
        <w:tabs>
          <w:tab w:val="right" w:leader="dot" w:pos="9962"/>
        </w:tabs>
        <w:rPr>
          <w:rFonts w:eastAsiaTheme="minorEastAsia"/>
          <w:b w:val="0"/>
        </w:rPr>
      </w:pPr>
      <w:r>
        <w:fldChar w:fldCharType="begin"/>
      </w:r>
      <w:r>
        <w:instrText xml:space="preserve"> HYPERLINK \l "_Toc189845142" </w:instrText>
      </w:r>
      <w:r>
        <w:fldChar w:fldCharType="separate"/>
      </w:r>
      <w:r>
        <w:rPr>
          <w:rStyle w:val="58"/>
        </w:rPr>
        <w:t>Proposal 37</w:t>
      </w:r>
      <w:r>
        <w:rPr>
          <w:rFonts w:eastAsiaTheme="minorEastAsia"/>
          <w:b w:val="0"/>
        </w:rPr>
        <w:tab/>
      </w:r>
      <w:r>
        <w:rPr>
          <w:rStyle w:val="58"/>
        </w:rPr>
        <w:t>For training data collection Part B, support only ground truth labels in the format of UE location coordinates (x, y, z).</w:t>
      </w:r>
      <w:r>
        <w:rPr>
          <w:rStyle w:val="58"/>
        </w:rPr>
        <w:fldChar w:fldCharType="end"/>
      </w:r>
    </w:p>
    <w:p w14:paraId="7A9BD5AA">
      <w:pPr>
        <w:pStyle w:val="44"/>
        <w:tabs>
          <w:tab w:val="right" w:leader="dot" w:pos="9962"/>
        </w:tabs>
        <w:rPr>
          <w:rFonts w:eastAsiaTheme="minorEastAsia"/>
          <w:b w:val="0"/>
        </w:rPr>
      </w:pPr>
      <w:r>
        <w:fldChar w:fldCharType="begin"/>
      </w:r>
      <w:r>
        <w:instrText xml:space="preserve"> HYPERLINK \l "_Toc189845143" </w:instrText>
      </w:r>
      <w:r>
        <w:fldChar w:fldCharType="separate"/>
      </w:r>
      <w:r>
        <w:rPr>
          <w:rStyle w:val="58"/>
        </w:rPr>
        <w:t>Proposal 38</w:t>
      </w:r>
      <w:r>
        <w:rPr>
          <w:rFonts w:eastAsiaTheme="minorEastAsia"/>
          <w:b w:val="0"/>
        </w:rPr>
        <w:tab/>
      </w:r>
      <w:r>
        <w:rPr>
          <w:rStyle w:val="58"/>
        </w:rPr>
        <w:t>From RAN1 perspective, the same label (UE location) and label quality (UE location uncertainty) are collected, irrespective of the type of model architecture (e.g., assisted or direct positioning) that may be selected by the model training entity.</w:t>
      </w:r>
      <w:r>
        <w:rPr>
          <w:rStyle w:val="58"/>
        </w:rPr>
        <w:fldChar w:fldCharType="end"/>
      </w:r>
    </w:p>
    <w:p w14:paraId="4760D737">
      <w:pPr>
        <w:pStyle w:val="44"/>
        <w:tabs>
          <w:tab w:val="right" w:leader="dot" w:pos="9962"/>
        </w:tabs>
        <w:rPr>
          <w:rFonts w:eastAsiaTheme="minorEastAsia"/>
          <w:b w:val="0"/>
        </w:rPr>
      </w:pPr>
      <w:r>
        <w:fldChar w:fldCharType="begin"/>
      </w:r>
      <w:r>
        <w:instrText xml:space="preserve"> HYPERLINK \l "_Toc189845144" </w:instrText>
      </w:r>
      <w:r>
        <w:fldChar w:fldCharType="separate"/>
      </w:r>
      <w:r>
        <w:rPr>
          <w:rStyle w:val="58"/>
        </w:rPr>
        <w:t>Proposal 39</w:t>
      </w:r>
      <w:r>
        <w:rPr>
          <w:rFonts w:eastAsiaTheme="minorEastAsia"/>
          <w:b w:val="0"/>
        </w:rPr>
        <w:tab/>
      </w:r>
      <w:r>
        <w:rPr>
          <w:rStyle w:val="58"/>
        </w:rPr>
        <w:t>For training data collection, the label quality for Part B reuse the existing IEs for indicating UE location quality. From RAN1 perspective, the existing IE can use one of the geographic shapes defined in TS 23.032. The uncertainty and confidence serve as quality indicator of the label.</w:t>
      </w:r>
      <w:r>
        <w:rPr>
          <w:rStyle w:val="58"/>
        </w:rPr>
        <w:fldChar w:fldCharType="end"/>
      </w:r>
    </w:p>
    <w:p w14:paraId="692D2794">
      <w:pPr>
        <w:pStyle w:val="44"/>
        <w:tabs>
          <w:tab w:val="right" w:leader="dot" w:pos="9962"/>
        </w:tabs>
        <w:rPr>
          <w:rFonts w:eastAsiaTheme="minorEastAsia"/>
          <w:b w:val="0"/>
        </w:rPr>
      </w:pPr>
      <w:r>
        <w:fldChar w:fldCharType="begin"/>
      </w:r>
      <w:r>
        <w:instrText xml:space="preserve"> HYPERLINK \l "_Toc189845145" </w:instrText>
      </w:r>
      <w:r>
        <w:fldChar w:fldCharType="separate"/>
      </w:r>
      <w:r>
        <w:rPr>
          <w:rStyle w:val="58"/>
        </w:rPr>
        <w:t>Proposal 40</w:t>
      </w:r>
      <w:r>
        <w:rPr>
          <w:rFonts w:eastAsiaTheme="minorEastAsia"/>
          <w:b w:val="0"/>
        </w:rPr>
        <w:tab/>
      </w:r>
      <w:r>
        <w:rPr>
          <w:rStyle w:val="58"/>
        </w:rPr>
        <w:t>A label provided by a LMF, PRU, or non-PRU UE can be attached with one or more time stamp, or a span of time stamps, for which the label is valid.</w:t>
      </w:r>
      <w:r>
        <w:rPr>
          <w:rStyle w:val="58"/>
        </w:rPr>
        <w:fldChar w:fldCharType="end"/>
      </w:r>
    </w:p>
    <w:p w14:paraId="0454475D">
      <w:pPr>
        <w:pStyle w:val="44"/>
        <w:tabs>
          <w:tab w:val="right" w:leader="dot" w:pos="9962"/>
        </w:tabs>
        <w:rPr>
          <w:rFonts w:eastAsiaTheme="minorEastAsia"/>
          <w:b w:val="0"/>
        </w:rPr>
      </w:pPr>
      <w:r>
        <w:fldChar w:fldCharType="begin"/>
      </w:r>
      <w:r>
        <w:instrText xml:space="preserve"> HYPERLINK \l "_Toc189845146" </w:instrText>
      </w:r>
      <w:r>
        <w:fldChar w:fldCharType="separate"/>
      </w:r>
      <w:r>
        <w:rPr>
          <w:rStyle w:val="58"/>
        </w:rPr>
        <w:t>Proposal 41</w:t>
      </w:r>
      <w:r>
        <w:rPr>
          <w:rFonts w:eastAsiaTheme="minorEastAsia"/>
          <w:b w:val="0"/>
        </w:rPr>
        <w:tab/>
      </w:r>
      <w:r>
        <w:rPr>
          <w:rStyle w:val="58"/>
        </w:rPr>
        <w:t>Send an LS to RAN2 and RAN3 requesting to investigate how Part A and Part B can be matched to the same UE for Case 1/3a/3b.</w:t>
      </w:r>
      <w:r>
        <w:rPr>
          <w:rStyle w:val="58"/>
        </w:rPr>
        <w:fldChar w:fldCharType="end"/>
      </w:r>
    </w:p>
    <w:p w14:paraId="30427229">
      <w:pPr>
        <w:pStyle w:val="44"/>
        <w:tabs>
          <w:tab w:val="right" w:leader="dot" w:pos="9962"/>
        </w:tabs>
        <w:rPr>
          <w:rFonts w:eastAsiaTheme="minorEastAsia"/>
          <w:b w:val="0"/>
        </w:rPr>
      </w:pPr>
      <w:r>
        <w:fldChar w:fldCharType="begin"/>
      </w:r>
      <w:r>
        <w:instrText xml:space="preserve"> HYPERLINK \l "_Toc189845147" </w:instrText>
      </w:r>
      <w:r>
        <w:fldChar w:fldCharType="separate"/>
      </w:r>
      <w:r>
        <w:rPr>
          <w:rStyle w:val="58"/>
        </w:rPr>
        <w:t>Proposal 42</w:t>
      </w:r>
      <w:r>
        <w:rPr>
          <w:rFonts w:eastAsiaTheme="minorEastAsia"/>
          <w:b w:val="0"/>
        </w:rPr>
        <w:tab/>
      </w:r>
      <w:r>
        <w:rPr>
          <w:rStyle w:val="58"/>
        </w:rPr>
        <w:t>The training dataset is attached with metadata which describes the context information on the set of collected training data samples.</w:t>
      </w:r>
      <w:r>
        <w:rPr>
          <w:rStyle w:val="58"/>
        </w:rPr>
        <w:fldChar w:fldCharType="end"/>
      </w:r>
    </w:p>
    <w:p w14:paraId="00224B4A">
      <w:pPr>
        <w:pStyle w:val="44"/>
        <w:tabs>
          <w:tab w:val="right" w:leader="dot" w:pos="9962"/>
        </w:tabs>
        <w:rPr>
          <w:rFonts w:eastAsiaTheme="minorEastAsia"/>
          <w:b w:val="0"/>
        </w:rPr>
      </w:pPr>
      <w:r>
        <w:fldChar w:fldCharType="begin"/>
      </w:r>
      <w:r>
        <w:instrText xml:space="preserve"> HYPERLINK \l "_Toc189845148" </w:instrText>
      </w:r>
      <w:r>
        <w:fldChar w:fldCharType="separate"/>
      </w:r>
      <w:r>
        <w:rPr>
          <w:rStyle w:val="58"/>
        </w:rPr>
        <w:t>Proposal 43</w:t>
      </w:r>
      <w:r>
        <w:rPr>
          <w:rFonts w:eastAsiaTheme="minorEastAsia"/>
          <w:b w:val="0"/>
        </w:rPr>
        <w:tab/>
      </w:r>
      <w:r>
        <w:rPr>
          <w:rStyle w:val="58"/>
        </w:rPr>
        <w:t>For training data collection of Part A, the metadata includes: Group 1 for assistance data, Group 2 for signal measurement configuration, and Group 3 for measurement environment condition and quality.</w:t>
      </w:r>
      <w:r>
        <w:rPr>
          <w:rStyle w:val="58"/>
        </w:rPr>
        <w:fldChar w:fldCharType="end"/>
      </w:r>
    </w:p>
    <w:p w14:paraId="3EAF18CB">
      <w:pPr>
        <w:pStyle w:val="44"/>
        <w:tabs>
          <w:tab w:val="right" w:leader="dot" w:pos="9962"/>
        </w:tabs>
        <w:rPr>
          <w:rFonts w:eastAsiaTheme="minorEastAsia"/>
          <w:b w:val="0"/>
        </w:rPr>
      </w:pPr>
      <w:r>
        <w:fldChar w:fldCharType="begin"/>
      </w:r>
      <w:r>
        <w:instrText xml:space="preserve"> HYPERLINK \l "_Toc189845149" </w:instrText>
      </w:r>
      <w:r>
        <w:fldChar w:fldCharType="separate"/>
      </w:r>
      <w:r>
        <w:rPr>
          <w:rStyle w:val="58"/>
        </w:rPr>
        <w:t>Proposal 44</w:t>
      </w:r>
      <w:r>
        <w:rPr>
          <w:rFonts w:eastAsiaTheme="minorEastAsia"/>
          <w:b w:val="0"/>
        </w:rPr>
        <w:tab/>
      </w:r>
      <w:r>
        <w:rPr>
          <w:rStyle w:val="58"/>
        </w:rPr>
        <w:t>RAN1 to study the details of Group 3 metadata to attach to training dataset, including:</w:t>
      </w:r>
      <w:r>
        <w:rPr>
          <w:rStyle w:val="58"/>
        </w:rPr>
        <w:fldChar w:fldCharType="end"/>
      </w:r>
    </w:p>
    <w:p w14:paraId="5E570574">
      <w:pPr>
        <w:pStyle w:val="44"/>
        <w:tabs>
          <w:tab w:val="right" w:leader="dot" w:pos="9962"/>
        </w:tabs>
        <w:rPr>
          <w:rFonts w:eastAsiaTheme="minorEastAsia"/>
          <w:b w:val="0"/>
        </w:rPr>
      </w:pPr>
      <w:r>
        <w:fldChar w:fldCharType="begin"/>
      </w:r>
      <w:r>
        <w:instrText xml:space="preserve"> HYPERLINK \l "_Toc189845150" </w:instrText>
      </w:r>
      <w:r>
        <w:fldChar w:fldCharType="separate"/>
      </w:r>
      <w:r>
        <w:rPr>
          <w:rStyle w:val="58"/>
          <w:rFonts w:ascii="Symbol" w:hAnsi="Symbol"/>
        </w:rPr>
        <w:t></w:t>
      </w:r>
      <w:r>
        <w:rPr>
          <w:rFonts w:eastAsiaTheme="minorEastAsia"/>
          <w:b w:val="0"/>
        </w:rPr>
        <w:tab/>
      </w:r>
      <w:r>
        <w:rPr>
          <w:rStyle w:val="58"/>
        </w:rPr>
        <w:t>Range of SNR/SINR</w:t>
      </w:r>
      <w:r>
        <w:rPr>
          <w:rStyle w:val="58"/>
        </w:rPr>
        <w:fldChar w:fldCharType="end"/>
      </w:r>
    </w:p>
    <w:p w14:paraId="4B7915F8">
      <w:pPr>
        <w:pStyle w:val="44"/>
        <w:tabs>
          <w:tab w:val="right" w:leader="dot" w:pos="9962"/>
        </w:tabs>
        <w:rPr>
          <w:rFonts w:eastAsiaTheme="minorEastAsia"/>
          <w:b w:val="0"/>
        </w:rPr>
      </w:pPr>
      <w:r>
        <w:fldChar w:fldCharType="begin"/>
      </w:r>
      <w:r>
        <w:instrText xml:space="preserve"> HYPERLINK \l "_Toc189845151" </w:instrText>
      </w:r>
      <w:r>
        <w:fldChar w:fldCharType="separate"/>
      </w:r>
      <w:r>
        <w:rPr>
          <w:rStyle w:val="58"/>
          <w:rFonts w:ascii="Symbol" w:hAnsi="Symbol"/>
        </w:rPr>
        <w:t></w:t>
      </w:r>
      <w:r>
        <w:rPr>
          <w:rFonts w:eastAsiaTheme="minorEastAsia"/>
          <w:b w:val="0"/>
        </w:rPr>
        <w:tab/>
      </w:r>
      <w:r>
        <w:rPr>
          <w:rStyle w:val="58"/>
        </w:rPr>
        <w:t>Range of Channel estimation error</w:t>
      </w:r>
      <w:r>
        <w:rPr>
          <w:rStyle w:val="58"/>
        </w:rPr>
        <w:fldChar w:fldCharType="end"/>
      </w:r>
    </w:p>
    <w:p w14:paraId="7F4CBB55">
      <w:pPr>
        <w:pStyle w:val="44"/>
        <w:tabs>
          <w:tab w:val="right" w:leader="dot" w:pos="9962"/>
        </w:tabs>
        <w:rPr>
          <w:rFonts w:eastAsiaTheme="minorEastAsia"/>
          <w:b w:val="0"/>
        </w:rPr>
      </w:pPr>
      <w:r>
        <w:fldChar w:fldCharType="begin"/>
      </w:r>
      <w:r>
        <w:instrText xml:space="preserve"> HYPERLINK \l "_Toc189845152" </w:instrText>
      </w:r>
      <w:r>
        <w:fldChar w:fldCharType="separate"/>
      </w:r>
      <w:r>
        <w:rPr>
          <w:rStyle w:val="58"/>
          <w:rFonts w:ascii="Symbol" w:hAnsi="Symbol"/>
        </w:rPr>
        <w:t></w:t>
      </w:r>
      <w:r>
        <w:rPr>
          <w:rFonts w:eastAsiaTheme="minorEastAsia"/>
          <w:b w:val="0"/>
        </w:rPr>
        <w:tab/>
      </w:r>
      <w:r>
        <w:rPr>
          <w:rStyle w:val="58"/>
        </w:rPr>
        <w:t>Range of NW synchronization error</w:t>
      </w:r>
      <w:r>
        <w:rPr>
          <w:rStyle w:val="58"/>
        </w:rPr>
        <w:fldChar w:fldCharType="end"/>
      </w:r>
    </w:p>
    <w:p w14:paraId="3DBBAFD4">
      <w:pPr>
        <w:pStyle w:val="44"/>
        <w:tabs>
          <w:tab w:val="right" w:leader="dot" w:pos="9962"/>
        </w:tabs>
        <w:rPr>
          <w:rFonts w:eastAsiaTheme="minorEastAsia"/>
          <w:b w:val="0"/>
        </w:rPr>
      </w:pPr>
      <w:r>
        <w:fldChar w:fldCharType="begin"/>
      </w:r>
      <w:r>
        <w:instrText xml:space="preserve"> HYPERLINK \l "_Toc189845153" </w:instrText>
      </w:r>
      <w:r>
        <w:fldChar w:fldCharType="separate"/>
      </w:r>
      <w:r>
        <w:rPr>
          <w:rStyle w:val="58"/>
          <w:rFonts w:ascii="Symbol" w:hAnsi="Symbol"/>
        </w:rPr>
        <w:t></w:t>
      </w:r>
      <w:r>
        <w:rPr>
          <w:rFonts w:eastAsiaTheme="minorEastAsia"/>
          <w:b w:val="0"/>
        </w:rPr>
        <w:tab/>
      </w:r>
      <w:r>
        <w:rPr>
          <w:rStyle w:val="58"/>
        </w:rPr>
        <w:t>Range of UE/gNB RX and TX timing error</w:t>
      </w:r>
      <w:r>
        <w:rPr>
          <w:rStyle w:val="58"/>
        </w:rPr>
        <w:fldChar w:fldCharType="end"/>
      </w:r>
    </w:p>
    <w:p w14:paraId="64552CE8">
      <w:pPr>
        <w:pStyle w:val="44"/>
        <w:tabs>
          <w:tab w:val="right" w:leader="dot" w:pos="9962"/>
        </w:tabs>
        <w:rPr>
          <w:rFonts w:eastAsiaTheme="minorEastAsia"/>
          <w:b w:val="0"/>
        </w:rPr>
      </w:pPr>
      <w:r>
        <w:fldChar w:fldCharType="begin"/>
      </w:r>
      <w:r>
        <w:instrText xml:space="preserve"> HYPERLINK \l "_Toc189845154" </w:instrText>
      </w:r>
      <w:r>
        <w:fldChar w:fldCharType="separate"/>
      </w:r>
      <w:r>
        <w:rPr>
          <w:rStyle w:val="58"/>
        </w:rPr>
        <w:t>Proposal 45</w:t>
      </w:r>
      <w:r>
        <w:rPr>
          <w:rFonts w:eastAsiaTheme="minorEastAsia"/>
          <w:b w:val="0"/>
        </w:rPr>
        <w:tab/>
      </w:r>
      <w:r>
        <w:rPr>
          <w:rStyle w:val="58"/>
        </w:rPr>
        <w:t>The training dataset validity area is recorded as a part of metadata of the training dataset. The validity area is defined as a list of TRPs where data is collected.</w:t>
      </w:r>
      <w:r>
        <w:rPr>
          <w:rStyle w:val="58"/>
        </w:rPr>
        <w:fldChar w:fldCharType="end"/>
      </w:r>
    </w:p>
    <w:p w14:paraId="32A8B8C4">
      <w:pPr>
        <w:pStyle w:val="44"/>
        <w:tabs>
          <w:tab w:val="right" w:leader="dot" w:pos="9962"/>
        </w:tabs>
        <w:rPr>
          <w:rFonts w:eastAsiaTheme="minorEastAsia"/>
          <w:b w:val="0"/>
        </w:rPr>
      </w:pPr>
      <w:r>
        <w:fldChar w:fldCharType="begin"/>
      </w:r>
      <w:r>
        <w:instrText xml:space="preserve"> HYPERLINK \l "_Toc189845155" </w:instrText>
      </w:r>
      <w:r>
        <w:fldChar w:fldCharType="separate"/>
      </w:r>
      <w:r>
        <w:rPr>
          <w:rStyle w:val="58"/>
        </w:rPr>
        <w:t>Proposal 46</w:t>
      </w:r>
      <w:r>
        <w:rPr>
          <w:rFonts w:eastAsiaTheme="minorEastAsia"/>
          <w:b w:val="0"/>
        </w:rPr>
        <w:tab/>
      </w:r>
      <w:r>
        <w:rPr>
          <w:rStyle w:val="58"/>
        </w:rPr>
        <w:t>Training data provided to UE/gNB is organized with the same hierarchy as for legacy assistance data, i.e. per TRP/frequency layers for the UE, and per TRP for the gNB assistance data.</w:t>
      </w:r>
      <w:r>
        <w:rPr>
          <w:rStyle w:val="58"/>
        </w:rPr>
        <w:fldChar w:fldCharType="end"/>
      </w:r>
    </w:p>
    <w:p w14:paraId="0DC5140B">
      <w:pPr>
        <w:pStyle w:val="44"/>
        <w:tabs>
          <w:tab w:val="right" w:leader="dot" w:pos="9962"/>
        </w:tabs>
        <w:rPr>
          <w:rFonts w:eastAsiaTheme="minorEastAsia"/>
          <w:b w:val="0"/>
        </w:rPr>
      </w:pPr>
      <w:r>
        <w:fldChar w:fldCharType="begin"/>
      </w:r>
      <w:r>
        <w:instrText xml:space="preserve"> HYPERLINK \l "_Toc189845156" </w:instrText>
      </w:r>
      <w:r>
        <w:fldChar w:fldCharType="separate"/>
      </w:r>
      <w:r>
        <w:rPr>
          <w:rStyle w:val="58"/>
        </w:rPr>
        <w:t>Proposal 47</w:t>
      </w:r>
      <w:r>
        <w:rPr>
          <w:rFonts w:eastAsiaTheme="minorEastAsia"/>
          <w:b w:val="0"/>
        </w:rPr>
        <w:tab/>
      </w:r>
      <w:r>
        <w:rPr>
          <w:rStyle w:val="58"/>
        </w:rPr>
        <w:t>For Part A training data collection of Case 1/2a, the assistance data include: training dataset validity area, assistance data necessary for PRS reception, and associated ID for additional network conditions. Corresponding assistance data is sent during model inference as well for consistency checking.</w:t>
      </w:r>
      <w:r>
        <w:rPr>
          <w:rStyle w:val="58"/>
        </w:rPr>
        <w:fldChar w:fldCharType="end"/>
      </w:r>
    </w:p>
    <w:p w14:paraId="5C9E9F7E">
      <w:pPr>
        <w:pStyle w:val="44"/>
        <w:tabs>
          <w:tab w:val="right" w:leader="dot" w:pos="9962"/>
        </w:tabs>
        <w:rPr>
          <w:rFonts w:eastAsiaTheme="minorEastAsia"/>
          <w:b w:val="0"/>
        </w:rPr>
      </w:pPr>
      <w:r>
        <w:fldChar w:fldCharType="begin"/>
      </w:r>
      <w:r>
        <w:instrText xml:space="preserve"> HYPERLINK \l "_Toc189845157" </w:instrText>
      </w:r>
      <w:r>
        <w:fldChar w:fldCharType="separate"/>
      </w:r>
      <w:r>
        <w:rPr>
          <w:rStyle w:val="58"/>
        </w:rPr>
        <w:t>Proposal 48</w:t>
      </w:r>
      <w:r>
        <w:rPr>
          <w:rFonts w:eastAsiaTheme="minorEastAsia"/>
          <w:b w:val="0"/>
        </w:rPr>
        <w:tab/>
      </w:r>
      <w:r>
        <w:rPr>
          <w:rStyle w:val="58"/>
        </w:rPr>
        <w:t>The assistance data required for PRS/SRS reception is the same across all use cases for both direct and AI/ML assisted positioning.</w:t>
      </w:r>
      <w:r>
        <w:rPr>
          <w:rStyle w:val="58"/>
        </w:rPr>
        <w:fldChar w:fldCharType="end"/>
      </w:r>
    </w:p>
    <w:p w14:paraId="4C599923">
      <w:pPr>
        <w:pStyle w:val="44"/>
        <w:tabs>
          <w:tab w:val="right" w:leader="dot" w:pos="9962"/>
        </w:tabs>
        <w:rPr>
          <w:rFonts w:eastAsiaTheme="minorEastAsia"/>
          <w:b w:val="0"/>
        </w:rPr>
      </w:pPr>
      <w:r>
        <w:fldChar w:fldCharType="begin"/>
      </w:r>
      <w:r>
        <w:instrText xml:space="preserve"> HYPERLINK \l "_Toc189845158" </w:instrText>
      </w:r>
      <w:r>
        <w:fldChar w:fldCharType="separate"/>
      </w:r>
      <w:r>
        <w:rPr>
          <w:rStyle w:val="58"/>
        </w:rPr>
        <w:t>Proposal 49</w:t>
      </w:r>
      <w:r>
        <w:rPr>
          <w:rFonts w:eastAsiaTheme="minorEastAsia"/>
          <w:b w:val="0"/>
        </w:rPr>
        <w:tab/>
      </w:r>
      <w:r>
        <w:rPr>
          <w:rStyle w:val="58"/>
        </w:rPr>
        <w:t>The model inference entity is responsible for model-level performance monitoring and management, including calculation of model monitoring metrics. The detailed algorithm and procedure are up to implementation.</w:t>
      </w:r>
      <w:r>
        <w:rPr>
          <w:rStyle w:val="58"/>
        </w:rPr>
        <w:fldChar w:fldCharType="end"/>
      </w:r>
    </w:p>
    <w:p w14:paraId="2454B0ED">
      <w:pPr>
        <w:pStyle w:val="44"/>
        <w:tabs>
          <w:tab w:val="right" w:leader="dot" w:pos="9962"/>
        </w:tabs>
        <w:rPr>
          <w:rFonts w:eastAsiaTheme="minorEastAsia"/>
          <w:b w:val="0"/>
        </w:rPr>
      </w:pPr>
      <w:r>
        <w:fldChar w:fldCharType="begin"/>
      </w:r>
      <w:r>
        <w:instrText xml:space="preserve"> HYPERLINK \l "_Toc189845159" </w:instrText>
      </w:r>
      <w:r>
        <w:fldChar w:fldCharType="separate"/>
      </w:r>
      <w:r>
        <w:rPr>
          <w:rStyle w:val="58"/>
        </w:rPr>
        <w:t>Proposal 50</w:t>
      </w:r>
      <w:r>
        <w:rPr>
          <w:rFonts w:eastAsiaTheme="minorEastAsia"/>
          <w:b w:val="0"/>
        </w:rPr>
        <w:tab/>
      </w:r>
      <w:r>
        <w:rPr>
          <w:rStyle w:val="58"/>
        </w:rPr>
        <w:t>For AI/ML based positioning, LMF is responsible for functionality-level performance monitoring and management.</w:t>
      </w:r>
      <w:r>
        <w:rPr>
          <w:rStyle w:val="58"/>
        </w:rPr>
        <w:fldChar w:fldCharType="end"/>
      </w:r>
    </w:p>
    <w:p w14:paraId="60144C70">
      <w:pPr>
        <w:pStyle w:val="44"/>
        <w:tabs>
          <w:tab w:val="right" w:leader="dot" w:pos="9962"/>
        </w:tabs>
        <w:rPr>
          <w:rFonts w:eastAsiaTheme="minorEastAsia"/>
          <w:b w:val="0"/>
        </w:rPr>
      </w:pPr>
      <w:r>
        <w:fldChar w:fldCharType="begin"/>
      </w:r>
      <w:r>
        <w:instrText xml:space="preserve"> HYPERLINK \l "_Toc189845160" </w:instrText>
      </w:r>
      <w:r>
        <w:fldChar w:fldCharType="separate"/>
      </w:r>
      <w:r>
        <w:rPr>
          <w:rStyle w:val="58"/>
        </w:rPr>
        <w:t>Proposal 51</w:t>
      </w:r>
      <w:r>
        <w:rPr>
          <w:rFonts w:eastAsiaTheme="minorEastAsia"/>
          <w:b w:val="0"/>
        </w:rPr>
        <w:tab/>
      </w:r>
      <w:r>
        <w:rPr>
          <w:rStyle w:val="58"/>
        </w:rPr>
        <w:t>For AI/ML based positioning, LMF can decide on a fallback method based on performance monitoring reports from the UE/gNB</w:t>
      </w:r>
      <w:r>
        <w:rPr>
          <w:rStyle w:val="58"/>
        </w:rPr>
        <w:fldChar w:fldCharType="end"/>
      </w:r>
    </w:p>
    <w:p w14:paraId="05C54473">
      <w:pPr>
        <w:pStyle w:val="44"/>
        <w:tabs>
          <w:tab w:val="right" w:leader="dot" w:pos="9962"/>
        </w:tabs>
        <w:rPr>
          <w:rFonts w:eastAsiaTheme="minorEastAsia"/>
          <w:b w:val="0"/>
        </w:rPr>
      </w:pPr>
      <w:r>
        <w:fldChar w:fldCharType="begin"/>
      </w:r>
      <w:r>
        <w:instrText xml:space="preserve"> HYPERLINK \l "_Toc189845161" </w:instrText>
      </w:r>
      <w:r>
        <w:fldChar w:fldCharType="separate"/>
      </w:r>
      <w:r>
        <w:rPr>
          <w:rStyle w:val="58"/>
          <w:rFonts w:ascii="Symbol" w:hAnsi="Symbol"/>
        </w:rPr>
        <w:t></w:t>
      </w:r>
      <w:r>
        <w:rPr>
          <w:rFonts w:eastAsiaTheme="minorEastAsia"/>
          <w:b w:val="0"/>
        </w:rPr>
        <w:tab/>
      </w:r>
      <w:r>
        <w:rPr>
          <w:rStyle w:val="58"/>
        </w:rPr>
        <w:t>Note: there is no specification impact needed to enable a fallback mechanism.</w:t>
      </w:r>
      <w:r>
        <w:rPr>
          <w:rStyle w:val="58"/>
        </w:rPr>
        <w:fldChar w:fldCharType="end"/>
      </w:r>
    </w:p>
    <w:p w14:paraId="7BDFA87F">
      <w:pPr>
        <w:pStyle w:val="44"/>
        <w:tabs>
          <w:tab w:val="right" w:leader="dot" w:pos="9962"/>
        </w:tabs>
        <w:rPr>
          <w:rFonts w:eastAsiaTheme="minorEastAsia"/>
          <w:b w:val="0"/>
        </w:rPr>
      </w:pPr>
      <w:r>
        <w:fldChar w:fldCharType="begin"/>
      </w:r>
      <w:r>
        <w:instrText xml:space="preserve"> HYPERLINK \l "_Toc189845162" </w:instrText>
      </w:r>
      <w:r>
        <w:fldChar w:fldCharType="separate"/>
      </w:r>
      <w:r>
        <w:rPr>
          <w:rStyle w:val="58"/>
        </w:rPr>
        <w:t>Proposal 52</w:t>
      </w:r>
      <w:r>
        <w:rPr>
          <w:rFonts w:eastAsiaTheme="minorEastAsia"/>
          <w:b w:val="0"/>
        </w:rPr>
        <w:tab/>
      </w:r>
      <w:r>
        <w:rPr>
          <w:rStyle w:val="58"/>
        </w:rPr>
        <w:t>For AI/ML positioning Cases, LMF based functionality management using label-free monitoring methods are supported, where the model inference entity performs self-monitoring without external information on the ground truth label.</w:t>
      </w:r>
      <w:r>
        <w:rPr>
          <w:rStyle w:val="58"/>
        </w:rPr>
        <w:fldChar w:fldCharType="end"/>
      </w:r>
    </w:p>
    <w:p w14:paraId="4E4FFD3B">
      <w:pPr>
        <w:pStyle w:val="44"/>
        <w:tabs>
          <w:tab w:val="right" w:leader="dot" w:pos="9962"/>
        </w:tabs>
        <w:rPr>
          <w:rFonts w:eastAsiaTheme="minorEastAsia"/>
          <w:b w:val="0"/>
        </w:rPr>
      </w:pPr>
      <w:r>
        <w:fldChar w:fldCharType="begin"/>
      </w:r>
      <w:r>
        <w:instrText xml:space="preserve"> HYPERLINK \l "_Toc189845163" </w:instrText>
      </w:r>
      <w:r>
        <w:fldChar w:fldCharType="separate"/>
      </w:r>
      <w:r>
        <w:rPr>
          <w:rStyle w:val="58"/>
        </w:rPr>
        <w:t>Proposal 53</w:t>
      </w:r>
      <w:r>
        <w:rPr>
          <w:rFonts w:eastAsiaTheme="minorEastAsia"/>
          <w:b w:val="0"/>
        </w:rPr>
        <w:tab/>
      </w:r>
      <w:r>
        <w:rPr>
          <w:rStyle w:val="58"/>
        </w:rPr>
        <w:t>For AI/ML positioning Cases, self-monitoring is the baseline,  where the model inference entity performs self-monitoring with or without external information on the ground truth label (i.e., label-free or label-based).</w:t>
      </w:r>
      <w:r>
        <w:rPr>
          <w:rStyle w:val="58"/>
        </w:rPr>
        <w:fldChar w:fldCharType="end"/>
      </w:r>
    </w:p>
    <w:p w14:paraId="6DB2AC41">
      <w:pPr>
        <w:pStyle w:val="44"/>
        <w:tabs>
          <w:tab w:val="right" w:leader="dot" w:pos="9962"/>
        </w:tabs>
        <w:rPr>
          <w:rFonts w:eastAsiaTheme="minorEastAsia"/>
          <w:b w:val="0"/>
        </w:rPr>
      </w:pPr>
      <w:r>
        <w:fldChar w:fldCharType="begin"/>
      </w:r>
      <w:r>
        <w:instrText xml:space="preserve"> HYPERLINK \l "_Toc189845164" </w:instrText>
      </w:r>
      <w:r>
        <w:fldChar w:fldCharType="separate"/>
      </w:r>
      <w:r>
        <w:rPr>
          <w:rStyle w:val="58"/>
          <w:rFonts w:ascii="Symbol" w:hAnsi="Symbol"/>
        </w:rPr>
        <w:t></w:t>
      </w:r>
      <w:r>
        <w:rPr>
          <w:rFonts w:eastAsiaTheme="minorEastAsia"/>
          <w:b w:val="0"/>
        </w:rPr>
        <w:tab/>
      </w:r>
      <w:r>
        <w:rPr>
          <w:rStyle w:val="58"/>
        </w:rPr>
        <w:t>The detailed self-monitoring method and decision-making are up to the implementation of the model inference entity (gNB or UE or LMF).</w:t>
      </w:r>
      <w:r>
        <w:rPr>
          <w:rStyle w:val="58"/>
        </w:rPr>
        <w:fldChar w:fldCharType="end"/>
      </w:r>
    </w:p>
    <w:p w14:paraId="7A87220F">
      <w:pPr>
        <w:pStyle w:val="44"/>
        <w:tabs>
          <w:tab w:val="right" w:leader="dot" w:pos="9962"/>
        </w:tabs>
        <w:rPr>
          <w:rFonts w:eastAsiaTheme="minorEastAsia"/>
          <w:b w:val="0"/>
        </w:rPr>
      </w:pPr>
      <w:r>
        <w:fldChar w:fldCharType="begin"/>
      </w:r>
      <w:r>
        <w:instrText xml:space="preserve"> HYPERLINK \l "_Toc189845165" </w:instrText>
      </w:r>
      <w:r>
        <w:fldChar w:fldCharType="separate"/>
      </w:r>
      <w:r>
        <w:rPr>
          <w:rStyle w:val="58"/>
          <w:rFonts w:ascii="Symbol" w:hAnsi="Symbol"/>
        </w:rPr>
        <w:t></w:t>
      </w:r>
      <w:r>
        <w:rPr>
          <w:rFonts w:eastAsiaTheme="minorEastAsia"/>
          <w:b w:val="0"/>
        </w:rPr>
        <w:tab/>
      </w:r>
      <w:r>
        <w:rPr>
          <w:rStyle w:val="58"/>
        </w:rPr>
        <w:t>The LMF can request / configure the reporting of monitoring outcome by the model inference entity when it’s gNB or UE.</w:t>
      </w:r>
      <w:r>
        <w:rPr>
          <w:rStyle w:val="58"/>
        </w:rPr>
        <w:fldChar w:fldCharType="end"/>
      </w:r>
    </w:p>
    <w:p w14:paraId="2D32A1BF">
      <w:pPr>
        <w:pStyle w:val="44"/>
        <w:tabs>
          <w:tab w:val="right" w:leader="dot" w:pos="9962"/>
        </w:tabs>
        <w:rPr>
          <w:rFonts w:eastAsiaTheme="minorEastAsia"/>
          <w:b w:val="0"/>
        </w:rPr>
      </w:pPr>
      <w:r>
        <w:fldChar w:fldCharType="begin"/>
      </w:r>
      <w:r>
        <w:instrText xml:space="preserve"> HYPERLINK \l "_Toc189845166" </w:instrText>
      </w:r>
      <w:r>
        <w:fldChar w:fldCharType="separate"/>
      </w:r>
      <w:r>
        <w:rPr>
          <w:rStyle w:val="58"/>
          <w:rFonts w:ascii="Symbol" w:hAnsi="Symbol"/>
        </w:rPr>
        <w:t></w:t>
      </w:r>
      <w:r>
        <w:rPr>
          <w:rFonts w:eastAsiaTheme="minorEastAsia"/>
          <w:b w:val="0"/>
        </w:rPr>
        <w:tab/>
      </w:r>
      <w:r>
        <w:rPr>
          <w:rStyle w:val="58"/>
        </w:rPr>
        <w:t>For Case 1 and Case 3a, the UE (Case 1) and gNB (Case 3a) sends the monitoring decision to LMF, at least when the monitoring decision indicates that the model becomes inappropriate for inference.</w:t>
      </w:r>
      <w:r>
        <w:rPr>
          <w:rStyle w:val="58"/>
        </w:rPr>
        <w:fldChar w:fldCharType="end"/>
      </w:r>
    </w:p>
    <w:p w14:paraId="0A73DF73">
      <w:pPr>
        <w:pStyle w:val="44"/>
        <w:tabs>
          <w:tab w:val="right" w:leader="dot" w:pos="9962"/>
        </w:tabs>
        <w:rPr>
          <w:rFonts w:eastAsiaTheme="minorEastAsia"/>
          <w:b w:val="0"/>
        </w:rPr>
      </w:pPr>
      <w:r>
        <w:fldChar w:fldCharType="begin"/>
      </w:r>
      <w:r>
        <w:instrText xml:space="preserve"> HYPERLINK \l "_Toc189845167" </w:instrText>
      </w:r>
      <w:r>
        <w:fldChar w:fldCharType="separate"/>
      </w:r>
      <w:r>
        <w:rPr>
          <w:rStyle w:val="58"/>
          <w:rFonts w:ascii="Symbol" w:hAnsi="Symbol"/>
        </w:rPr>
        <w:t></w:t>
      </w:r>
      <w:r>
        <w:rPr>
          <w:rFonts w:eastAsiaTheme="minorEastAsia"/>
          <w:b w:val="0"/>
        </w:rPr>
        <w:tab/>
      </w:r>
      <w:r>
        <w:rPr>
          <w:rStyle w:val="58"/>
        </w:rPr>
        <w:t>For model inference at UE (Case 1, 2a) or gNB (Case 3a), the LMF can provide assistance information to support the calculation of model monitoring metrics. FFS: what assistance data may be provided.</w:t>
      </w:r>
      <w:r>
        <w:rPr>
          <w:rStyle w:val="58"/>
        </w:rPr>
        <w:fldChar w:fldCharType="end"/>
      </w:r>
    </w:p>
    <w:p w14:paraId="1A50080F">
      <w:pPr>
        <w:pStyle w:val="44"/>
        <w:tabs>
          <w:tab w:val="right" w:leader="dot" w:pos="9962"/>
        </w:tabs>
        <w:rPr>
          <w:rFonts w:eastAsiaTheme="minorEastAsia"/>
          <w:b w:val="0"/>
        </w:rPr>
      </w:pPr>
      <w:r>
        <w:fldChar w:fldCharType="begin"/>
      </w:r>
      <w:r>
        <w:instrText xml:space="preserve"> HYPERLINK \l "_Toc189845168" </w:instrText>
      </w:r>
      <w:r>
        <w:fldChar w:fldCharType="separate"/>
      </w:r>
      <w:r>
        <w:rPr>
          <w:rStyle w:val="58"/>
        </w:rPr>
        <w:t>Proposal 54</w:t>
      </w:r>
      <w:r>
        <w:rPr>
          <w:rFonts w:eastAsiaTheme="minorEastAsia"/>
          <w:b w:val="0"/>
        </w:rPr>
        <w:tab/>
      </w:r>
      <w:r>
        <w:rPr>
          <w:rStyle w:val="58"/>
        </w:rPr>
        <w:t>For model performance monitoring of AI/ML positioning Case 1, support Option A-1 and/or A-2 for model performance monitoring metric calculation, if estimated label is considered necessary to be provided by an external entity (which is LMF for Case 1).</w:t>
      </w:r>
      <w:r>
        <w:rPr>
          <w:rStyle w:val="58"/>
        </w:rPr>
        <w:fldChar w:fldCharType="end"/>
      </w:r>
    </w:p>
    <w:p w14:paraId="0B51F3A8">
      <w:pPr>
        <w:pStyle w:val="44"/>
        <w:tabs>
          <w:tab w:val="right" w:leader="dot" w:pos="9962"/>
        </w:tabs>
        <w:rPr>
          <w:rFonts w:eastAsiaTheme="minorEastAsia"/>
          <w:b w:val="0"/>
        </w:rPr>
      </w:pPr>
      <w:r>
        <w:fldChar w:fldCharType="begin"/>
      </w:r>
      <w:r>
        <w:instrText xml:space="preserve"> HYPERLINK \l "_Toc189845169" </w:instrText>
      </w:r>
      <w:r>
        <w:fldChar w:fldCharType="separate"/>
      </w:r>
      <w:r>
        <w:rPr>
          <w:rStyle w:val="58"/>
        </w:rPr>
        <w:t>Proposal 55</w:t>
      </w:r>
      <w:r>
        <w:rPr>
          <w:rFonts w:eastAsiaTheme="minorEastAsia"/>
          <w:b w:val="0"/>
        </w:rPr>
        <w:tab/>
      </w:r>
      <w:r>
        <w:rPr>
          <w:rStyle w:val="58"/>
        </w:rPr>
        <w:t>For model performance monitoring of AI/ML positioning Case 1, do not support Option A-3, B-1 or B-2.</w:t>
      </w:r>
      <w:r>
        <w:rPr>
          <w:rStyle w:val="58"/>
        </w:rPr>
        <w:fldChar w:fldCharType="end"/>
      </w:r>
    </w:p>
    <w:p w14:paraId="61FD1D17">
      <w:pPr>
        <w:pStyle w:val="44"/>
        <w:tabs>
          <w:tab w:val="right" w:leader="dot" w:pos="9962"/>
        </w:tabs>
        <w:rPr>
          <w:rFonts w:eastAsiaTheme="minorEastAsia"/>
          <w:b w:val="0"/>
        </w:rPr>
      </w:pPr>
      <w:r>
        <w:fldChar w:fldCharType="begin"/>
      </w:r>
      <w:r>
        <w:instrText xml:space="preserve"> HYPERLINK \l "_Toc189845170" </w:instrText>
      </w:r>
      <w:r>
        <w:fldChar w:fldCharType="separate"/>
      </w:r>
      <w:r>
        <w:rPr>
          <w:rStyle w:val="58"/>
        </w:rPr>
        <w:t>Proposal 56</w:t>
      </w:r>
      <w:r>
        <w:rPr>
          <w:rFonts w:eastAsiaTheme="minorEastAsia"/>
          <w:b w:val="0"/>
        </w:rPr>
        <w:tab/>
      </w:r>
      <w:r>
        <w:rPr>
          <w:rStyle w:val="58"/>
        </w:rPr>
        <w:t>For AI/ML positioning Cases, if label-based monitoring is supported:</w:t>
      </w:r>
      <w:r>
        <w:rPr>
          <w:rStyle w:val="58"/>
        </w:rPr>
        <w:fldChar w:fldCharType="end"/>
      </w:r>
    </w:p>
    <w:p w14:paraId="4651E9E0">
      <w:pPr>
        <w:pStyle w:val="44"/>
        <w:tabs>
          <w:tab w:val="right" w:leader="dot" w:pos="9962"/>
        </w:tabs>
        <w:rPr>
          <w:rFonts w:eastAsiaTheme="minorEastAsia"/>
          <w:b w:val="0"/>
        </w:rPr>
      </w:pPr>
      <w:r>
        <w:fldChar w:fldCharType="begin"/>
      </w:r>
      <w:r>
        <w:instrText xml:space="preserve"> HYPERLINK \l "_Toc189845171" </w:instrText>
      </w:r>
      <w:r>
        <w:fldChar w:fldCharType="separate"/>
      </w:r>
      <w:r>
        <w:rPr>
          <w:rStyle w:val="58"/>
          <w:rFonts w:ascii="Symbol" w:hAnsi="Symbol"/>
        </w:rPr>
        <w:t></w:t>
      </w:r>
      <w:r>
        <w:rPr>
          <w:rFonts w:eastAsiaTheme="minorEastAsia"/>
          <w:b w:val="0"/>
        </w:rPr>
        <w:tab/>
      </w:r>
      <w:r>
        <w:rPr>
          <w:rStyle w:val="58"/>
        </w:rPr>
        <w:t>The model inference entity performs self-monitoring.</w:t>
      </w:r>
      <w:r>
        <w:rPr>
          <w:rStyle w:val="58"/>
        </w:rPr>
        <w:fldChar w:fldCharType="end"/>
      </w:r>
    </w:p>
    <w:p w14:paraId="4F860D24">
      <w:pPr>
        <w:pStyle w:val="44"/>
        <w:tabs>
          <w:tab w:val="right" w:leader="dot" w:pos="9962"/>
        </w:tabs>
        <w:rPr>
          <w:rFonts w:eastAsiaTheme="minorEastAsia"/>
          <w:b w:val="0"/>
        </w:rPr>
      </w:pPr>
      <w:r>
        <w:fldChar w:fldCharType="begin"/>
      </w:r>
      <w:r>
        <w:instrText xml:space="preserve"> HYPERLINK \l "_Toc189845172" </w:instrText>
      </w:r>
      <w:r>
        <w:fldChar w:fldCharType="separate"/>
      </w:r>
      <w:r>
        <w:rPr>
          <w:rStyle w:val="58"/>
          <w:rFonts w:ascii="Symbol" w:hAnsi="Symbol"/>
        </w:rPr>
        <w:t></w:t>
      </w:r>
      <w:r>
        <w:rPr>
          <w:rFonts w:eastAsiaTheme="minorEastAsia"/>
          <w:b w:val="0"/>
        </w:rPr>
        <w:tab/>
      </w:r>
      <w:r>
        <w:rPr>
          <w:rStyle w:val="58"/>
        </w:rPr>
        <w:t>The LMF can request / configure the reporting of monitoring outcome by the gNB/UE.</w:t>
      </w:r>
      <w:r>
        <w:rPr>
          <w:rStyle w:val="58"/>
        </w:rPr>
        <w:fldChar w:fldCharType="end"/>
      </w:r>
    </w:p>
    <w:p w14:paraId="64B304F4">
      <w:pPr>
        <w:pStyle w:val="44"/>
        <w:tabs>
          <w:tab w:val="right" w:leader="dot" w:pos="9962"/>
        </w:tabs>
        <w:rPr>
          <w:rFonts w:eastAsiaTheme="minorEastAsia"/>
          <w:b w:val="0"/>
        </w:rPr>
      </w:pPr>
      <w:r>
        <w:fldChar w:fldCharType="begin"/>
      </w:r>
      <w:r>
        <w:instrText xml:space="preserve"> HYPERLINK \l "_Toc189845173" </w:instrText>
      </w:r>
      <w:r>
        <w:fldChar w:fldCharType="separate"/>
      </w:r>
      <w:r>
        <w:rPr>
          <w:rStyle w:val="58"/>
          <w:rFonts w:ascii="Symbol" w:hAnsi="Symbol"/>
        </w:rPr>
        <w:t></w:t>
      </w:r>
      <w:r>
        <w:rPr>
          <w:rFonts w:eastAsiaTheme="minorEastAsia"/>
          <w:b w:val="0"/>
        </w:rPr>
        <w:tab/>
      </w:r>
      <w:r>
        <w:rPr>
          <w:rStyle w:val="58"/>
        </w:rPr>
        <w:t>For Case 1 and Case 3a, the UE (Case 1) and gNB (Case 3a) sends the monitoring decision to LMF, at least when the monitoring decision indicates that the model becomes inappropriate for inference.</w:t>
      </w:r>
      <w:r>
        <w:rPr>
          <w:rStyle w:val="58"/>
        </w:rPr>
        <w:fldChar w:fldCharType="end"/>
      </w:r>
    </w:p>
    <w:p w14:paraId="42D1ED8A">
      <w:pPr>
        <w:pStyle w:val="44"/>
        <w:tabs>
          <w:tab w:val="right" w:leader="dot" w:pos="9962"/>
        </w:tabs>
        <w:rPr>
          <w:rFonts w:eastAsiaTheme="minorEastAsia"/>
          <w:b w:val="0"/>
        </w:rPr>
      </w:pPr>
      <w:r>
        <w:fldChar w:fldCharType="begin"/>
      </w:r>
      <w:r>
        <w:instrText xml:space="preserve"> HYPERLINK \l "_Toc189845174" </w:instrText>
      </w:r>
      <w:r>
        <w:fldChar w:fldCharType="separate"/>
      </w:r>
      <w:r>
        <w:rPr>
          <w:rStyle w:val="58"/>
        </w:rPr>
        <w:t>Proposal 57</w:t>
      </w:r>
      <w:r>
        <w:rPr>
          <w:rFonts w:eastAsiaTheme="minorEastAsia"/>
          <w:b w:val="0"/>
        </w:rPr>
        <w:tab/>
      </w:r>
      <w:r>
        <w:rPr>
          <w:rStyle w:val="58"/>
        </w:rPr>
        <w:t>The model training entity records the model inference validity area as a part of metadata for the trained model.</w:t>
      </w:r>
      <w:r>
        <w:rPr>
          <w:rStyle w:val="58"/>
        </w:rPr>
        <w:fldChar w:fldCharType="end"/>
      </w:r>
    </w:p>
    <w:p w14:paraId="0A92AC5D">
      <w:pPr>
        <w:pStyle w:val="44"/>
        <w:tabs>
          <w:tab w:val="right" w:leader="dot" w:pos="9962"/>
        </w:tabs>
        <w:rPr>
          <w:rFonts w:eastAsiaTheme="minorEastAsia"/>
          <w:b w:val="0"/>
        </w:rPr>
      </w:pPr>
      <w:r>
        <w:fldChar w:fldCharType="begin"/>
      </w:r>
      <w:r>
        <w:instrText xml:space="preserve"> HYPERLINK \l "_Toc189845175" </w:instrText>
      </w:r>
      <w:r>
        <w:fldChar w:fldCharType="separate"/>
      </w:r>
      <w:r>
        <w:rPr>
          <w:rStyle w:val="58"/>
        </w:rPr>
        <w:t>Proposal 58</w:t>
      </w:r>
      <w:r>
        <w:rPr>
          <w:rFonts w:eastAsiaTheme="minorEastAsia"/>
          <w:b w:val="0"/>
        </w:rPr>
        <w:tab/>
      </w:r>
      <w:r>
        <w:rPr>
          <w:rStyle w:val="58"/>
        </w:rPr>
        <w:t>When preparing for model inference, the model inference validity area is checked for compatibility with the deployment area.</w:t>
      </w:r>
      <w:r>
        <w:rPr>
          <w:rStyle w:val="58"/>
        </w:rPr>
        <w:fldChar w:fldCharType="end"/>
      </w:r>
    </w:p>
    <w:p w14:paraId="37EB2E79">
      <w:pPr>
        <w:pStyle w:val="44"/>
        <w:tabs>
          <w:tab w:val="right" w:leader="dot" w:pos="9962"/>
        </w:tabs>
        <w:rPr>
          <w:rFonts w:eastAsiaTheme="minorEastAsia"/>
          <w:b w:val="0"/>
        </w:rPr>
      </w:pPr>
      <w:r>
        <w:fldChar w:fldCharType="begin"/>
      </w:r>
      <w:r>
        <w:instrText xml:space="preserve"> HYPERLINK \l "_Toc189845176" </w:instrText>
      </w:r>
      <w:r>
        <w:fldChar w:fldCharType="separate"/>
      </w:r>
      <w:r>
        <w:rPr>
          <w:rStyle w:val="58"/>
        </w:rPr>
        <w:t>Proposal 59</w:t>
      </w:r>
      <w:r>
        <w:rPr>
          <w:rFonts w:eastAsiaTheme="minorEastAsia"/>
          <w:b w:val="0"/>
        </w:rPr>
        <w:tab/>
      </w:r>
      <w:r>
        <w:rPr>
          <w:rStyle w:val="58"/>
        </w:rPr>
        <w:t>When preparing for model inference, configurations of reference signal transmission and measurement are checked for compatibility between the trained model and the deployment environment.</w:t>
      </w:r>
      <w:r>
        <w:rPr>
          <w:rStyle w:val="58"/>
        </w:rPr>
        <w:fldChar w:fldCharType="end"/>
      </w:r>
    </w:p>
    <w:p w14:paraId="5462A4C2">
      <w:pPr>
        <w:pStyle w:val="44"/>
        <w:tabs>
          <w:tab w:val="right" w:leader="dot" w:pos="9962"/>
        </w:tabs>
        <w:rPr>
          <w:rFonts w:eastAsiaTheme="minorEastAsia"/>
          <w:b w:val="0"/>
        </w:rPr>
      </w:pPr>
      <w:r>
        <w:fldChar w:fldCharType="begin"/>
      </w:r>
      <w:r>
        <w:instrText xml:space="preserve"> HYPERLINK \l "_Toc189845177" </w:instrText>
      </w:r>
      <w:r>
        <w:fldChar w:fldCharType="separate"/>
      </w:r>
      <w:r>
        <w:rPr>
          <w:rStyle w:val="58"/>
        </w:rPr>
        <w:t>Proposal 60</w:t>
      </w:r>
      <w:r>
        <w:rPr>
          <w:rFonts w:eastAsiaTheme="minorEastAsia"/>
          <w:b w:val="0"/>
        </w:rPr>
        <w:tab/>
      </w:r>
      <w:r>
        <w:rPr>
          <w:rStyle w:val="58"/>
        </w:rPr>
        <w:t>For Case 2a/3a, support UE/gNB to send an indication to the LMF when the AI/ML model is ready for reporting measurements based on model inference. It is up to RAN2/3 to decide which procedure to use to convey the information.</w:t>
      </w:r>
      <w:r>
        <w:rPr>
          <w:rStyle w:val="58"/>
        </w:rPr>
        <w:fldChar w:fldCharType="end"/>
      </w:r>
    </w:p>
    <w:p w14:paraId="67578748">
      <w:pPr>
        <w:pStyle w:val="44"/>
        <w:tabs>
          <w:tab w:val="right" w:leader="dot" w:pos="9962"/>
        </w:tabs>
        <w:rPr>
          <w:rFonts w:eastAsiaTheme="minorEastAsia"/>
          <w:b w:val="0"/>
        </w:rPr>
      </w:pPr>
      <w:r>
        <w:fldChar w:fldCharType="begin"/>
      </w:r>
      <w:r>
        <w:instrText xml:space="preserve"> HYPERLINK \l "_Toc189845178" </w:instrText>
      </w:r>
      <w:r>
        <w:fldChar w:fldCharType="separate"/>
      </w:r>
      <w:r>
        <w:rPr>
          <w:rStyle w:val="58"/>
        </w:rPr>
        <w:t>Proposal 61</w:t>
      </w:r>
      <w:r>
        <w:rPr>
          <w:rFonts w:eastAsiaTheme="minorEastAsia"/>
          <w:b w:val="0"/>
        </w:rPr>
        <w:tab/>
      </w:r>
      <w:r>
        <w:rPr>
          <w:rStyle w:val="58"/>
        </w:rPr>
        <w:t>For UE-side model (Case 1/2a), to ensure the consistency of NW-side additional condition across training and inference, support associated ID for indicating NW conditions/configurations.</w:t>
      </w:r>
      <w:r>
        <w:rPr>
          <w:rStyle w:val="58"/>
        </w:rPr>
        <w:fldChar w:fldCharType="end"/>
      </w:r>
    </w:p>
    <w:p w14:paraId="23EDC913">
      <w:pPr>
        <w:pStyle w:val="44"/>
        <w:tabs>
          <w:tab w:val="right" w:leader="dot" w:pos="9962"/>
        </w:tabs>
        <w:rPr>
          <w:rFonts w:eastAsiaTheme="minorEastAsia"/>
          <w:b w:val="0"/>
        </w:rPr>
      </w:pPr>
      <w:r>
        <w:fldChar w:fldCharType="begin"/>
      </w:r>
      <w:r>
        <w:instrText xml:space="preserve"> HYPERLINK \l "_Toc189845179" </w:instrText>
      </w:r>
      <w:r>
        <w:fldChar w:fldCharType="separate"/>
      </w:r>
      <w:r>
        <w:rPr>
          <w:rStyle w:val="58"/>
        </w:rPr>
        <w:t>Proposal 62</w:t>
      </w:r>
      <w:r>
        <w:rPr>
          <w:rFonts w:eastAsiaTheme="minorEastAsia"/>
          <w:b w:val="0"/>
        </w:rPr>
        <w:tab/>
      </w:r>
      <w:r>
        <w:rPr>
          <w:rStyle w:val="58"/>
        </w:rPr>
        <w:t>For AI/ML based positioning, the consistency between training and inference is checked for each TRP separately.</w:t>
      </w:r>
      <w:r>
        <w:rPr>
          <w:rStyle w:val="58"/>
        </w:rPr>
        <w:fldChar w:fldCharType="end"/>
      </w:r>
    </w:p>
    <w:p w14:paraId="7447914D">
      <w:pPr>
        <w:pStyle w:val="44"/>
        <w:tabs>
          <w:tab w:val="right" w:leader="dot" w:pos="9962"/>
        </w:tabs>
        <w:rPr>
          <w:rFonts w:eastAsiaTheme="minorEastAsia"/>
          <w:b w:val="0"/>
        </w:rPr>
      </w:pPr>
      <w:r>
        <w:fldChar w:fldCharType="begin"/>
      </w:r>
      <w:r>
        <w:instrText xml:space="preserve"> HYPERLINK \l "_Toc189845180" </w:instrText>
      </w:r>
      <w:r>
        <w:fldChar w:fldCharType="separate"/>
      </w:r>
      <w:r>
        <w:rPr>
          <w:rStyle w:val="58"/>
        </w:rPr>
        <w:t>Proposal 63</w:t>
      </w:r>
      <w:r>
        <w:rPr>
          <w:rFonts w:eastAsiaTheme="minorEastAsia"/>
          <w:b w:val="0"/>
        </w:rPr>
        <w:tab/>
      </w:r>
      <w:r>
        <w:rPr>
          <w:rStyle w:val="58"/>
        </w:rPr>
        <w:t>For a given TRP j, the UE assumes that the NW-side additional conditions with the same associated ID are consistent within the TRP j.</w:t>
      </w:r>
      <w:r>
        <w:rPr>
          <w:rStyle w:val="58"/>
        </w:rPr>
        <w:fldChar w:fldCharType="end"/>
      </w:r>
    </w:p>
    <w:p w14:paraId="789E2809">
      <w:pPr>
        <w:pStyle w:val="44"/>
        <w:tabs>
          <w:tab w:val="right" w:leader="dot" w:pos="9962"/>
        </w:tabs>
        <w:rPr>
          <w:rFonts w:eastAsiaTheme="minorEastAsia"/>
          <w:b w:val="0"/>
        </w:rPr>
      </w:pPr>
      <w:r>
        <w:fldChar w:fldCharType="begin"/>
      </w:r>
      <w:r>
        <w:instrText xml:space="preserve"> HYPERLINK \l "_Toc189845181" </w:instrText>
      </w:r>
      <w:r>
        <w:fldChar w:fldCharType="separate"/>
      </w:r>
      <w:r>
        <w:rPr>
          <w:rStyle w:val="58"/>
        </w:rPr>
        <w:t>Proposal 64</w:t>
      </w:r>
      <w:r>
        <w:rPr>
          <w:rFonts w:eastAsiaTheme="minorEastAsia"/>
          <w:b w:val="0"/>
        </w:rPr>
        <w:tab/>
      </w:r>
      <w:r>
        <w:rPr>
          <w:rStyle w:val="58"/>
        </w:rPr>
        <w:t>For measurements reported to the LMF in case 2b/3b, support the LMF to indicate the PRS/SRS measurement bandwidth.</w:t>
      </w:r>
      <w:r>
        <w:rPr>
          <w:rStyle w:val="58"/>
        </w:rPr>
        <w:fldChar w:fldCharType="end"/>
      </w:r>
    </w:p>
    <w:p w14:paraId="6672E537">
      <w:pPr>
        <w:pStyle w:val="44"/>
        <w:tabs>
          <w:tab w:val="right" w:leader="dot" w:pos="9962"/>
        </w:tabs>
        <w:rPr>
          <w:rFonts w:eastAsiaTheme="minorEastAsia"/>
          <w:b w:val="0"/>
        </w:rPr>
      </w:pPr>
      <w:r>
        <w:fldChar w:fldCharType="begin"/>
      </w:r>
      <w:r>
        <w:instrText xml:space="preserve"> HYPERLINK \l "_Toc189845182" </w:instrText>
      </w:r>
      <w:r>
        <w:fldChar w:fldCharType="separate"/>
      </w:r>
      <w:r>
        <w:rPr>
          <w:rStyle w:val="58"/>
        </w:rPr>
        <w:t>Proposal 65</w:t>
      </w:r>
      <w:r>
        <w:rPr>
          <w:rFonts w:eastAsiaTheme="minorEastAsia"/>
          <w:b w:val="0"/>
        </w:rPr>
        <w:tab/>
      </w:r>
      <w:r>
        <w:rPr>
          <w:rStyle w:val="58"/>
        </w:rPr>
        <w:t>Do not support provision of assistance data (info #16-18) dedicated to UE-based DL-AoD, but not needed for DL-TDOA.</w:t>
      </w:r>
      <w:r>
        <w:rPr>
          <w:rStyle w:val="58"/>
        </w:rPr>
        <w:fldChar w:fldCharType="end"/>
      </w:r>
    </w:p>
    <w:p w14:paraId="60D06A3C">
      <w:pPr>
        <w:pStyle w:val="44"/>
        <w:tabs>
          <w:tab w:val="right" w:leader="dot" w:pos="9962"/>
        </w:tabs>
        <w:rPr>
          <w:rFonts w:eastAsiaTheme="minorEastAsia"/>
          <w:b w:val="0"/>
        </w:rPr>
      </w:pPr>
      <w:r>
        <w:fldChar w:fldCharType="begin"/>
      </w:r>
      <w:r>
        <w:instrText xml:space="preserve"> HYPERLINK \l "_Toc189845183" </w:instrText>
      </w:r>
      <w:r>
        <w:fldChar w:fldCharType="separate"/>
      </w:r>
      <w:r>
        <w:rPr>
          <w:rStyle w:val="58"/>
        </w:rPr>
        <w:t>Proposal 66</w:t>
      </w:r>
      <w:r>
        <w:rPr>
          <w:rFonts w:eastAsiaTheme="minorEastAsia"/>
          <w:b w:val="0"/>
        </w:rPr>
        <w:tab/>
      </w:r>
      <w:r>
        <w:rPr>
          <w:rStyle w:val="58"/>
        </w:rPr>
        <w:t>For case 1, regarding info#7 in the assistance data from DL-TDOA, support Alternative 2</w:t>
      </w:r>
      <w:r>
        <w:rPr>
          <w:rStyle w:val="58"/>
        </w:rPr>
        <w:fldChar w:fldCharType="end"/>
      </w:r>
    </w:p>
    <w:p w14:paraId="36887848">
      <w:pPr>
        <w:pStyle w:val="44"/>
        <w:tabs>
          <w:tab w:val="right" w:leader="dot" w:pos="9962"/>
        </w:tabs>
        <w:rPr>
          <w:rFonts w:eastAsiaTheme="minorEastAsia"/>
          <w:b w:val="0"/>
        </w:rPr>
      </w:pPr>
      <w:r>
        <w:fldChar w:fldCharType="begin"/>
      </w:r>
      <w:r>
        <w:instrText xml:space="preserve"> HYPERLINK \l "_Toc189845184" </w:instrText>
      </w:r>
      <w:r>
        <w:fldChar w:fldCharType="separate"/>
      </w:r>
      <w:r>
        <w:rPr>
          <w:rStyle w:val="58"/>
          <w:rFonts w:ascii="Symbol" w:hAnsi="Symbol"/>
        </w:rPr>
        <w:t></w:t>
      </w:r>
      <w:r>
        <w:rPr>
          <w:rFonts w:eastAsiaTheme="minorEastAsia"/>
          <w:b w:val="0"/>
        </w:rPr>
        <w:tab/>
      </w:r>
      <w:r>
        <w:rPr>
          <w:rStyle w:val="58"/>
        </w:rPr>
        <w:t>Info #7 can be provided either implicitly or explicitly by LMF. Note: no UE capability is introduced on whether info #7 is provided implicitly or explicitly, and the UE can request info #7 to be provided explicitly or implicitly.</w:t>
      </w:r>
      <w:r>
        <w:rPr>
          <w:rStyle w:val="58"/>
        </w:rPr>
        <w:fldChar w:fldCharType="end"/>
      </w:r>
    </w:p>
    <w:p w14:paraId="2C7B3EFE">
      <w:pPr>
        <w:pStyle w:val="44"/>
        <w:tabs>
          <w:tab w:val="right" w:leader="dot" w:pos="9962"/>
        </w:tabs>
        <w:rPr>
          <w:rFonts w:eastAsiaTheme="minorEastAsia"/>
          <w:b w:val="0"/>
        </w:rPr>
      </w:pPr>
      <w:r>
        <w:fldChar w:fldCharType="begin"/>
      </w:r>
      <w:r>
        <w:instrText xml:space="preserve"> HYPERLINK \l "_Toc189845185" </w:instrText>
      </w:r>
      <w:r>
        <w:fldChar w:fldCharType="separate"/>
      </w:r>
      <w:r>
        <w:rPr>
          <w:rStyle w:val="58"/>
        </w:rPr>
        <w:t>i.</w:t>
      </w:r>
      <w:r>
        <w:rPr>
          <w:rFonts w:eastAsiaTheme="minorEastAsia"/>
          <w:b w:val="0"/>
        </w:rPr>
        <w:tab/>
      </w:r>
      <w:r>
        <w:rPr>
          <w:rStyle w:val="58"/>
        </w:rPr>
        <w:t>Note: if explicit signaling is not supported by the network, legacy behavior can be used to exclude the TRPs without provided location from provided AD.</w:t>
      </w:r>
      <w:r>
        <w:rPr>
          <w:rStyle w:val="58"/>
        </w:rPr>
        <w:fldChar w:fldCharType="end"/>
      </w:r>
    </w:p>
    <w:p w14:paraId="0F2C7224">
      <w:pPr>
        <w:pStyle w:val="44"/>
        <w:tabs>
          <w:tab w:val="right" w:leader="dot" w:pos="9962"/>
        </w:tabs>
        <w:rPr>
          <w:rFonts w:eastAsiaTheme="minorEastAsia"/>
          <w:b w:val="0"/>
        </w:rPr>
      </w:pPr>
      <w:r>
        <w:fldChar w:fldCharType="begin"/>
      </w:r>
      <w:r>
        <w:instrText xml:space="preserve"> HYPERLINK \l "_Toc189845186" </w:instrText>
      </w:r>
      <w:r>
        <w:fldChar w:fldCharType="separate"/>
      </w:r>
      <w:r>
        <w:rPr>
          <w:rStyle w:val="58"/>
          <w:rFonts w:ascii="Symbol" w:hAnsi="Symbol"/>
        </w:rPr>
        <w:t></w:t>
      </w:r>
      <w:r>
        <w:rPr>
          <w:rFonts w:eastAsiaTheme="minorEastAsia"/>
          <w:b w:val="0"/>
        </w:rPr>
        <w:tab/>
      </w:r>
      <w:r>
        <w:rPr>
          <w:rStyle w:val="58"/>
        </w:rPr>
        <w:t xml:space="preserve">If provided implicitly, </w:t>
      </w:r>
      <w:r>
        <w:rPr>
          <w:rStyle w:val="58"/>
          <w:rFonts w:eastAsia="Yu Mincho"/>
        </w:rPr>
        <w:t>a</w:t>
      </w:r>
      <w:r>
        <w:rPr>
          <w:rStyle w:val="58"/>
        </w:rPr>
        <w:t>ssociated ID is signaled by LMF to indicate whether info #7 is consistent between training and inference.</w:t>
      </w:r>
      <w:r>
        <w:rPr>
          <w:rStyle w:val="58"/>
        </w:rPr>
        <w:fldChar w:fldCharType="end"/>
      </w:r>
    </w:p>
    <w:p w14:paraId="3AE5AD10">
      <w:pPr>
        <w:pStyle w:val="15"/>
      </w:pPr>
      <w:r>
        <w:fldChar w:fldCharType="end"/>
      </w:r>
      <w:r>
        <w:t xml:space="preserve"> </w:t>
      </w:r>
    </w:p>
    <w:p w14:paraId="4C5504C0">
      <w:pPr>
        <w:pStyle w:val="2"/>
        <w:rPr>
          <w:lang w:val="en-US"/>
        </w:rPr>
      </w:pPr>
      <w:bookmarkStart w:id="2513" w:name="_In-sequence_SDU_delivery"/>
      <w:bookmarkEnd w:id="2513"/>
      <w:bookmarkStart w:id="2514" w:name="_Toc165991024"/>
      <w:bookmarkStart w:id="2515" w:name="_Toc189845053"/>
      <w:r>
        <w:rPr>
          <w:lang w:val="en-US"/>
        </w:rPr>
        <w:t>References</w:t>
      </w:r>
      <w:bookmarkEnd w:id="2514"/>
      <w:bookmarkEnd w:id="2515"/>
    </w:p>
    <w:p w14:paraId="07A92C03">
      <w:pPr>
        <w:pStyle w:val="67"/>
      </w:pPr>
      <w:bookmarkStart w:id="2516" w:name="_Ref155373154"/>
      <w:bookmarkStart w:id="2517" w:name="_Ref174151459"/>
      <w:bookmarkStart w:id="2518" w:name="_Ref189809556"/>
      <w:r>
        <w:t>3GPP TS 38.305</w:t>
      </w:r>
      <w:r>
        <w:rPr>
          <w:rFonts w:hint="eastAsia"/>
        </w:rPr>
        <w:t xml:space="preserve">, </w:t>
      </w:r>
      <w:r>
        <w:t>Stage 2 functional specification of</w:t>
      </w:r>
      <w:r>
        <w:rPr>
          <w:rFonts w:hint="eastAsia"/>
        </w:rPr>
        <w:t xml:space="preserve"> </w:t>
      </w:r>
      <w:r>
        <w:t>User Equipment (UE) positioning in NG-RAN</w:t>
      </w:r>
      <w:r>
        <w:rPr>
          <w:rFonts w:hint="eastAsia"/>
        </w:rPr>
        <w:t>.</w:t>
      </w:r>
    </w:p>
    <w:p w14:paraId="000A298A">
      <w:pPr>
        <w:pStyle w:val="67"/>
      </w:pPr>
      <w:r>
        <w:t>3GPP TS 37.355</w:t>
      </w:r>
      <w:r>
        <w:rPr>
          <w:rFonts w:hint="eastAsia"/>
        </w:rPr>
        <w:t xml:space="preserve">, </w:t>
      </w:r>
      <w:r>
        <w:t>LTE Positioning Protocol (LPP)</w:t>
      </w:r>
      <w:r>
        <w:rPr>
          <w:rFonts w:hint="eastAsia"/>
        </w:rPr>
        <w:t>.</w:t>
      </w:r>
    </w:p>
    <w:p w14:paraId="20E83A53">
      <w:pPr>
        <w:pStyle w:val="67"/>
      </w:pPr>
      <w:r>
        <w:t>3GPP TS 38.455</w:t>
      </w:r>
      <w:r>
        <w:rPr>
          <w:rFonts w:hint="eastAsia"/>
        </w:rPr>
        <w:t>, NR Positioning Protocol A (NRPPa).</w:t>
      </w:r>
    </w:p>
    <w:p w14:paraId="6770E5DC">
      <w:pPr>
        <w:pStyle w:val="67"/>
      </w:pPr>
      <w:bookmarkStart w:id="2519" w:name="_Ref156223556"/>
      <w:r>
        <w:t>3GPP TR 38.843 V2.0.1 (2023-12), Study on Artificial Intelligence (AI)/Machine Learning (ML) for NR air interface (Release 18).</w:t>
      </w:r>
      <w:bookmarkEnd w:id="2519"/>
    </w:p>
    <w:p w14:paraId="1EF269F2">
      <w:pPr>
        <w:pStyle w:val="67"/>
      </w:pPr>
      <w:bookmarkStart w:id="2520" w:name="_Ref155559231"/>
      <w:r>
        <w:t>RP-243244, "Revised WID on Artificial Intelligence (AI)/Machine Learning (ML) for NR Air Interface," Qualcomm, 3GPP TSG RAN Meeting #106, Madrid, Spain, December 9-12, 2024.</w:t>
      </w:r>
      <w:bookmarkEnd w:id="2516"/>
      <w:bookmarkEnd w:id="2520"/>
    </w:p>
    <w:bookmarkEnd w:id="2517"/>
    <w:bookmarkEnd w:id="2518"/>
    <w:p w14:paraId="0EC86090">
      <w:pPr>
        <w:pStyle w:val="67"/>
      </w:pPr>
      <w:bookmarkStart w:id="2521" w:name="_Ref158730650"/>
      <w:bookmarkStart w:id="2522" w:name="_Ref172113551"/>
      <w:r>
        <w:t>R1-2306454, “Evaluation of AI/ML for Positioning Accuracy Enhancement,” Ericsson</w:t>
      </w:r>
      <w:bookmarkEnd w:id="2521"/>
      <w:r>
        <w:t>.</w:t>
      </w:r>
      <w:bookmarkEnd w:id="2522"/>
    </w:p>
    <w:p w14:paraId="114312D3">
      <w:pPr>
        <w:pStyle w:val="2"/>
        <w:rPr>
          <w:lang w:val="en-US"/>
        </w:rPr>
      </w:pPr>
      <w:r>
        <w:rPr>
          <w:lang w:val="en-US"/>
        </w:rPr>
        <w:t xml:space="preserve"> </w:t>
      </w:r>
      <w:bookmarkStart w:id="2523" w:name="_Toc189845054"/>
      <w:r>
        <w:rPr>
          <w:lang w:val="en-US"/>
        </w:rPr>
        <w:t>Appendix A. High accuracy uncertainty and confidence as defined in TS 23.032</w:t>
      </w:r>
      <w:bookmarkEnd w:id="2523"/>
    </w:p>
    <w:p w14:paraId="0020AA36">
      <w:bookmarkStart w:id="2524" w:name="_Toc67980271"/>
      <w:bookmarkStart w:id="2525" w:name="_Toc524940649"/>
      <w:bookmarkStart w:id="2526" w:name="_Toc91133090"/>
      <w:r>
        <w:t>6.2a</w:t>
      </w:r>
      <w:r>
        <w:tab/>
      </w:r>
      <w:r>
        <w:t>High Accuracy Uncertainty</w:t>
      </w:r>
      <w:bookmarkEnd w:id="2524"/>
      <w:bookmarkEnd w:id="2525"/>
      <w:bookmarkEnd w:id="2526"/>
    </w:p>
    <w:p w14:paraId="002E80CF">
      <w:r>
        <w:t xml:space="preserve">The high accuracy uncertainty r, expressed in metres, is mapped to a number </w:t>
      </w:r>
      <w:r>
        <w:rPr>
          <w:i/>
        </w:rPr>
        <w:t>K</w:t>
      </w:r>
      <w:r>
        <w:t>, with the following formula:</w:t>
      </w:r>
    </w:p>
    <w:p w14:paraId="1310389B">
      <w:pPr>
        <w:pStyle w:val="64"/>
      </w:pPr>
      <w:r>
        <w:tab/>
      </w:r>
      <m:oMath>
        <m:r>
          <m:rPr/>
          <w:rPr>
            <w:rFonts w:ascii="Cambria Math" w:hAnsi="Times New Roman" w:eastAsia="Times New Roman" w:cs="Times New Roman"/>
            <w:szCs w:val="20"/>
            <w14:ligatures w14:val="none"/>
          </w:rPr>
          <m:t>r=C</m:t>
        </m:r>
        <m:d>
          <m:dPr>
            <m:ctrlPr>
              <w:rPr>
                <w:rFonts w:ascii="Cambria Math" w:hAnsi="Times New Roman" w:eastAsia="Times New Roman" w:cs="Times New Roman"/>
                <w:i/>
                <w:szCs w:val="20"/>
                <w14:ligatures w14:val="none"/>
              </w:rPr>
            </m:ctrlPr>
          </m:dPr>
          <m:e>
            <m:sSup>
              <m:sSupPr>
                <m:ctrlPr>
                  <w:rPr>
                    <w:rFonts w:ascii="Cambria Math" w:hAnsi="Times New Roman" w:eastAsia="Times New Roman" w:cs="Times New Roman"/>
                    <w:i/>
                    <w:szCs w:val="20"/>
                    <w14:ligatures w14:val="none"/>
                  </w:rPr>
                </m:ctrlPr>
              </m:sSupPr>
              <m:e>
                <m:d>
                  <m:dPr>
                    <m:ctrlPr>
                      <w:rPr>
                        <w:rFonts w:ascii="Cambria Math" w:hAnsi="Times New Roman" w:eastAsia="Times New Roman" w:cs="Times New Roman"/>
                        <w:i/>
                        <w:szCs w:val="20"/>
                        <w14:ligatures w14:val="none"/>
                      </w:rPr>
                    </m:ctrlPr>
                  </m:dPr>
                  <m:e>
                    <m:r>
                      <m:rPr/>
                      <w:rPr>
                        <w:rFonts w:ascii="Cambria Math" w:hAnsi="Times New Roman" w:eastAsia="Times New Roman" w:cs="Times New Roman"/>
                        <w:szCs w:val="20"/>
                        <w14:ligatures w14:val="none"/>
                      </w:rPr>
                      <m:t>1+x</m:t>
                    </m:r>
                    <m:ctrlPr>
                      <w:rPr>
                        <w:rFonts w:ascii="Cambria Math" w:hAnsi="Times New Roman" w:eastAsia="Times New Roman" w:cs="Times New Roman"/>
                        <w:i/>
                        <w:szCs w:val="20"/>
                        <w14:ligatures w14:val="none"/>
                      </w:rPr>
                    </m:ctrlPr>
                  </m:e>
                </m:d>
                <m:ctrlPr>
                  <w:rPr>
                    <w:rFonts w:ascii="Cambria Math" w:hAnsi="Times New Roman" w:eastAsia="Times New Roman" w:cs="Times New Roman"/>
                    <w:i/>
                    <w:szCs w:val="20"/>
                    <w14:ligatures w14:val="none"/>
                  </w:rPr>
                </m:ctrlPr>
              </m:e>
              <m:sup>
                <m:r>
                  <m:rPr/>
                  <w:rPr>
                    <w:rFonts w:ascii="Cambria Math" w:hAnsi="Times New Roman" w:eastAsia="Times New Roman" w:cs="Times New Roman"/>
                    <w:szCs w:val="20"/>
                    <w14:ligatures w14:val="none"/>
                  </w:rPr>
                  <m:t>K</m:t>
                </m:r>
                <m:ctrlPr>
                  <w:rPr>
                    <w:rFonts w:ascii="Cambria Math" w:hAnsi="Times New Roman" w:eastAsia="Times New Roman" w:cs="Times New Roman"/>
                    <w:i/>
                    <w:szCs w:val="20"/>
                    <w14:ligatures w14:val="none"/>
                  </w:rPr>
                </m:ctrlPr>
              </m:sup>
            </m:sSup>
            <m:r>
              <m:rPr/>
              <w:rPr>
                <w:rFonts w:ascii="Cambria Math" w:hAnsi="Times New Roman" w:eastAsia="Times New Roman" w:cs="Times New Roman"/>
                <w:szCs w:val="20"/>
                <w14:ligatures w14:val="none"/>
              </w:rPr>
              <m:t>−1</m:t>
            </m:r>
            <m:ctrlPr>
              <w:rPr>
                <w:rFonts w:ascii="Cambria Math" w:hAnsi="Times New Roman" w:eastAsia="Times New Roman" w:cs="Times New Roman"/>
                <w:i/>
                <w:szCs w:val="20"/>
                <w14:ligatures w14:val="none"/>
              </w:rPr>
            </m:ctrlPr>
          </m:e>
        </m:d>
      </m:oMath>
    </w:p>
    <w:p w14:paraId="70584505">
      <w:r>
        <w:t xml:space="preserve">with </w:t>
      </w:r>
      <w:r>
        <w:rPr>
          <w:i/>
        </w:rPr>
        <w:t>C</w:t>
      </w:r>
      <w:r>
        <w:t xml:space="preserve"> = 0.3 and </w:t>
      </w:r>
      <w:r>
        <w:rPr>
          <w:i/>
        </w:rPr>
        <w:t>x</w:t>
      </w:r>
      <w:r>
        <w:t xml:space="preserve"> = 0.02. With 0 </w:t>
      </w:r>
      <w:r>
        <w:fldChar w:fldCharType="begin"/>
      </w:r>
      <w:r>
        <w:instrText xml:space="preserve">SYMBOL 163 \f "Symbol"</w:instrText>
      </w:r>
      <w:r>
        <w:fldChar w:fldCharType="end"/>
      </w:r>
      <w:r>
        <w:t xml:space="preserve"> </w:t>
      </w:r>
      <w:r>
        <w:rPr>
          <w:i/>
        </w:rPr>
        <w:t>K</w:t>
      </w:r>
      <w:r>
        <w:t xml:space="preserve"> </w:t>
      </w:r>
      <w:r>
        <w:fldChar w:fldCharType="begin"/>
      </w:r>
      <w:r>
        <w:instrText xml:space="preserve">SYMBOL 163 \f "Symbol"</w:instrText>
      </w:r>
      <w:r>
        <w:fldChar w:fldCharType="end"/>
      </w:r>
      <w:r>
        <w:t xml:space="preserve"> 255, a suitably useful range between 0 and 46.49129 metres is achieved for the high accuracy uncertainty, while still being able to code down to values as small as 6 millimetre. The uncertainty can then be coded on 8 bits, as the binary encoding of </w:t>
      </w:r>
      <w:r>
        <w:rPr>
          <w:i/>
        </w:rPr>
        <w:t>K</w:t>
      </w:r>
      <w:r>
        <w:t>.</w:t>
      </w:r>
    </w:p>
    <w:p w14:paraId="055CCA43">
      <w:pPr>
        <w:pStyle w:val="83"/>
      </w:pPr>
      <w:r>
        <w:t>Table 6.2a-1: Example values for the high accuracy uncertainty function</w:t>
      </w:r>
    </w:p>
    <w:tbl>
      <w:tblPr>
        <w:tblStyle w:val="5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2977"/>
        <w:gridCol w:w="2977"/>
      </w:tblGrid>
      <w:tr w14:paraId="49528C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53C8122E">
            <w:pPr>
              <w:pStyle w:val="80"/>
              <w:spacing w:after="0"/>
              <w:rPr>
                <w:lang w:eastAsia="en-GB"/>
              </w:rPr>
            </w:pPr>
            <w:r>
              <w:rPr>
                <w:lang w:eastAsia="en-GB"/>
              </w:rPr>
              <w:t xml:space="preserve">Value of </w:t>
            </w:r>
            <w:r>
              <w:rPr>
                <w:i/>
                <w:lang w:eastAsia="en-GB"/>
              </w:rPr>
              <w:t>K</w:t>
            </w:r>
          </w:p>
        </w:tc>
        <w:tc>
          <w:tcPr>
            <w:tcW w:w="2977" w:type="dxa"/>
            <w:tcBorders>
              <w:top w:val="single" w:color="auto" w:sz="6" w:space="0"/>
              <w:left w:val="single" w:color="auto" w:sz="6" w:space="0"/>
              <w:bottom w:val="single" w:color="auto" w:sz="6" w:space="0"/>
              <w:right w:val="single" w:color="auto" w:sz="6" w:space="0"/>
            </w:tcBorders>
          </w:tcPr>
          <w:p w14:paraId="3D6E3E23">
            <w:pPr>
              <w:pStyle w:val="80"/>
              <w:spacing w:after="0"/>
              <w:rPr>
                <w:lang w:eastAsia="en-GB"/>
              </w:rPr>
            </w:pPr>
            <w:r>
              <w:rPr>
                <w:lang w:eastAsia="en-GB"/>
              </w:rPr>
              <w:t>Value of uncertainty</w:t>
            </w:r>
          </w:p>
        </w:tc>
      </w:tr>
      <w:tr w14:paraId="1D5954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7EF31DC6">
            <w:pPr>
              <w:pStyle w:val="79"/>
              <w:spacing w:after="0"/>
              <w:rPr>
                <w:lang w:eastAsia="en-GB"/>
              </w:rPr>
            </w:pPr>
            <w:r>
              <w:rPr>
                <w:lang w:eastAsia="en-GB"/>
              </w:rPr>
              <w:t>0</w:t>
            </w:r>
          </w:p>
        </w:tc>
        <w:tc>
          <w:tcPr>
            <w:tcW w:w="2977" w:type="dxa"/>
            <w:tcBorders>
              <w:top w:val="single" w:color="auto" w:sz="6" w:space="0"/>
              <w:left w:val="single" w:color="auto" w:sz="6" w:space="0"/>
              <w:bottom w:val="single" w:color="auto" w:sz="6" w:space="0"/>
              <w:right w:val="single" w:color="auto" w:sz="6" w:space="0"/>
            </w:tcBorders>
          </w:tcPr>
          <w:p w14:paraId="4FCA422B">
            <w:pPr>
              <w:pStyle w:val="79"/>
              <w:spacing w:after="0"/>
              <w:rPr>
                <w:lang w:eastAsia="en-GB"/>
              </w:rPr>
            </w:pPr>
            <w:r>
              <w:rPr>
                <w:lang w:eastAsia="en-GB"/>
              </w:rPr>
              <w:t>0 m</w:t>
            </w:r>
          </w:p>
        </w:tc>
      </w:tr>
      <w:tr w14:paraId="09A90F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070F376B">
            <w:pPr>
              <w:pStyle w:val="79"/>
              <w:spacing w:after="0"/>
              <w:rPr>
                <w:lang w:eastAsia="en-GB"/>
              </w:rPr>
            </w:pPr>
            <w:r>
              <w:rPr>
                <w:lang w:eastAsia="en-GB"/>
              </w:rPr>
              <w:t>1</w:t>
            </w:r>
          </w:p>
        </w:tc>
        <w:tc>
          <w:tcPr>
            <w:tcW w:w="2977" w:type="dxa"/>
            <w:tcBorders>
              <w:top w:val="single" w:color="auto" w:sz="6" w:space="0"/>
              <w:left w:val="single" w:color="auto" w:sz="6" w:space="0"/>
              <w:bottom w:val="single" w:color="auto" w:sz="6" w:space="0"/>
              <w:right w:val="single" w:color="auto" w:sz="6" w:space="0"/>
            </w:tcBorders>
          </w:tcPr>
          <w:p w14:paraId="6DCDC26F">
            <w:pPr>
              <w:pStyle w:val="79"/>
              <w:spacing w:after="0"/>
              <w:rPr>
                <w:lang w:eastAsia="en-GB"/>
              </w:rPr>
            </w:pPr>
            <w:r>
              <w:rPr>
                <w:lang w:eastAsia="en-GB"/>
              </w:rPr>
              <w:t>0.006 m</w:t>
            </w:r>
          </w:p>
        </w:tc>
      </w:tr>
      <w:tr w14:paraId="2B3523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35D26EB9">
            <w:pPr>
              <w:pStyle w:val="79"/>
              <w:spacing w:after="0"/>
              <w:rPr>
                <w:lang w:eastAsia="en-GB"/>
              </w:rPr>
            </w:pPr>
            <w:r>
              <w:rPr>
                <w:lang w:eastAsia="en-GB"/>
              </w:rPr>
              <w:t>2</w:t>
            </w:r>
          </w:p>
        </w:tc>
        <w:tc>
          <w:tcPr>
            <w:tcW w:w="2977" w:type="dxa"/>
            <w:tcBorders>
              <w:top w:val="single" w:color="auto" w:sz="6" w:space="0"/>
              <w:left w:val="single" w:color="auto" w:sz="6" w:space="0"/>
              <w:bottom w:val="single" w:color="auto" w:sz="6" w:space="0"/>
              <w:right w:val="single" w:color="auto" w:sz="6" w:space="0"/>
            </w:tcBorders>
          </w:tcPr>
          <w:p w14:paraId="64EE7616">
            <w:pPr>
              <w:pStyle w:val="79"/>
              <w:spacing w:after="0"/>
              <w:rPr>
                <w:lang w:eastAsia="en-GB"/>
              </w:rPr>
            </w:pPr>
            <w:r>
              <w:rPr>
                <w:lang w:eastAsia="en-GB"/>
              </w:rPr>
              <w:t>0.01212 m</w:t>
            </w:r>
          </w:p>
        </w:tc>
      </w:tr>
      <w:tr w14:paraId="3AC12D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30A95CF6">
            <w:pPr>
              <w:pStyle w:val="79"/>
              <w:spacing w:after="0"/>
              <w:rPr>
                <w:lang w:eastAsia="en-GB"/>
              </w:rPr>
            </w:pPr>
            <w:r>
              <w:rPr>
                <w:lang w:eastAsia="en-GB"/>
              </w:rPr>
              <w:t>-</w:t>
            </w:r>
          </w:p>
        </w:tc>
        <w:tc>
          <w:tcPr>
            <w:tcW w:w="2977" w:type="dxa"/>
            <w:tcBorders>
              <w:top w:val="single" w:color="auto" w:sz="6" w:space="0"/>
              <w:left w:val="single" w:color="auto" w:sz="6" w:space="0"/>
              <w:bottom w:val="single" w:color="auto" w:sz="6" w:space="0"/>
              <w:right w:val="single" w:color="auto" w:sz="6" w:space="0"/>
            </w:tcBorders>
          </w:tcPr>
          <w:p w14:paraId="6C600588">
            <w:pPr>
              <w:pStyle w:val="79"/>
              <w:spacing w:after="0"/>
              <w:rPr>
                <w:lang w:eastAsia="en-GB"/>
              </w:rPr>
            </w:pPr>
            <w:r>
              <w:rPr>
                <w:lang w:eastAsia="en-GB"/>
              </w:rPr>
              <w:t>-</w:t>
            </w:r>
          </w:p>
        </w:tc>
      </w:tr>
      <w:tr w14:paraId="5DDB0D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1FED85F0">
            <w:pPr>
              <w:pStyle w:val="79"/>
              <w:spacing w:after="0"/>
              <w:rPr>
                <w:lang w:eastAsia="en-GB"/>
              </w:rPr>
            </w:pPr>
            <w:r>
              <w:rPr>
                <w:lang w:eastAsia="en-GB"/>
              </w:rPr>
              <w:t>20</w:t>
            </w:r>
          </w:p>
        </w:tc>
        <w:tc>
          <w:tcPr>
            <w:tcW w:w="2977" w:type="dxa"/>
            <w:tcBorders>
              <w:top w:val="single" w:color="auto" w:sz="6" w:space="0"/>
              <w:left w:val="single" w:color="auto" w:sz="6" w:space="0"/>
              <w:bottom w:val="single" w:color="auto" w:sz="6" w:space="0"/>
              <w:right w:val="single" w:color="auto" w:sz="6" w:space="0"/>
            </w:tcBorders>
          </w:tcPr>
          <w:p w14:paraId="76380314">
            <w:pPr>
              <w:pStyle w:val="79"/>
              <w:spacing w:after="0"/>
              <w:rPr>
                <w:lang w:eastAsia="en-GB"/>
              </w:rPr>
            </w:pPr>
            <w:r>
              <w:rPr>
                <w:lang w:eastAsia="en-GB"/>
              </w:rPr>
              <w:t>0.14578 m</w:t>
            </w:r>
          </w:p>
        </w:tc>
      </w:tr>
      <w:tr w14:paraId="6303DD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37A69A9A">
            <w:pPr>
              <w:pStyle w:val="79"/>
              <w:spacing w:after="0"/>
              <w:rPr>
                <w:lang w:eastAsia="en-GB"/>
              </w:rPr>
            </w:pPr>
            <w:r>
              <w:rPr>
                <w:lang w:eastAsia="en-GB"/>
              </w:rPr>
              <w:t>-</w:t>
            </w:r>
          </w:p>
        </w:tc>
        <w:tc>
          <w:tcPr>
            <w:tcW w:w="2977" w:type="dxa"/>
            <w:tcBorders>
              <w:top w:val="single" w:color="auto" w:sz="6" w:space="0"/>
              <w:left w:val="single" w:color="auto" w:sz="6" w:space="0"/>
              <w:bottom w:val="single" w:color="auto" w:sz="6" w:space="0"/>
              <w:right w:val="single" w:color="auto" w:sz="6" w:space="0"/>
            </w:tcBorders>
          </w:tcPr>
          <w:p w14:paraId="0D85D9DE">
            <w:pPr>
              <w:pStyle w:val="79"/>
              <w:spacing w:after="0"/>
              <w:rPr>
                <w:lang w:eastAsia="en-GB"/>
              </w:rPr>
            </w:pPr>
            <w:r>
              <w:rPr>
                <w:lang w:eastAsia="en-GB"/>
              </w:rPr>
              <w:t>-</w:t>
            </w:r>
          </w:p>
        </w:tc>
      </w:tr>
      <w:tr w14:paraId="31A76A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2664F954">
            <w:pPr>
              <w:pStyle w:val="79"/>
              <w:spacing w:after="0"/>
              <w:rPr>
                <w:lang w:eastAsia="en-GB"/>
              </w:rPr>
            </w:pPr>
            <w:r>
              <w:rPr>
                <w:lang w:eastAsia="en-GB"/>
              </w:rPr>
              <w:t>40</w:t>
            </w:r>
          </w:p>
        </w:tc>
        <w:tc>
          <w:tcPr>
            <w:tcW w:w="2977" w:type="dxa"/>
            <w:tcBorders>
              <w:top w:val="single" w:color="auto" w:sz="6" w:space="0"/>
              <w:left w:val="single" w:color="auto" w:sz="6" w:space="0"/>
              <w:bottom w:val="single" w:color="auto" w:sz="6" w:space="0"/>
              <w:right w:val="single" w:color="auto" w:sz="6" w:space="0"/>
            </w:tcBorders>
          </w:tcPr>
          <w:p w14:paraId="0ABDE283">
            <w:pPr>
              <w:pStyle w:val="79"/>
              <w:spacing w:after="0"/>
              <w:rPr>
                <w:lang w:eastAsia="en-GB"/>
              </w:rPr>
            </w:pPr>
            <w:r>
              <w:rPr>
                <w:lang w:eastAsia="en-GB"/>
              </w:rPr>
              <w:t>0.36241 m</w:t>
            </w:r>
          </w:p>
        </w:tc>
      </w:tr>
      <w:tr w14:paraId="31A433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7EB31879">
            <w:pPr>
              <w:pStyle w:val="79"/>
              <w:spacing w:after="0"/>
              <w:rPr>
                <w:lang w:eastAsia="en-GB"/>
              </w:rPr>
            </w:pPr>
            <w:r>
              <w:rPr>
                <w:lang w:eastAsia="en-GB"/>
              </w:rPr>
              <w:t>-</w:t>
            </w:r>
          </w:p>
        </w:tc>
        <w:tc>
          <w:tcPr>
            <w:tcW w:w="2977" w:type="dxa"/>
            <w:tcBorders>
              <w:top w:val="single" w:color="auto" w:sz="6" w:space="0"/>
              <w:left w:val="single" w:color="auto" w:sz="6" w:space="0"/>
              <w:bottom w:val="single" w:color="auto" w:sz="6" w:space="0"/>
              <w:right w:val="single" w:color="auto" w:sz="6" w:space="0"/>
            </w:tcBorders>
          </w:tcPr>
          <w:p w14:paraId="37BEE6AC">
            <w:pPr>
              <w:pStyle w:val="79"/>
              <w:spacing w:after="0"/>
              <w:rPr>
                <w:lang w:eastAsia="en-GB"/>
              </w:rPr>
            </w:pPr>
            <w:r>
              <w:rPr>
                <w:lang w:eastAsia="en-GB"/>
              </w:rPr>
              <w:t>-</w:t>
            </w:r>
          </w:p>
        </w:tc>
      </w:tr>
      <w:tr w14:paraId="781008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0349EF8D">
            <w:pPr>
              <w:pStyle w:val="79"/>
              <w:spacing w:after="0"/>
              <w:rPr>
                <w:lang w:eastAsia="en-GB"/>
              </w:rPr>
            </w:pPr>
            <w:r>
              <w:rPr>
                <w:lang w:eastAsia="en-GB"/>
              </w:rPr>
              <w:t>60</w:t>
            </w:r>
          </w:p>
        </w:tc>
        <w:tc>
          <w:tcPr>
            <w:tcW w:w="2977" w:type="dxa"/>
            <w:tcBorders>
              <w:top w:val="single" w:color="auto" w:sz="6" w:space="0"/>
              <w:left w:val="single" w:color="auto" w:sz="6" w:space="0"/>
              <w:bottom w:val="single" w:color="auto" w:sz="6" w:space="0"/>
              <w:right w:val="single" w:color="auto" w:sz="6" w:space="0"/>
            </w:tcBorders>
          </w:tcPr>
          <w:p w14:paraId="4677AC0B">
            <w:pPr>
              <w:pStyle w:val="79"/>
              <w:spacing w:after="0"/>
              <w:rPr>
                <w:lang w:eastAsia="en-GB"/>
              </w:rPr>
            </w:pPr>
            <w:r>
              <w:rPr>
                <w:lang w:eastAsia="en-GB"/>
              </w:rPr>
              <w:t>0.68430 m</w:t>
            </w:r>
          </w:p>
        </w:tc>
      </w:tr>
      <w:tr w14:paraId="2344C4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1A177415">
            <w:pPr>
              <w:pStyle w:val="79"/>
              <w:spacing w:after="0"/>
              <w:rPr>
                <w:lang w:eastAsia="en-GB"/>
              </w:rPr>
            </w:pPr>
            <w:r>
              <w:rPr>
                <w:lang w:eastAsia="en-GB"/>
              </w:rPr>
              <w:t>-</w:t>
            </w:r>
          </w:p>
        </w:tc>
        <w:tc>
          <w:tcPr>
            <w:tcW w:w="2977" w:type="dxa"/>
            <w:tcBorders>
              <w:top w:val="single" w:color="auto" w:sz="6" w:space="0"/>
              <w:left w:val="single" w:color="auto" w:sz="6" w:space="0"/>
              <w:bottom w:val="single" w:color="auto" w:sz="6" w:space="0"/>
              <w:right w:val="single" w:color="auto" w:sz="6" w:space="0"/>
            </w:tcBorders>
          </w:tcPr>
          <w:p w14:paraId="10CCFE4F">
            <w:pPr>
              <w:pStyle w:val="79"/>
              <w:spacing w:after="0"/>
              <w:rPr>
                <w:lang w:eastAsia="en-GB"/>
              </w:rPr>
            </w:pPr>
            <w:r>
              <w:rPr>
                <w:lang w:eastAsia="en-GB"/>
              </w:rPr>
              <w:t>-</w:t>
            </w:r>
          </w:p>
        </w:tc>
      </w:tr>
      <w:tr w14:paraId="747244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202FD453">
            <w:pPr>
              <w:pStyle w:val="79"/>
              <w:spacing w:after="0"/>
              <w:rPr>
                <w:lang w:eastAsia="en-GB"/>
              </w:rPr>
            </w:pPr>
            <w:r>
              <w:rPr>
                <w:lang w:eastAsia="en-GB"/>
              </w:rPr>
              <w:t>80</w:t>
            </w:r>
          </w:p>
        </w:tc>
        <w:tc>
          <w:tcPr>
            <w:tcW w:w="2977" w:type="dxa"/>
            <w:tcBorders>
              <w:top w:val="single" w:color="auto" w:sz="6" w:space="0"/>
              <w:left w:val="single" w:color="auto" w:sz="6" w:space="0"/>
              <w:bottom w:val="single" w:color="auto" w:sz="6" w:space="0"/>
              <w:right w:val="single" w:color="auto" w:sz="6" w:space="0"/>
            </w:tcBorders>
          </w:tcPr>
          <w:p w14:paraId="65F1485F">
            <w:pPr>
              <w:pStyle w:val="79"/>
              <w:spacing w:after="0"/>
              <w:rPr>
                <w:lang w:eastAsia="en-GB"/>
              </w:rPr>
            </w:pPr>
            <w:r>
              <w:rPr>
                <w:lang w:eastAsia="en-GB"/>
              </w:rPr>
              <w:t>1.16263 m</w:t>
            </w:r>
          </w:p>
        </w:tc>
      </w:tr>
      <w:tr w14:paraId="0E5CD4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5EC04981">
            <w:pPr>
              <w:pStyle w:val="79"/>
              <w:spacing w:after="0"/>
              <w:rPr>
                <w:lang w:eastAsia="en-GB"/>
              </w:rPr>
            </w:pPr>
            <w:r>
              <w:rPr>
                <w:lang w:eastAsia="en-GB"/>
              </w:rPr>
              <w:t>-</w:t>
            </w:r>
          </w:p>
        </w:tc>
        <w:tc>
          <w:tcPr>
            <w:tcW w:w="2977" w:type="dxa"/>
            <w:tcBorders>
              <w:top w:val="single" w:color="auto" w:sz="6" w:space="0"/>
              <w:left w:val="single" w:color="auto" w:sz="6" w:space="0"/>
              <w:bottom w:val="single" w:color="auto" w:sz="6" w:space="0"/>
              <w:right w:val="single" w:color="auto" w:sz="6" w:space="0"/>
            </w:tcBorders>
          </w:tcPr>
          <w:p w14:paraId="11D0B282">
            <w:pPr>
              <w:pStyle w:val="79"/>
              <w:spacing w:after="0"/>
              <w:rPr>
                <w:lang w:eastAsia="en-GB"/>
              </w:rPr>
            </w:pPr>
            <w:r>
              <w:rPr>
                <w:lang w:eastAsia="en-GB"/>
              </w:rPr>
              <w:t>-</w:t>
            </w:r>
          </w:p>
        </w:tc>
      </w:tr>
      <w:tr w14:paraId="6A76FA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1A42EAF4">
            <w:pPr>
              <w:pStyle w:val="79"/>
              <w:spacing w:after="0"/>
              <w:rPr>
                <w:lang w:eastAsia="en-GB"/>
              </w:rPr>
            </w:pPr>
            <w:r>
              <w:rPr>
                <w:lang w:eastAsia="en-GB"/>
              </w:rPr>
              <w:t>100</w:t>
            </w:r>
          </w:p>
        </w:tc>
        <w:tc>
          <w:tcPr>
            <w:tcW w:w="2977" w:type="dxa"/>
            <w:tcBorders>
              <w:top w:val="single" w:color="auto" w:sz="6" w:space="0"/>
              <w:left w:val="single" w:color="auto" w:sz="6" w:space="0"/>
              <w:bottom w:val="single" w:color="auto" w:sz="6" w:space="0"/>
              <w:right w:val="single" w:color="auto" w:sz="6" w:space="0"/>
            </w:tcBorders>
          </w:tcPr>
          <w:p w14:paraId="143C5AE0">
            <w:pPr>
              <w:pStyle w:val="79"/>
              <w:spacing w:after="0"/>
              <w:rPr>
                <w:lang w:eastAsia="en-GB"/>
              </w:rPr>
            </w:pPr>
            <w:r>
              <w:rPr>
                <w:lang w:eastAsia="en-GB"/>
              </w:rPr>
              <w:t>1.87339 m</w:t>
            </w:r>
          </w:p>
        </w:tc>
      </w:tr>
      <w:tr w14:paraId="3488A8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717E5424">
            <w:pPr>
              <w:pStyle w:val="79"/>
              <w:spacing w:after="0"/>
              <w:rPr>
                <w:lang w:eastAsia="en-GB"/>
              </w:rPr>
            </w:pPr>
            <w:r>
              <w:rPr>
                <w:lang w:eastAsia="en-GB"/>
              </w:rPr>
              <w:t>-</w:t>
            </w:r>
          </w:p>
        </w:tc>
        <w:tc>
          <w:tcPr>
            <w:tcW w:w="2977" w:type="dxa"/>
            <w:tcBorders>
              <w:top w:val="single" w:color="auto" w:sz="6" w:space="0"/>
              <w:left w:val="single" w:color="auto" w:sz="6" w:space="0"/>
              <w:bottom w:val="single" w:color="auto" w:sz="6" w:space="0"/>
              <w:right w:val="single" w:color="auto" w:sz="6" w:space="0"/>
            </w:tcBorders>
          </w:tcPr>
          <w:p w14:paraId="166ED25B">
            <w:pPr>
              <w:pStyle w:val="79"/>
              <w:spacing w:after="0"/>
              <w:rPr>
                <w:lang w:eastAsia="en-GB"/>
              </w:rPr>
            </w:pPr>
            <w:r>
              <w:rPr>
                <w:lang w:eastAsia="en-GB"/>
              </w:rPr>
              <w:t>-</w:t>
            </w:r>
          </w:p>
        </w:tc>
      </w:tr>
      <w:tr w14:paraId="34C79B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79B42BBB">
            <w:pPr>
              <w:pStyle w:val="79"/>
              <w:spacing w:after="0"/>
              <w:rPr>
                <w:lang w:eastAsia="en-GB"/>
              </w:rPr>
            </w:pPr>
            <w:r>
              <w:rPr>
                <w:lang w:eastAsia="en-GB"/>
              </w:rPr>
              <w:t>120</w:t>
            </w:r>
          </w:p>
        </w:tc>
        <w:tc>
          <w:tcPr>
            <w:tcW w:w="2977" w:type="dxa"/>
            <w:tcBorders>
              <w:top w:val="single" w:color="auto" w:sz="6" w:space="0"/>
              <w:left w:val="single" w:color="auto" w:sz="6" w:space="0"/>
              <w:bottom w:val="single" w:color="auto" w:sz="6" w:space="0"/>
              <w:right w:val="single" w:color="auto" w:sz="6" w:space="0"/>
            </w:tcBorders>
          </w:tcPr>
          <w:p w14:paraId="0FFE95DB">
            <w:pPr>
              <w:pStyle w:val="79"/>
              <w:spacing w:after="0"/>
              <w:rPr>
                <w:lang w:eastAsia="en-GB"/>
              </w:rPr>
            </w:pPr>
            <w:r>
              <w:rPr>
                <w:lang w:eastAsia="en-GB"/>
              </w:rPr>
              <w:t>2.92954 m</w:t>
            </w:r>
          </w:p>
        </w:tc>
      </w:tr>
      <w:tr w14:paraId="5CAAE6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68B28A87">
            <w:pPr>
              <w:pStyle w:val="79"/>
              <w:spacing w:after="0"/>
              <w:rPr>
                <w:lang w:eastAsia="en-GB"/>
              </w:rPr>
            </w:pPr>
            <w:r>
              <w:rPr>
                <w:lang w:eastAsia="en-GB"/>
              </w:rPr>
              <w:t>-</w:t>
            </w:r>
          </w:p>
        </w:tc>
        <w:tc>
          <w:tcPr>
            <w:tcW w:w="2977" w:type="dxa"/>
            <w:tcBorders>
              <w:top w:val="single" w:color="auto" w:sz="6" w:space="0"/>
              <w:left w:val="single" w:color="auto" w:sz="6" w:space="0"/>
              <w:bottom w:val="single" w:color="auto" w:sz="6" w:space="0"/>
              <w:right w:val="single" w:color="auto" w:sz="6" w:space="0"/>
            </w:tcBorders>
          </w:tcPr>
          <w:p w14:paraId="24794DD0">
            <w:pPr>
              <w:pStyle w:val="79"/>
              <w:spacing w:after="0"/>
              <w:rPr>
                <w:lang w:eastAsia="en-GB"/>
              </w:rPr>
            </w:pPr>
            <w:r>
              <w:rPr>
                <w:lang w:eastAsia="en-GB"/>
              </w:rPr>
              <w:t>-</w:t>
            </w:r>
          </w:p>
        </w:tc>
      </w:tr>
      <w:tr w14:paraId="15E07A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234E10DD">
            <w:pPr>
              <w:pStyle w:val="79"/>
              <w:spacing w:after="0"/>
              <w:rPr>
                <w:lang w:eastAsia="en-GB"/>
              </w:rPr>
            </w:pPr>
            <w:r>
              <w:rPr>
                <w:lang w:eastAsia="en-GB"/>
              </w:rPr>
              <w:t>127</w:t>
            </w:r>
          </w:p>
        </w:tc>
        <w:tc>
          <w:tcPr>
            <w:tcW w:w="2977" w:type="dxa"/>
            <w:tcBorders>
              <w:top w:val="single" w:color="auto" w:sz="6" w:space="0"/>
              <w:left w:val="single" w:color="auto" w:sz="6" w:space="0"/>
              <w:bottom w:val="single" w:color="auto" w:sz="6" w:space="0"/>
              <w:right w:val="single" w:color="auto" w:sz="6" w:space="0"/>
            </w:tcBorders>
          </w:tcPr>
          <w:p w14:paraId="04E9BC11">
            <w:pPr>
              <w:pStyle w:val="79"/>
              <w:spacing w:after="0"/>
              <w:rPr>
                <w:lang w:eastAsia="en-GB"/>
              </w:rPr>
            </w:pPr>
            <w:r>
              <w:rPr>
                <w:lang w:eastAsia="en-GB"/>
              </w:rPr>
              <w:t>3.40973 m</w:t>
            </w:r>
          </w:p>
        </w:tc>
      </w:tr>
      <w:tr w14:paraId="1B8E1E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5FB9B59A">
            <w:pPr>
              <w:pStyle w:val="79"/>
              <w:spacing w:after="0"/>
              <w:rPr>
                <w:lang w:eastAsia="en-GB"/>
              </w:rPr>
            </w:pPr>
            <w:r>
              <w:rPr>
                <w:lang w:eastAsia="en-GB"/>
              </w:rPr>
              <w:t>-</w:t>
            </w:r>
          </w:p>
        </w:tc>
        <w:tc>
          <w:tcPr>
            <w:tcW w:w="2977" w:type="dxa"/>
            <w:tcBorders>
              <w:top w:val="single" w:color="auto" w:sz="6" w:space="0"/>
              <w:left w:val="single" w:color="auto" w:sz="6" w:space="0"/>
              <w:bottom w:val="single" w:color="auto" w:sz="6" w:space="0"/>
              <w:right w:val="single" w:color="auto" w:sz="6" w:space="0"/>
            </w:tcBorders>
          </w:tcPr>
          <w:p w14:paraId="7278B394">
            <w:pPr>
              <w:pStyle w:val="79"/>
              <w:spacing w:after="0"/>
              <w:rPr>
                <w:lang w:eastAsia="en-GB"/>
              </w:rPr>
            </w:pPr>
            <w:r>
              <w:rPr>
                <w:lang w:eastAsia="en-GB"/>
              </w:rPr>
              <w:t>-</w:t>
            </w:r>
          </w:p>
        </w:tc>
      </w:tr>
      <w:tr w14:paraId="3D908B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jc w:val="center"/>
        </w:trPr>
        <w:tc>
          <w:tcPr>
            <w:tcW w:w="2977" w:type="dxa"/>
            <w:tcBorders>
              <w:top w:val="single" w:color="auto" w:sz="6" w:space="0"/>
              <w:left w:val="single" w:color="auto" w:sz="6" w:space="0"/>
              <w:bottom w:val="single" w:color="auto" w:sz="6" w:space="0"/>
              <w:right w:val="single" w:color="auto" w:sz="6" w:space="0"/>
            </w:tcBorders>
          </w:tcPr>
          <w:p w14:paraId="3631A6D8">
            <w:pPr>
              <w:pStyle w:val="79"/>
              <w:spacing w:after="0"/>
              <w:rPr>
                <w:lang w:eastAsia="en-GB"/>
              </w:rPr>
            </w:pPr>
            <w:r>
              <w:rPr>
                <w:lang w:eastAsia="en-GB"/>
              </w:rPr>
              <w:t>255</w:t>
            </w:r>
          </w:p>
        </w:tc>
        <w:tc>
          <w:tcPr>
            <w:tcW w:w="2977" w:type="dxa"/>
            <w:tcBorders>
              <w:top w:val="single" w:color="auto" w:sz="6" w:space="0"/>
              <w:left w:val="single" w:color="auto" w:sz="6" w:space="0"/>
              <w:bottom w:val="single" w:color="auto" w:sz="6" w:space="0"/>
              <w:right w:val="single" w:color="auto" w:sz="6" w:space="0"/>
            </w:tcBorders>
          </w:tcPr>
          <w:p w14:paraId="29DA7A3F">
            <w:pPr>
              <w:pStyle w:val="79"/>
              <w:spacing w:after="0"/>
              <w:rPr>
                <w:lang w:eastAsia="en-GB"/>
              </w:rPr>
            </w:pPr>
            <w:r>
              <w:rPr>
                <w:lang w:eastAsia="en-GB"/>
              </w:rPr>
              <w:t>46.49129 m</w:t>
            </w:r>
          </w:p>
        </w:tc>
      </w:tr>
    </w:tbl>
    <w:p w14:paraId="6D38BB81"/>
    <w:p w14:paraId="21B9EE4B">
      <w:bookmarkStart w:id="2527" w:name="_Toc67980275"/>
      <w:bookmarkStart w:id="2528" w:name="_Toc524940653"/>
      <w:bookmarkStart w:id="2529" w:name="_Toc91133095"/>
      <w:r>
        <w:t>6.5</w:t>
      </w:r>
      <w:r>
        <w:tab/>
      </w:r>
      <w:r>
        <w:t>Confidence</w:t>
      </w:r>
      <w:bookmarkEnd w:id="2527"/>
      <w:bookmarkEnd w:id="2528"/>
      <w:bookmarkEnd w:id="2529"/>
    </w:p>
    <w:p w14:paraId="74F768BE">
      <w:r>
        <w:t xml:space="preserve">The confidence by which the position of a target entity is known to be within the shape description, (expressed as a percentage) is directly mapped from the 7 bit binary number </w:t>
      </w:r>
      <w:r>
        <w:rPr>
          <w:i/>
        </w:rPr>
        <w:t>K</w:t>
      </w:r>
      <w:r>
        <w:t xml:space="preserve">, except for </w:t>
      </w:r>
      <w:r>
        <w:rPr>
          <w:i/>
        </w:rPr>
        <w:t>K</w:t>
      </w:r>
      <w:r>
        <w:t xml:space="preserve">=0 which is used to indicate 'no information', and 100 &lt; </w:t>
      </w:r>
      <w:r>
        <w:rPr>
          <w:i/>
        </w:rPr>
        <w:t>K</w:t>
      </w:r>
      <w:r>
        <w:t xml:space="preserve"> ≤128 which should not be used but may be interpreted as "no information" if received.</w:t>
      </w:r>
    </w:p>
    <w:p w14:paraId="5EDDC471">
      <w:pPr>
        <w:pStyle w:val="15"/>
      </w:pPr>
    </w:p>
    <w:p w14:paraId="55F051B6">
      <w:pPr>
        <w:pStyle w:val="2"/>
      </w:pPr>
      <w:r>
        <w:t xml:space="preserve"> </w:t>
      </w:r>
      <w:bookmarkStart w:id="2530" w:name="_Toc189845055"/>
      <w:r>
        <w:t xml:space="preserve">Appendix B. </w:t>
      </w:r>
      <w:r>
        <w:rPr>
          <w:lang w:val="en-US"/>
        </w:rPr>
        <w:t>Model performance monitoring approaches</w:t>
      </w:r>
      <w:bookmarkEnd w:id="2530"/>
    </w:p>
    <w:p w14:paraId="5708F473">
      <w:r>
        <w:t>In the following, we review three highly effective performance monitoring solutions, which are applicable to Case 1 and Case 3a.</w:t>
      </w:r>
    </w:p>
    <w:p w14:paraId="0D96C456">
      <w:r>
        <w:t xml:space="preserve">Case 1 is UE-based positioning with UE-side model, direct AI/ML positioning, where an AI/ML model taking multiple measurement inputs to produce an estimate of the UE position, as illustrated in </w:t>
      </w:r>
      <w:r>
        <w:fldChar w:fldCharType="begin"/>
      </w:r>
      <w:r>
        <w:instrText xml:space="preserve"> REF _Ref164865995 </w:instrText>
      </w:r>
      <w:r>
        <w:fldChar w:fldCharType="separate"/>
      </w:r>
      <w:r>
        <w:t>Figure 5</w:t>
      </w:r>
      <w:r>
        <w:fldChar w:fldCharType="end"/>
      </w:r>
      <w:r>
        <w:t>(a).</w:t>
      </w:r>
    </w:p>
    <w:p w14:paraId="6BF6C193">
      <w:r>
        <w:t xml:space="preserve">Case 3a NG-RAN node assisted positioning with gNB-side model, AI/ML assisted positioning. An AI/ML model taking multiple measurement inputs to produce multiple model outputs such as the ToAs to multiple TRPs. The ToAs can then further processed to produce an estimate of the UE position using, for example, conventional triangulation optimization. This is illustrated in </w:t>
      </w:r>
      <w:r>
        <w:fldChar w:fldCharType="begin"/>
      </w:r>
      <w:r>
        <w:instrText xml:space="preserve"> REF _Ref164865995 </w:instrText>
      </w:r>
      <w:r>
        <w:fldChar w:fldCharType="separate"/>
      </w:r>
      <w:r>
        <w:t>Figure 5</w:t>
      </w:r>
      <w:r>
        <w:fldChar w:fldCharType="end"/>
      </w:r>
      <w:r>
        <w:t>(b).</w:t>
      </w:r>
    </w:p>
    <w:p w14:paraId="746D164A"/>
    <w:p w14:paraId="17FD18AF">
      <w:pPr>
        <w:ind w:firstLine="567"/>
        <w:jc w:val="center"/>
      </w:pPr>
      <w:r>
        <w:drawing>
          <wp:inline distT="0" distB="0" distL="0" distR="0">
            <wp:extent cx="1901825" cy="182880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901952" cy="1828800"/>
                    </a:xfrm>
                    <a:prstGeom prst="rect">
                      <a:avLst/>
                    </a:prstGeom>
                    <a:noFill/>
                  </pic:spPr>
                </pic:pic>
              </a:graphicData>
            </a:graphic>
          </wp:inline>
        </w:drawing>
      </w:r>
      <w:r>
        <w:tab/>
      </w:r>
      <w:r>
        <w:t xml:space="preserve">  </w:t>
      </w:r>
      <w:r>
        <w:tab/>
      </w:r>
      <w:r>
        <w:tab/>
      </w:r>
      <w:r>
        <w:drawing>
          <wp:inline distT="0" distB="0" distL="0" distR="0">
            <wp:extent cx="3081020" cy="1828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081528" cy="1828800"/>
                    </a:xfrm>
                    <a:prstGeom prst="rect">
                      <a:avLst/>
                    </a:prstGeom>
                    <a:noFill/>
                  </pic:spPr>
                </pic:pic>
              </a:graphicData>
            </a:graphic>
          </wp:inline>
        </w:drawing>
      </w:r>
    </w:p>
    <w:p w14:paraId="63A8B888">
      <w:pPr>
        <w:jc w:val="center"/>
      </w:pPr>
      <w:r>
        <w:t>(a) direct AI/ML positioning</w:t>
      </w:r>
      <w:r>
        <w:tab/>
      </w:r>
      <w:r>
        <w:tab/>
      </w:r>
      <w:r>
        <w:tab/>
      </w:r>
      <w:r>
        <w:tab/>
      </w:r>
      <w:r>
        <w:t xml:space="preserve">(b) AI/ML assisted positioning </w:t>
      </w:r>
    </w:p>
    <w:p w14:paraId="5ABC13C5">
      <w:pPr>
        <w:pStyle w:val="29"/>
        <w:jc w:val="center"/>
      </w:pPr>
      <w:bookmarkStart w:id="2531" w:name="_Ref164865995"/>
      <w:r>
        <w:t xml:space="preserve">Figure </w:t>
      </w:r>
      <w:r>
        <w:fldChar w:fldCharType="begin"/>
      </w:r>
      <w:r>
        <w:instrText xml:space="preserve"> SEQ Figure \* ARABIC </w:instrText>
      </w:r>
      <w:r>
        <w:fldChar w:fldCharType="separate"/>
      </w:r>
      <w:r>
        <w:t>5</w:t>
      </w:r>
      <w:r>
        <w:fldChar w:fldCharType="end"/>
      </w:r>
      <w:bookmarkEnd w:id="2531"/>
      <w:r>
        <w:t xml:space="preserve">. Two possible implementations of Case 1 </w:t>
      </w:r>
      <w:r>
        <w:rPr>
          <w:lang w:eastAsia="ja-JP"/>
        </w:rPr>
        <w:t>UE-based positioning with UE-side model.</w:t>
      </w:r>
    </w:p>
    <w:p w14:paraId="7C4F48A6"/>
    <w:p w14:paraId="08A31194">
      <w:r>
        <w:t xml:space="preserve">In Section </w:t>
      </w:r>
      <w:r>
        <w:fldChar w:fldCharType="begin"/>
      </w:r>
      <w:r>
        <w:instrText xml:space="preserve"> REF _Ref164864179 \r \h </w:instrText>
      </w:r>
      <w:r>
        <w:fldChar w:fldCharType="separate"/>
      </w:r>
      <w:r>
        <w:t>11.1.1</w:t>
      </w:r>
      <w:r>
        <w:fldChar w:fldCharType="end"/>
      </w:r>
      <w:r>
        <w:t xml:space="preserve"> (label-based) and </w:t>
      </w:r>
      <w:r>
        <w:fldChar w:fldCharType="begin"/>
      </w:r>
      <w:r>
        <w:instrText xml:space="preserve"> REF _Ref164864188 \r \h </w:instrText>
      </w:r>
      <w:r>
        <w:fldChar w:fldCharType="separate"/>
      </w:r>
      <w:r>
        <w:t>11.1.3</w:t>
      </w:r>
      <w:r>
        <w:fldChar w:fldCharType="end"/>
      </w:r>
      <w:r>
        <w:t xml:space="preserve"> (label-free), we provide two effective performance monitoring methods which can be applied for both the direct positioning (e.g., Case 1) and the assisted positioning (e.g., Case 3a). In Section </w:t>
      </w:r>
      <w:r>
        <w:fldChar w:fldCharType="begin"/>
      </w:r>
      <w:r>
        <w:instrText xml:space="preserve"> REF _Ref164864197 \r \h </w:instrText>
      </w:r>
      <w:r>
        <w:fldChar w:fldCharType="separate"/>
      </w:r>
      <w:r>
        <w:t>11.1.2</w:t>
      </w:r>
      <w:r>
        <w:fldChar w:fldCharType="end"/>
      </w:r>
      <w:r>
        <w:t xml:space="preserve">, we provide an effective label-based performance monitoring for assisted positioning (e.g., Case 3a). The discussion shows that self-contained performance monitoring is possible for both Case 1 and Case 3a, with either (a) label-free monitoring methods or (b) label-based monitoring methods with certain label related information generated by the model inference entity itself. </w:t>
      </w:r>
    </w:p>
    <w:p w14:paraId="72E6053F">
      <w:r>
        <w:t xml:space="preserve">Specific to Case 1, the method in Section </w:t>
      </w:r>
      <w:r>
        <w:fldChar w:fldCharType="begin"/>
      </w:r>
      <w:r>
        <w:instrText xml:space="preserve"> REF _Ref164864179 \r \h </w:instrText>
      </w:r>
      <w:r>
        <w:fldChar w:fldCharType="separate"/>
      </w:r>
      <w:r>
        <w:t>11.1.1</w:t>
      </w:r>
      <w:r>
        <w:fldChar w:fldCharType="end"/>
      </w:r>
      <w:r>
        <w:t xml:space="preserve"> is an example of target UE perform label-based monitoring without label related info from other entities; the method in Section </w:t>
      </w:r>
      <w:r>
        <w:fldChar w:fldCharType="begin"/>
      </w:r>
      <w:r>
        <w:instrText xml:space="preserve"> REF _Ref164864197 \r \h </w:instrText>
      </w:r>
      <w:r>
        <w:fldChar w:fldCharType="separate"/>
      </w:r>
      <w:r>
        <w:t>11.1.2</w:t>
      </w:r>
      <w:r>
        <w:fldChar w:fldCharType="end"/>
      </w:r>
      <w:r>
        <w:t xml:space="preserve"> is an example of label-free monitoring. From the discussion, we can conclude the following for Case 1:</w:t>
      </w:r>
    </w:p>
    <w:p w14:paraId="0A39DED4">
      <w:pPr>
        <w:ind w:left="567"/>
      </w:pPr>
      <w:r>
        <w:t>Self-contained performance monitoring solutions for Case 1 have been shown to achieve high effectiveness in AI/ML model performance assessment. These performance results are to be used as baselines to evaluate the complexity vs added benefits tradeoff for the label-based performance monitoring proposals under consideration in RAN1.</w:t>
      </w:r>
    </w:p>
    <w:p w14:paraId="69261A4B">
      <w:pPr>
        <w:pStyle w:val="4"/>
      </w:pPr>
      <w:r>
        <w:tab/>
      </w:r>
      <w:bookmarkStart w:id="2532" w:name="_Toc165991014"/>
      <w:bookmarkStart w:id="2533" w:name="_Ref166192742"/>
      <w:bookmarkStart w:id="2534" w:name="_Ref166232055"/>
      <w:bookmarkStart w:id="2535" w:name="_Toc189845056"/>
      <w:bookmarkStart w:id="2536" w:name="_Ref164864179"/>
      <w:bookmarkStart w:id="2537" w:name="_Ref166248755"/>
      <w:r>
        <w:rPr>
          <w:lang w:val="en-US"/>
        </w:rPr>
        <w:t>Monitoring approach 1 (Label-based): Opportunistic LoS links</w:t>
      </w:r>
      <w:bookmarkEnd w:id="2532"/>
      <w:bookmarkEnd w:id="2533"/>
      <w:bookmarkEnd w:id="2534"/>
      <w:bookmarkEnd w:id="2535"/>
      <w:bookmarkEnd w:id="2536"/>
      <w:bookmarkEnd w:id="2537"/>
    </w:p>
    <w:p w14:paraId="75CBA0AF">
      <w:r>
        <w:t xml:space="preserve">In a cluttered environment, there is often a low probability of line-of-sight for a radio link between a UE and a TRP. For example, for InF-DH environment, </w:t>
      </w:r>
      <w:r>
        <w:fldChar w:fldCharType="begin"/>
      </w:r>
      <w:r>
        <w:instrText xml:space="preserve"> REF _Ref166241349 </w:instrText>
      </w:r>
      <w:r>
        <w:fldChar w:fldCharType="separate"/>
      </w:r>
      <w:r>
        <w:t>Table 9</w:t>
      </w:r>
      <w:r>
        <w:fldChar w:fldCharType="end"/>
      </w:r>
      <w:r>
        <w:t xml:space="preserve"> shows the LoS probabilities of a radio link between TRP and UE when assuming different InF-DH clutter parameter settings. It is observed that the LoS probability of a UE-TRP link ranges from 44.9% in a mildly cluttered environment to only 0.8% in a heavily cluttered environment. For InF-DH with clutter parameter {60%, 6m, 2m}, line-of-sight links are very rare (probability=0.8%) and this is the reason why conventional positioning methods fail. </w:t>
      </w:r>
    </w:p>
    <w:p w14:paraId="1FE059EE">
      <w:pPr>
        <w:pStyle w:val="29"/>
        <w:keepNext/>
        <w:jc w:val="center"/>
        <w:rPr>
          <w:lang w:eastAsia="ja-JP"/>
        </w:rPr>
      </w:pPr>
      <w:bookmarkStart w:id="2538" w:name="_Ref166241349"/>
      <w:r>
        <w:t xml:space="preserve">Table </w:t>
      </w:r>
      <w:r>
        <w:fldChar w:fldCharType="begin"/>
      </w:r>
      <w:r>
        <w:instrText xml:space="preserve"> SEQ Table \* ARABIC </w:instrText>
      </w:r>
      <w:r>
        <w:fldChar w:fldCharType="separate"/>
      </w:r>
      <w:r>
        <w:t>9</w:t>
      </w:r>
      <w:r>
        <w:fldChar w:fldCharType="end"/>
      </w:r>
      <w:bookmarkEnd w:id="2538"/>
      <w:r>
        <w:t>. LoS probabilities of a radio link between TRP and UE when assuming different InF-DH clutter parameter settings.</w:t>
      </w:r>
    </w:p>
    <w:tbl>
      <w:tblPr>
        <w:tblStyle w:val="52"/>
        <w:tblW w:w="6840" w:type="dxa"/>
        <w:tblInd w:w="15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5"/>
        <w:gridCol w:w="3195"/>
      </w:tblGrid>
      <w:tr w14:paraId="0396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5" w:type="dxa"/>
            <w:tcBorders>
              <w:bottom w:val="double" w:color="auto" w:sz="4" w:space="0"/>
            </w:tcBorders>
            <w:vAlign w:val="center"/>
          </w:tcPr>
          <w:p w14:paraId="7CE6B8C7">
            <w:pPr>
              <w:spacing w:before="60" w:after="60"/>
              <w:jc w:val="center"/>
              <w:rPr>
                <w:sz w:val="20"/>
                <w:szCs w:val="20"/>
              </w:rPr>
            </w:pPr>
            <w:r>
              <w:rPr>
                <w:sz w:val="20"/>
                <w:szCs w:val="20"/>
              </w:rPr>
              <w:t>Environment clutter parameter setting</w:t>
            </w:r>
          </w:p>
        </w:tc>
        <w:tc>
          <w:tcPr>
            <w:tcW w:w="3195" w:type="dxa"/>
            <w:tcBorders>
              <w:bottom w:val="double" w:color="auto" w:sz="4" w:space="0"/>
            </w:tcBorders>
            <w:vAlign w:val="center"/>
          </w:tcPr>
          <w:p w14:paraId="3A4BA8C6">
            <w:pPr>
              <w:spacing w:before="60" w:after="60"/>
              <w:jc w:val="center"/>
              <w:rPr>
                <w:sz w:val="20"/>
                <w:szCs w:val="20"/>
              </w:rPr>
            </w:pPr>
            <w:r>
              <w:rPr>
                <w:sz w:val="20"/>
                <w:szCs w:val="20"/>
              </w:rPr>
              <w:t>LoS Probability</w:t>
            </w:r>
          </w:p>
        </w:tc>
      </w:tr>
      <w:tr w14:paraId="08A0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5" w:type="dxa"/>
            <w:tcBorders>
              <w:top w:val="double" w:color="auto" w:sz="4" w:space="0"/>
            </w:tcBorders>
            <w:vAlign w:val="center"/>
          </w:tcPr>
          <w:p w14:paraId="3F8AAA1B">
            <w:pPr>
              <w:spacing w:before="60" w:after="60"/>
              <w:jc w:val="center"/>
              <w:rPr>
                <w:sz w:val="20"/>
                <w:szCs w:val="20"/>
              </w:rPr>
            </w:pPr>
            <w:r>
              <w:rPr>
                <w:sz w:val="20"/>
                <w:szCs w:val="20"/>
              </w:rPr>
              <w:t>{40%, 2m, 2m}</w:t>
            </w:r>
          </w:p>
        </w:tc>
        <w:tc>
          <w:tcPr>
            <w:tcW w:w="3195" w:type="dxa"/>
            <w:tcBorders>
              <w:top w:val="double" w:color="auto" w:sz="4" w:space="0"/>
            </w:tcBorders>
            <w:vAlign w:val="center"/>
          </w:tcPr>
          <w:p w14:paraId="45AC936B">
            <w:pPr>
              <w:spacing w:before="60" w:after="60"/>
              <w:jc w:val="center"/>
              <w:rPr>
                <w:sz w:val="20"/>
                <w:szCs w:val="20"/>
              </w:rPr>
            </w:pPr>
            <w:r>
              <w:rPr>
                <w:sz w:val="20"/>
                <w:szCs w:val="20"/>
              </w:rPr>
              <w:t>0.449</w:t>
            </w:r>
          </w:p>
        </w:tc>
      </w:tr>
      <w:tr w14:paraId="53D9D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5" w:type="dxa"/>
            <w:vAlign w:val="center"/>
          </w:tcPr>
          <w:p w14:paraId="06C00DBC">
            <w:pPr>
              <w:spacing w:before="60" w:after="60"/>
              <w:jc w:val="center"/>
              <w:rPr>
                <w:sz w:val="20"/>
                <w:szCs w:val="20"/>
              </w:rPr>
            </w:pPr>
            <w:r>
              <w:rPr>
                <w:sz w:val="20"/>
                <w:szCs w:val="20"/>
              </w:rPr>
              <w:t>{50%, 2m, 2m}</w:t>
            </w:r>
          </w:p>
        </w:tc>
        <w:tc>
          <w:tcPr>
            <w:tcW w:w="3195" w:type="dxa"/>
            <w:vAlign w:val="center"/>
          </w:tcPr>
          <w:p w14:paraId="10DB9B19">
            <w:pPr>
              <w:spacing w:before="60" w:after="60"/>
              <w:jc w:val="center"/>
              <w:rPr>
                <w:sz w:val="20"/>
                <w:szCs w:val="20"/>
              </w:rPr>
            </w:pPr>
            <w:r>
              <w:rPr>
                <w:sz w:val="20"/>
                <w:szCs w:val="20"/>
              </w:rPr>
              <w:t>0.352</w:t>
            </w:r>
          </w:p>
        </w:tc>
      </w:tr>
      <w:tr w14:paraId="174D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5" w:type="dxa"/>
          </w:tcPr>
          <w:p w14:paraId="664A80F1">
            <w:pPr>
              <w:spacing w:before="60" w:after="60"/>
              <w:jc w:val="center"/>
              <w:rPr>
                <w:sz w:val="20"/>
                <w:szCs w:val="20"/>
              </w:rPr>
            </w:pPr>
            <w:r>
              <w:rPr>
                <w:sz w:val="20"/>
                <w:szCs w:val="20"/>
              </w:rPr>
              <w:t>{60%, 2m, 2m}</w:t>
            </w:r>
          </w:p>
        </w:tc>
        <w:tc>
          <w:tcPr>
            <w:tcW w:w="3195" w:type="dxa"/>
          </w:tcPr>
          <w:p w14:paraId="53419DC1">
            <w:pPr>
              <w:spacing w:before="60" w:after="60"/>
              <w:jc w:val="center"/>
              <w:rPr>
                <w:sz w:val="20"/>
                <w:szCs w:val="20"/>
              </w:rPr>
            </w:pPr>
            <w:r>
              <w:rPr>
                <w:sz w:val="20"/>
                <w:szCs w:val="20"/>
              </w:rPr>
              <w:t>0.268</w:t>
            </w:r>
          </w:p>
        </w:tc>
      </w:tr>
      <w:tr w14:paraId="2FFEC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5" w:type="dxa"/>
          </w:tcPr>
          <w:p w14:paraId="1DCFE669">
            <w:pPr>
              <w:spacing w:before="60" w:after="60"/>
              <w:jc w:val="center"/>
              <w:rPr>
                <w:sz w:val="20"/>
                <w:szCs w:val="20"/>
              </w:rPr>
            </w:pPr>
            <w:r>
              <w:rPr>
                <w:sz w:val="20"/>
                <w:szCs w:val="20"/>
              </w:rPr>
              <w:t>{40%, 6m, 2m}</w:t>
            </w:r>
          </w:p>
        </w:tc>
        <w:tc>
          <w:tcPr>
            <w:tcW w:w="3195" w:type="dxa"/>
          </w:tcPr>
          <w:p w14:paraId="4BC7185F">
            <w:pPr>
              <w:spacing w:before="60" w:after="60"/>
              <w:jc w:val="center"/>
              <w:rPr>
                <w:sz w:val="20"/>
                <w:szCs w:val="20"/>
              </w:rPr>
            </w:pPr>
            <w:r>
              <w:rPr>
                <w:sz w:val="20"/>
                <w:szCs w:val="20"/>
              </w:rPr>
              <w:t>0.014</w:t>
            </w:r>
          </w:p>
        </w:tc>
      </w:tr>
      <w:tr w14:paraId="3780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5" w:type="dxa"/>
          </w:tcPr>
          <w:p w14:paraId="5B22BCAE">
            <w:pPr>
              <w:spacing w:before="60" w:after="60"/>
              <w:jc w:val="center"/>
              <w:rPr>
                <w:sz w:val="20"/>
                <w:szCs w:val="20"/>
              </w:rPr>
            </w:pPr>
            <w:r>
              <w:rPr>
                <w:sz w:val="20"/>
                <w:szCs w:val="20"/>
              </w:rPr>
              <w:t>{50%, 6m, 2m}</w:t>
            </w:r>
          </w:p>
        </w:tc>
        <w:tc>
          <w:tcPr>
            <w:tcW w:w="3195" w:type="dxa"/>
          </w:tcPr>
          <w:p w14:paraId="5EAD4017">
            <w:pPr>
              <w:spacing w:before="60" w:after="60"/>
              <w:jc w:val="center"/>
              <w:rPr>
                <w:sz w:val="20"/>
                <w:szCs w:val="20"/>
              </w:rPr>
            </w:pPr>
            <w:r>
              <w:rPr>
                <w:sz w:val="20"/>
                <w:szCs w:val="20"/>
              </w:rPr>
              <w:t>0.025</w:t>
            </w:r>
          </w:p>
        </w:tc>
      </w:tr>
      <w:tr w14:paraId="6CE3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5" w:type="dxa"/>
          </w:tcPr>
          <w:p w14:paraId="5E82D2CD">
            <w:pPr>
              <w:spacing w:before="60" w:after="60"/>
              <w:jc w:val="center"/>
              <w:rPr>
                <w:sz w:val="20"/>
                <w:szCs w:val="20"/>
              </w:rPr>
            </w:pPr>
            <w:r>
              <w:rPr>
                <w:sz w:val="20"/>
                <w:szCs w:val="20"/>
              </w:rPr>
              <w:t>{60%, 6m, 2m}</w:t>
            </w:r>
          </w:p>
        </w:tc>
        <w:tc>
          <w:tcPr>
            <w:tcW w:w="3195" w:type="dxa"/>
          </w:tcPr>
          <w:p w14:paraId="5BDDF3EA">
            <w:pPr>
              <w:spacing w:before="60" w:after="60"/>
              <w:jc w:val="center"/>
              <w:rPr>
                <w:sz w:val="20"/>
                <w:szCs w:val="20"/>
              </w:rPr>
            </w:pPr>
            <w:r>
              <w:rPr>
                <w:sz w:val="20"/>
                <w:szCs w:val="20"/>
              </w:rPr>
              <w:t>0.008</w:t>
            </w:r>
          </w:p>
        </w:tc>
      </w:tr>
    </w:tbl>
    <w:p w14:paraId="6301E33E"/>
    <w:p w14:paraId="5A77B908">
      <w:r>
        <w:t xml:space="preserve">On the other hand, </w:t>
      </w:r>
      <w:r>
        <w:fldChar w:fldCharType="begin"/>
      </w:r>
      <w:r>
        <w:instrText xml:space="preserve"> REF _Ref166241349 </w:instrText>
      </w:r>
      <w:r>
        <w:fldChar w:fldCharType="separate"/>
      </w:r>
      <w:r>
        <w:t>Table 9</w:t>
      </w:r>
      <w:r>
        <w:fldChar w:fldCharType="end"/>
      </w:r>
      <w:r>
        <w:t xml:space="preserve"> shows that LoS link can still be encountered from time to time, even for the most cluttered environment of InF-DH with clutter parameter {60%, 6m, 2m}. In particular, considering that there are 18 TRPs that the UE monitors, the probability of observing at least one LoS link is actually great than 10%.</w:t>
      </w:r>
    </w:p>
    <w:p w14:paraId="3E025D3F">
      <w:r>
        <w:t xml:space="preserve">In Case 1, the target UE measures the PRS from the TRPs and determines an estimate, </w:t>
      </w:r>
      <m:oMath>
        <m:sSub>
          <m:sSubPr>
            <m:ctrlPr>
              <w:rPr>
                <w:rFonts w:ascii="Cambria Math" w:hAnsi="Cambria Math"/>
                <w:i/>
              </w:rPr>
            </m:ctrlPr>
          </m:sSubPr>
          <m:e>
            <m:acc>
              <m:accPr>
                <m:ctrlPr>
                  <w:rPr>
                    <w:rFonts w:ascii="Cambria Math" w:hAnsi="Cambria Math"/>
                    <w:i/>
                  </w:rPr>
                </m:ctrlPr>
              </m:accPr>
              <m:e>
                <m:r>
                  <m:rPr/>
                  <w:rPr>
                    <w:rFonts w:ascii="Cambria Math" w:hAnsi="Cambria Math"/>
                  </w:rPr>
                  <m:t>p</m:t>
                </m:r>
                <m:ctrlPr>
                  <w:rPr>
                    <w:rFonts w:ascii="Cambria Math" w:hAnsi="Cambria Math"/>
                    <w:i/>
                  </w:rPr>
                </m:ctrlPr>
              </m:e>
            </m:acc>
            <m:ctrlPr>
              <w:rPr>
                <w:rFonts w:ascii="Cambria Math" w:hAnsi="Cambria Math"/>
                <w:i/>
              </w:rPr>
            </m:ctrlPr>
          </m:e>
          <m:sub>
            <m:r>
              <m:rPr/>
              <w:rPr>
                <w:rFonts w:ascii="Cambria Math" w:hAnsi="Cambria Math"/>
              </w:rPr>
              <m:t>UE</m:t>
            </m:r>
            <m:ctrlPr>
              <w:rPr>
                <w:rFonts w:ascii="Cambria Math" w:hAnsi="Cambria Math"/>
                <w:i/>
              </w:rPr>
            </m:ctrlPr>
          </m:sub>
        </m:sSub>
      </m:oMath>
      <w:r>
        <w:t xml:space="preserve">, of its own positioning using a direct positioning AI/ML model. The target UE can also </w:t>
      </w:r>
    </w:p>
    <w:p w14:paraId="7BBFFE98">
      <w:pPr>
        <w:pStyle w:val="133"/>
        <w:numPr>
          <w:ilvl w:val="0"/>
          <w:numId w:val="63"/>
        </w:numPr>
      </w:pPr>
      <w:r>
        <w:t>Identify the LoS links using either (1) existing LOS/NLOS classification implementation supporting Rel-17 positioning, or (2) an AI/ML model for LOS/NLOS classification.</w:t>
      </w:r>
    </w:p>
    <w:p w14:paraId="0F96FCB7">
      <w:pPr>
        <w:pStyle w:val="133"/>
        <w:numPr>
          <w:ilvl w:val="0"/>
          <w:numId w:val="63"/>
        </w:numPr>
      </w:pPr>
      <w:r>
        <w:t xml:space="preserve">Estimate the ToA, </w:t>
      </w:r>
      <m:oMath>
        <m:sSub>
          <m:sSubPr>
            <m:ctrlPr>
              <w:rPr>
                <w:rFonts w:ascii="Cambria Math" w:hAnsi="Cambria Math"/>
                <w:i/>
              </w:rPr>
            </m:ctrlPr>
          </m:sSubPr>
          <m:e>
            <m:acc>
              <m:accPr>
                <m:ctrlPr>
                  <w:rPr>
                    <w:rFonts w:ascii="Cambria Math" w:hAnsi="Cambria Math"/>
                    <w:i/>
                  </w:rPr>
                </m:ctrlPr>
              </m:accPr>
              <m:e>
                <m:r>
                  <m:rPr/>
                  <w:rPr>
                    <w:rFonts w:ascii="Cambria Math" w:hAnsi="Cambria Math"/>
                  </w:rPr>
                  <m:t>t</m:t>
                </m:r>
                <m:ctrlPr>
                  <w:rPr>
                    <w:rFonts w:ascii="Cambria Math" w:hAnsi="Cambria Math"/>
                    <w:i/>
                  </w:rPr>
                </m:ctrlPr>
              </m:e>
            </m:acc>
            <m:ctrlPr>
              <w:rPr>
                <w:rFonts w:ascii="Cambria Math" w:hAnsi="Cambria Math"/>
                <w:i/>
              </w:rPr>
            </m:ctrlPr>
          </m:e>
          <m:sub>
            <m:r>
              <m:rPr/>
              <w:rPr>
                <w:rFonts w:ascii="Cambria Math" w:hAnsi="Cambria Math"/>
              </w:rPr>
              <m:t>LOS</m:t>
            </m:r>
            <m:ctrlPr>
              <w:rPr>
                <w:rFonts w:ascii="Cambria Math" w:hAnsi="Cambria Math"/>
                <w:i/>
              </w:rPr>
            </m:ctrlPr>
          </m:sub>
        </m:sSub>
      </m:oMath>
      <w:r>
        <w:t>, for the identified LoS link using existing LOS/NLOS classification implementation supporting Rel-17 positioning, or (2) an AI/ML model (which can be the same or different than the model for LOS/NLOS classification).</w:t>
      </w:r>
    </w:p>
    <w:p w14:paraId="2E69B6BF">
      <w:r>
        <w:t>Rel-17 specs supports the network providing the TRP locations to the UE. Using the UE position estimates and the TRP location of the LoS link, the UE can calculate the distance to the LoS TRP.</w:t>
      </w:r>
    </w:p>
    <w:p w14:paraId="2894950E">
      <w:r>
        <w:t>The UE can form an AI/ML model performance metric on its own direct positioning AI/ML model as</w:t>
      </w:r>
    </w:p>
    <w:p w14:paraId="6727017E">
      <m:oMathPara>
        <m:oMath>
          <m:d>
            <m:dPr>
              <m:begChr m:val="|"/>
              <m:endChr m:val="|"/>
              <m:ctrlPr>
                <w:rPr>
                  <w:rFonts w:ascii="Cambria Math" w:hAnsi="Cambria Math"/>
                  <w:i/>
                </w:rPr>
              </m:ctrlPr>
            </m:dPr>
            <m:e>
              <m:r>
                <m:rPr/>
                <w:rPr>
                  <w:rFonts w:ascii="Cambria Math" w:hAnsi="Cambria Math"/>
                </w:rPr>
                <m:t>dist</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m:rPr/>
                            <w:rPr>
                              <w:rFonts w:ascii="Cambria Math" w:hAnsi="Cambria Math"/>
                            </w:rPr>
                            <m:t>p</m:t>
                          </m:r>
                          <m:ctrlPr>
                            <w:rPr>
                              <w:rFonts w:ascii="Cambria Math" w:hAnsi="Cambria Math"/>
                              <w:i/>
                            </w:rPr>
                          </m:ctrlPr>
                        </m:e>
                      </m:acc>
                      <m:ctrlPr>
                        <w:rPr>
                          <w:rFonts w:ascii="Cambria Math" w:hAnsi="Cambria Math"/>
                          <w:i/>
                        </w:rPr>
                      </m:ctrlPr>
                    </m:e>
                    <m:sub>
                      <m:r>
                        <m:rPr/>
                        <w:rPr>
                          <w:rFonts w:ascii="Cambria Math" w:hAnsi="Cambria Math"/>
                        </w:rPr>
                        <m:t>UE</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TR</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LOS</m:t>
                          </m:r>
                          <m:ctrlPr>
                            <w:rPr>
                              <w:rFonts w:ascii="Cambria Math" w:hAnsi="Cambria Math"/>
                              <w:i/>
                            </w:rPr>
                          </m:ctrlPr>
                        </m:sub>
                      </m:sSub>
                      <m:ctrlPr>
                        <w:rPr>
                          <w:rFonts w:ascii="Cambria Math" w:hAnsi="Cambria Math"/>
                          <w:i/>
                        </w:rPr>
                      </m:ctrlPr>
                    </m:sub>
                  </m:sSub>
                  <m:ctrlPr>
                    <w:rPr>
                      <w:rFonts w:ascii="Cambria Math" w:hAnsi="Cambria Math"/>
                      <w:i/>
                    </w:rPr>
                  </m:ctrlPr>
                </m:e>
              </m:d>
              <m:r>
                <m:rPr/>
                <w:rPr>
                  <w:rFonts w:ascii="Cambria Math" w:hAnsi="Cambria Math"/>
                </w:rPr>
                <m:t>−c⋅</m:t>
              </m:r>
              <m:sSub>
                <m:sSubPr>
                  <m:ctrlPr>
                    <w:rPr>
                      <w:rFonts w:ascii="Cambria Math" w:hAnsi="Cambria Math"/>
                      <w:i/>
                    </w:rPr>
                  </m:ctrlPr>
                </m:sSubPr>
                <m:e>
                  <m:acc>
                    <m:accPr>
                      <m:ctrlPr>
                        <w:rPr>
                          <w:rFonts w:ascii="Cambria Math" w:hAnsi="Cambria Math" w:eastAsia="Calibri"/>
                          <w:i/>
                        </w:rPr>
                      </m:ctrlPr>
                    </m:accPr>
                    <m:e>
                      <m:r>
                        <m:rPr/>
                        <w:rPr>
                          <w:rFonts w:ascii="Cambria Math" w:hAnsi="Cambria Math"/>
                        </w:rPr>
                        <m:t>t</m:t>
                      </m:r>
                      <m:ctrlPr>
                        <w:rPr>
                          <w:rFonts w:ascii="Cambria Math" w:hAnsi="Cambria Math" w:eastAsia="Calibri"/>
                          <w:i/>
                        </w:rPr>
                      </m:ctrlPr>
                    </m:e>
                  </m:acc>
                  <m:ctrlPr>
                    <w:rPr>
                      <w:rFonts w:ascii="Cambria Math" w:hAnsi="Cambria Math"/>
                      <w:i/>
                    </w:rPr>
                  </m:ctrlPr>
                </m:e>
                <m:sub>
                  <m:r>
                    <m:rPr/>
                    <w:rPr>
                      <w:rFonts w:ascii="Cambria Math" w:hAnsi="Cambria Math"/>
                    </w:rPr>
                    <m:t>LOS</m:t>
                  </m:r>
                  <m:ctrlPr>
                    <w:rPr>
                      <w:rFonts w:ascii="Cambria Math" w:hAnsi="Cambria Math"/>
                      <w:i/>
                    </w:rPr>
                  </m:ctrlPr>
                </m:sub>
              </m:sSub>
              <m:ctrlPr>
                <w:rPr>
                  <w:rFonts w:ascii="Cambria Math" w:hAnsi="Cambria Math"/>
                  <w:i/>
                </w:rPr>
              </m:ctrlPr>
            </m:e>
          </m:d>
        </m:oMath>
      </m:oMathPara>
    </w:p>
    <w:p w14:paraId="5E711C95"/>
    <w:p w14:paraId="346269DB">
      <w:pPr>
        <w:jc w:val="center"/>
      </w:pPr>
      <w:r>
        <w:drawing>
          <wp:inline distT="0" distB="0" distL="0" distR="0">
            <wp:extent cx="2179955" cy="1891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8212" cy="1898023"/>
                    </a:xfrm>
                    <a:prstGeom prst="rect">
                      <a:avLst/>
                    </a:prstGeom>
                    <a:noFill/>
                  </pic:spPr>
                </pic:pic>
              </a:graphicData>
            </a:graphic>
          </wp:inline>
        </w:drawing>
      </w:r>
    </w:p>
    <w:p w14:paraId="3E83B559">
      <w:pPr>
        <w:pStyle w:val="29"/>
        <w:jc w:val="center"/>
      </w:pPr>
      <w:r>
        <w:t xml:space="preserve">Figure </w:t>
      </w:r>
      <w:r>
        <w:fldChar w:fldCharType="begin"/>
      </w:r>
      <w:r>
        <w:instrText xml:space="preserve"> SEQ Figure \* ARABIC </w:instrText>
      </w:r>
      <w:r>
        <w:fldChar w:fldCharType="separate"/>
      </w:r>
      <w:r>
        <w:t>6</w:t>
      </w:r>
      <w:r>
        <w:fldChar w:fldCharType="end"/>
      </w:r>
      <w:r>
        <w:t>. An example of UE in a cluttered location where there is only one LoS link to TRP4.</w:t>
      </w:r>
    </w:p>
    <w:p w14:paraId="5DD0F969">
      <w:r>
        <w:t xml:space="preserve"> </w:t>
      </w:r>
    </w:p>
    <w:p w14:paraId="34FD286E">
      <w:r>
        <w:t xml:space="preserve">In the following, we provide the evaluation results of such opportunistic LoS link based performance monitoring solution. </w:t>
      </w:r>
      <w:r>
        <w:fldChar w:fldCharType="begin"/>
      </w:r>
      <w:r>
        <w:instrText xml:space="preserve"> REF _Ref166241857 </w:instrText>
      </w:r>
      <w:r>
        <w:fldChar w:fldCharType="separate"/>
      </w:r>
      <w:r>
        <w:t>Figure 7</w:t>
      </w:r>
      <w:r>
        <w:fldChar w:fldCharType="end"/>
      </w:r>
      <w:r>
        <w:t xml:space="preserve"> shows the cumulative distribution function (CDF) of the AI/ML model performance metric described in the above.</w:t>
      </w:r>
    </w:p>
    <w:p w14:paraId="6F04E464">
      <w:pPr>
        <w:pStyle w:val="133"/>
        <w:numPr>
          <w:ilvl w:val="0"/>
          <w:numId w:val="64"/>
        </w:numPr>
      </w:pPr>
      <w:r>
        <w:t>The direct positioning model is trained using the data collected from the indoor factor scenario with 60% clutter density, and clutter height and width of 6 m and 2 m, respectively (i.e., InF-DH with clutter parameter {60%, 6m, 2m}).</w:t>
      </w:r>
    </w:p>
    <w:p w14:paraId="29BAC7C4">
      <w:pPr>
        <w:pStyle w:val="133"/>
        <w:numPr>
          <w:ilvl w:val="0"/>
          <w:numId w:val="64"/>
        </w:numPr>
      </w:pPr>
      <w:r>
        <w:t>The LOS/NLOS classification model is an with a computational complexity of less than 1M FLOPs. The model has been tuned to avoid false LoS classification and has a LoS miss probability of 27%. This model is used here since it was found to be effective working on a single TRP-UE link, where it generates LOS/NLOS classification, and ToA estimation if the link is classified as LoS.</w:t>
      </w:r>
    </w:p>
    <w:p w14:paraId="7D8E725B">
      <w:r>
        <w:t>Two curves are shown. One curve is for "same environment", which means that the inference environment is the same as the training environment for the inference model. The inference model performs normally in "same environment", i.e., no performance degradation. The other curve is for "new environment", which means that the inference environment is different from the training environment for the inference model, though both environments belong to InF-DH with clutter parameter {60%, 6m, 2m}, i.e., different random seeds were used. The inference model performs poorly in "new environment", i.e., performance degradation has occurred, and model performance monitoring method should detect it.</w:t>
      </w:r>
    </w:p>
    <w:p w14:paraId="5CC60A30">
      <w:r>
        <w:t xml:space="preserve">It can be observed that the CDF of the LoS link ToA difference of "same environment" is much smaller (more than an order of magnitude) and easily distinguishable from the CDF of "new environment". Thus model performance monitoring decision can be made based on the easily distinguishable behavior. </w:t>
      </w:r>
    </w:p>
    <w:p w14:paraId="3481BA77">
      <w:r>
        <w:t>Since the model inference environment is the heavily NLoS environment of InF-DH with clutter parameter {60%, 6m, 2m}, the LoS probability is low and inadequate for conventional positioning methods, as expected. However, approximately 10% of positioning requests (containing measurement samples for 18 TRP links) can be opportunistically leveraged for performing model monitoring, i.e., at least one link out of the 18 is LoS. This is adequate for the purpose of model performance monitoring.</w:t>
      </w:r>
    </w:p>
    <w:p w14:paraId="6FDB37B3">
      <w:pPr>
        <w:jc w:val="center"/>
      </w:pPr>
      <w:r>
        <w:drawing>
          <wp:inline distT="0" distB="0" distL="0" distR="0">
            <wp:extent cx="3657600" cy="28511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657600" cy="2851251"/>
                    </a:xfrm>
                    <a:prstGeom prst="rect">
                      <a:avLst/>
                    </a:prstGeom>
                  </pic:spPr>
                </pic:pic>
              </a:graphicData>
            </a:graphic>
          </wp:inline>
        </w:drawing>
      </w:r>
    </w:p>
    <w:p w14:paraId="47F4D160">
      <w:pPr>
        <w:pStyle w:val="29"/>
      </w:pPr>
      <w:bookmarkStart w:id="2539" w:name="_Ref166241857"/>
      <w:r>
        <w:t xml:space="preserve">Figure </w:t>
      </w:r>
      <w:r>
        <w:fldChar w:fldCharType="begin"/>
      </w:r>
      <w:r>
        <w:instrText xml:space="preserve"> SEQ Figure \* ARABIC </w:instrText>
      </w:r>
      <w:r>
        <w:fldChar w:fldCharType="separate"/>
      </w:r>
      <w:r>
        <w:t>7</w:t>
      </w:r>
      <w:r>
        <w:fldChar w:fldCharType="end"/>
      </w:r>
      <w:bookmarkEnd w:id="2539"/>
      <w:r>
        <w:t>. Cumulative distribution function of the difference of the ToA reports generated by the inference model and the monitoring model for the links classified as LoS by the monitoring model in two different realizations of InF-DH with clutter parameter {60%, 6m, 2m}.</w:t>
      </w:r>
    </w:p>
    <w:p w14:paraId="161139C0">
      <w:pPr>
        <w:tabs>
          <w:tab w:val="left" w:pos="814"/>
        </w:tabs>
      </w:pPr>
      <w:r>
        <w:tab/>
      </w:r>
    </w:p>
    <w:p w14:paraId="2DE1477A">
      <w:r>
        <w:t xml:space="preserve">This evaluation result demonstrates that it is effective to monitor AI/ML model performance using opportunistic LoS links even in a heavily NLoS environment like InF-DH with clutter parameter {60%, 6m, 2m}. </w:t>
      </w:r>
    </w:p>
    <w:p w14:paraId="367FED29">
      <w:r>
        <w:t xml:space="preserve">In general, the key is to provide reliable LoS link identification to the model inference entity, regardless of how such information is obtained. For instance, non-AI methods (e.g., legacy methods in existing specification) can also be used to provide the LOS/NLOS classification as long as false positive (i.e., incorrectly classify a link as LoS) probability is kept low. </w:t>
      </w:r>
    </w:p>
    <w:p w14:paraId="50F40711">
      <w:r>
        <w:t>In summary, for Case 1, the target UE can perform label-based model performance monitoring for its own model without assistance from other entities (e.g., LMF, PRU).</w:t>
      </w:r>
    </w:p>
    <w:p w14:paraId="3CBFE567">
      <w:r>
        <w:t>While the discussion above emphasized self-contained model performance monitoring by the target UE, the same principle can be applied if another entity (e.g., LMF) is willing to assist the target UE with label related information.</w:t>
      </w:r>
    </w:p>
    <w:p w14:paraId="28D06C2C">
      <w:r>
        <w:t>In general, the LoS identification can be provided by an entity different from the model inference entity to have independent information for model monitoring. Thus, for a model deployed in one node (i.e. gNB, LMF or the UE), the LoS state of a link can be signalled from another node (i.e. another gNB, UE). For example, a UE hosting the AI/ML model and measuring the DL PRS may also be configured to transmit SRS. Hence the LoS state of a given PRS resource may be known to gNB at a given time. To assist the model monitoring of the model hosted by the UE, the LMF could relay to the UE an assistance data, e.g., which PRS resource propagated via a LoS link and at what time.</w:t>
      </w:r>
    </w:p>
    <w:p w14:paraId="5ED29FF6">
      <w:r>
        <w:t xml:space="preserve">As shown below, in legacy UE-based positioning methods, LMF can already inform the UE of LoS link state in assistance data, which helps the UE to calculate the location. </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2"/>
      </w:tblGrid>
      <w:tr w14:paraId="2B90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2" w:type="dxa"/>
          </w:tcPr>
          <w:p w14:paraId="514F8140">
            <w:pPr>
              <w:spacing w:after="0"/>
              <w:rPr>
                <w:sz w:val="20"/>
                <w:szCs w:val="20"/>
              </w:rPr>
            </w:pPr>
            <w:r>
              <w:t>TS 37.355 v18.0.0</w:t>
            </w:r>
          </w:p>
          <w:p w14:paraId="721E48C4">
            <w:pPr>
              <w:spacing w:after="0"/>
              <w:rPr>
                <w:szCs w:val="20"/>
              </w:rPr>
            </w:pPr>
            <w:bookmarkStart w:id="2540" w:name="_Toc165991015"/>
            <w:r>
              <w:t>–</w:t>
            </w:r>
            <w:r>
              <w:tab/>
            </w:r>
            <w:r>
              <w:t>NR-DL-PRS-ExpectedLOS-NLOS-Assistance</w:t>
            </w:r>
            <w:bookmarkEnd w:id="2540"/>
          </w:p>
          <w:p w14:paraId="0EDA8336">
            <w:pPr>
              <w:keepLines/>
              <w:spacing w:after="0"/>
              <w:rPr>
                <w:sz w:val="20"/>
                <w:szCs w:val="20"/>
              </w:rPr>
            </w:pPr>
            <w:r>
              <w:t xml:space="preserve">The IE </w:t>
            </w:r>
            <w:r>
              <w:rPr>
                <w:i/>
                <w:color w:val="FF0000"/>
              </w:rPr>
              <w:t xml:space="preserve">NR-DL-PRS-ExpectedLOS-NLOS-Assistance </w:t>
            </w:r>
            <w:r>
              <w:rPr>
                <w:color w:val="FF0000"/>
              </w:rPr>
              <w:t xml:space="preserve">is used by the location server to provide the expected likelihood of a LOS propagation path </w:t>
            </w:r>
            <w:r>
              <w:t>from a TRP to the target device, or for all DL-PRS Resources of the TRP to the target device.</w:t>
            </w:r>
          </w:p>
          <w:p w14:paraId="6FE879C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z w:val="14"/>
              </w:rPr>
              <w:t>-- ASN1START</w:t>
            </w:r>
          </w:p>
          <w:p w14:paraId="44945B86">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4"/>
                <w:szCs w:val="20"/>
              </w:rPr>
            </w:pPr>
          </w:p>
          <w:p w14:paraId="0A87FF5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4"/>
                <w:szCs w:val="20"/>
              </w:rPr>
            </w:pPr>
            <w:r>
              <w:rPr>
                <w:rFonts w:ascii="Courier New" w:hAnsi="Courier New"/>
                <w:snapToGrid w:val="0"/>
                <w:sz w:val="14"/>
              </w:rPr>
              <w:t xml:space="preserve">NR-DL-PRS-ExpectedLOS-NLOS-Assistance-r17 </w:t>
            </w:r>
            <w:r>
              <w:rPr>
                <w:rFonts w:ascii="Courier New" w:hAnsi="Courier New"/>
                <w:sz w:val="14"/>
              </w:rPr>
              <w:t>::= SEQUENCE (SIZE (1..nrMaxFreqLayers-r16)) OF</w:t>
            </w:r>
          </w:p>
          <w:p w14:paraId="1E5AA5E3">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napToGrid w:val="0"/>
                <w:sz w:val="14"/>
              </w:rPr>
              <w:t>NR-DL-PRS-ExpectedLOS-NLOS-Assistance</w:t>
            </w:r>
            <w:r>
              <w:rPr>
                <w:rFonts w:ascii="Courier New" w:hAnsi="Courier New"/>
                <w:sz w:val="14"/>
              </w:rPr>
              <w:t>PerFreqLayer-r17</w:t>
            </w:r>
          </w:p>
          <w:p w14:paraId="169AB8AE">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p>
          <w:p w14:paraId="48AB9C1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z w:val="14"/>
              </w:rPr>
              <w:t>NR-DL-PRS-ExpectedLOS-NLOS-AssistancePerFreqLayer-r17 ::=</w:t>
            </w:r>
          </w:p>
          <w:p w14:paraId="7A8EFC2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SEQUENCE (SIZE (1..nrMaxTRPsPerFreq-r16)) OF</w:t>
            </w:r>
          </w:p>
          <w:p w14:paraId="5A6B9AE3">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napToGrid w:val="0"/>
                <w:sz w:val="14"/>
              </w:rPr>
              <w:t>NR-DL-PRS-ExpectedLOS-NLOS-Assistance</w:t>
            </w:r>
            <w:r>
              <w:rPr>
                <w:rFonts w:ascii="Courier New" w:hAnsi="Courier New"/>
                <w:sz w:val="14"/>
              </w:rPr>
              <w:t>PerTRP-r17</w:t>
            </w:r>
          </w:p>
          <w:p w14:paraId="6D21DE17">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p>
          <w:p w14:paraId="4751FA36">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napToGrid w:val="0"/>
                <w:sz w:val="14"/>
              </w:rPr>
              <w:t>NR-DL-PRS-ExpectedLOS-NLOS-AssistancePerTRP-r17</w:t>
            </w:r>
            <w:r>
              <w:rPr>
                <w:rFonts w:ascii="Courier New" w:hAnsi="Courier New"/>
                <w:sz w:val="14"/>
              </w:rPr>
              <w:t xml:space="preserve"> ::= SEQUENCE {</w:t>
            </w:r>
          </w:p>
          <w:p w14:paraId="2EF8CC26">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4"/>
                <w:szCs w:val="20"/>
                <w:lang w:val="sv-SE"/>
              </w:rPr>
            </w:pPr>
            <w:r>
              <w:rPr>
                <w:rFonts w:ascii="Courier New" w:hAnsi="Courier New"/>
                <w:snapToGrid w:val="0"/>
                <w:sz w:val="14"/>
              </w:rPr>
              <w:tab/>
            </w:r>
            <w:r>
              <w:rPr>
                <w:rFonts w:ascii="Courier New" w:hAnsi="Courier New"/>
                <w:snapToGrid w:val="0"/>
                <w:sz w:val="14"/>
                <w:lang w:val="sv-SE"/>
              </w:rPr>
              <w:t>dl-PRS-ID-r17</w:t>
            </w:r>
            <w:r>
              <w:rPr>
                <w:rFonts w:ascii="Courier New" w:hAnsi="Courier New"/>
                <w:snapToGrid w:val="0"/>
                <w:sz w:val="14"/>
                <w:lang w:val="sv-SE"/>
              </w:rPr>
              <w:tab/>
            </w:r>
            <w:r>
              <w:rPr>
                <w:rFonts w:ascii="Courier New" w:hAnsi="Courier New"/>
                <w:snapToGrid w:val="0"/>
                <w:sz w:val="14"/>
                <w:lang w:val="sv-SE"/>
              </w:rPr>
              <w:tab/>
            </w:r>
            <w:r>
              <w:rPr>
                <w:rFonts w:ascii="Courier New" w:hAnsi="Courier New"/>
                <w:snapToGrid w:val="0"/>
                <w:sz w:val="14"/>
                <w:lang w:val="sv-SE"/>
              </w:rPr>
              <w:tab/>
            </w:r>
            <w:r>
              <w:rPr>
                <w:rFonts w:ascii="Courier New" w:hAnsi="Courier New"/>
                <w:snapToGrid w:val="0"/>
                <w:sz w:val="14"/>
                <w:lang w:val="sv-SE"/>
              </w:rPr>
              <w:tab/>
            </w:r>
            <w:r>
              <w:rPr>
                <w:rFonts w:ascii="Courier New" w:hAnsi="Courier New"/>
                <w:snapToGrid w:val="0"/>
                <w:sz w:val="14"/>
                <w:lang w:val="sv-SE"/>
              </w:rPr>
              <w:t>INTEGER (0..255),</w:t>
            </w:r>
          </w:p>
          <w:p w14:paraId="19BCA22D">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4"/>
                <w:szCs w:val="20"/>
              </w:rPr>
            </w:pPr>
            <w:r>
              <w:rPr>
                <w:rFonts w:ascii="Courier New" w:hAnsi="Courier New"/>
                <w:snapToGrid w:val="0"/>
                <w:sz w:val="14"/>
                <w:lang w:val="sv-SE"/>
              </w:rPr>
              <w:tab/>
            </w:r>
            <w:r>
              <w:rPr>
                <w:rFonts w:ascii="Courier New" w:hAnsi="Courier New"/>
                <w:snapToGrid w:val="0"/>
                <w:sz w:val="14"/>
              </w:rPr>
              <w:t>nr-PhysCellID-r17</w:t>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NR-PhysCellID-r16</w:t>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OPTIONAL,</w:t>
            </w:r>
            <w:r>
              <w:rPr>
                <w:rFonts w:ascii="Courier New" w:hAnsi="Courier New"/>
                <w:snapToGrid w:val="0"/>
                <w:sz w:val="14"/>
              </w:rPr>
              <w:tab/>
            </w:r>
            <w:r>
              <w:rPr>
                <w:rFonts w:ascii="Courier New" w:hAnsi="Courier New"/>
                <w:snapToGrid w:val="0"/>
                <w:sz w:val="14"/>
              </w:rPr>
              <w:t>-- Need ON</w:t>
            </w:r>
          </w:p>
          <w:p w14:paraId="74A6600D">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4"/>
                <w:szCs w:val="20"/>
              </w:rPr>
            </w:pPr>
            <w:r>
              <w:rPr>
                <w:rFonts w:ascii="Courier New" w:hAnsi="Courier New"/>
                <w:snapToGrid w:val="0"/>
                <w:sz w:val="14"/>
              </w:rPr>
              <w:tab/>
            </w:r>
            <w:r>
              <w:rPr>
                <w:rFonts w:ascii="Courier New" w:hAnsi="Courier New"/>
                <w:snapToGrid w:val="0"/>
                <w:sz w:val="14"/>
              </w:rPr>
              <w:t>nr-CellGlobalID-r17</w:t>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NCGI-r15</w:t>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OPTIONAL,</w:t>
            </w:r>
            <w:r>
              <w:rPr>
                <w:rFonts w:ascii="Courier New" w:hAnsi="Courier New"/>
                <w:snapToGrid w:val="0"/>
                <w:sz w:val="14"/>
              </w:rPr>
              <w:tab/>
            </w:r>
            <w:r>
              <w:rPr>
                <w:rFonts w:ascii="Courier New" w:hAnsi="Courier New"/>
                <w:snapToGrid w:val="0"/>
                <w:sz w:val="14"/>
              </w:rPr>
              <w:t>-- Need ON</w:t>
            </w:r>
          </w:p>
          <w:p w14:paraId="2DBFCC68">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4"/>
                <w:szCs w:val="20"/>
              </w:rPr>
            </w:pPr>
            <w:r>
              <w:rPr>
                <w:rFonts w:ascii="Courier New" w:hAnsi="Courier New"/>
                <w:snapToGrid w:val="0"/>
                <w:sz w:val="14"/>
              </w:rPr>
              <w:tab/>
            </w:r>
            <w:r>
              <w:rPr>
                <w:rFonts w:ascii="Courier New" w:hAnsi="Courier New"/>
                <w:sz w:val="14"/>
              </w:rPr>
              <w:t>nr-ARFCN</w:t>
            </w:r>
            <w:r>
              <w:rPr>
                <w:rFonts w:ascii="Courier New" w:hAnsi="Courier New"/>
                <w:snapToGrid w:val="0"/>
                <w:sz w:val="14"/>
              </w:rPr>
              <w:t>-r17</w:t>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ARFCN-ValueNR-r15</w:t>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OPTIONAL,</w:t>
            </w:r>
            <w:r>
              <w:rPr>
                <w:rFonts w:ascii="Courier New" w:hAnsi="Courier New"/>
                <w:snapToGrid w:val="0"/>
                <w:sz w:val="14"/>
              </w:rPr>
              <w:tab/>
            </w:r>
            <w:r>
              <w:rPr>
                <w:rFonts w:ascii="Courier New" w:hAnsi="Courier New"/>
                <w:snapToGrid w:val="0"/>
                <w:sz w:val="14"/>
              </w:rPr>
              <w:t>-- Need ON</w:t>
            </w:r>
          </w:p>
          <w:p w14:paraId="32118B06">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4"/>
                <w:szCs w:val="20"/>
              </w:rPr>
            </w:pPr>
            <w:r>
              <w:rPr>
                <w:rFonts w:ascii="Courier New" w:hAnsi="Courier New"/>
                <w:snapToGrid w:val="0"/>
                <w:sz w:val="14"/>
              </w:rPr>
              <w:tab/>
            </w:r>
            <w:r>
              <w:rPr>
                <w:rFonts w:ascii="Courier New" w:hAnsi="Courier New"/>
                <w:color w:val="FF0000"/>
                <w:sz w:val="14"/>
              </w:rPr>
              <w:t>nr-los-nlos-indicator-r17</w:t>
            </w:r>
            <w:r>
              <w:rPr>
                <w:rFonts w:ascii="Courier New" w:hAnsi="Courier New"/>
                <w:sz w:val="14"/>
              </w:rPr>
              <w:tab/>
            </w:r>
            <w:r>
              <w:rPr>
                <w:rFonts w:ascii="Courier New" w:hAnsi="Courier New"/>
                <w:sz w:val="14"/>
              </w:rPr>
              <w:t>CHOICE {</w:t>
            </w:r>
          </w:p>
          <w:p w14:paraId="660F2577">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perTrp-r17</w:t>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LOS-NLOS-Indicator-r17,</w:t>
            </w:r>
          </w:p>
          <w:p w14:paraId="6E1D4096">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perResource-r17</w:t>
            </w:r>
            <w:r>
              <w:rPr>
                <w:rFonts w:ascii="Courier New" w:hAnsi="Courier New"/>
                <w:sz w:val="14"/>
              </w:rPr>
              <w:tab/>
            </w:r>
            <w:r>
              <w:rPr>
                <w:rFonts w:ascii="Courier New" w:hAnsi="Courier New"/>
                <w:sz w:val="14"/>
              </w:rPr>
              <w:tab/>
            </w:r>
            <w:r>
              <w:rPr>
                <w:rFonts w:ascii="Courier New" w:hAnsi="Courier New"/>
                <w:snapToGrid w:val="0"/>
                <w:sz w:val="14"/>
              </w:rPr>
              <w:t>SEQUENCE (SIZE (1..nrMaxSetsPerTrpPerFreqLayer-r16)) OF</w:t>
            </w:r>
          </w:p>
          <w:p w14:paraId="7343AC1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ab/>
            </w:r>
            <w:r>
              <w:rPr>
                <w:rFonts w:ascii="Courier New" w:hAnsi="Courier New"/>
                <w:snapToGrid w:val="0"/>
                <w:sz w:val="14"/>
              </w:rPr>
              <w:t>NR-DL-PRS-ExpectedLOS-NLOS-AssistancePer</w:t>
            </w:r>
            <w:r>
              <w:rPr>
                <w:rFonts w:ascii="Courier New" w:hAnsi="Courier New"/>
                <w:sz w:val="14"/>
              </w:rPr>
              <w:t>Resource-r17</w:t>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w:t>
            </w:r>
          </w:p>
          <w:p w14:paraId="062D898F">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z w:val="14"/>
              </w:rPr>
              <w:tab/>
            </w:r>
            <w:r>
              <w:rPr>
                <w:rFonts w:ascii="Courier New" w:hAnsi="Courier New"/>
                <w:sz w:val="14"/>
              </w:rPr>
              <w:t>...</w:t>
            </w:r>
          </w:p>
          <w:p w14:paraId="1C02E408">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napToGrid w:val="0"/>
                <w:sz w:val="14"/>
                <w:szCs w:val="20"/>
              </w:rPr>
            </w:pPr>
            <w:r>
              <w:rPr>
                <w:rFonts w:ascii="Courier New" w:hAnsi="Courier New"/>
                <w:sz w:val="14"/>
              </w:rPr>
              <w:t>}</w:t>
            </w:r>
          </w:p>
          <w:p w14:paraId="35F2B969">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p>
          <w:p w14:paraId="3BBFB4F5">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napToGrid w:val="0"/>
                <w:sz w:val="14"/>
              </w:rPr>
              <w:t>NR-DL-PRS-ExpectedLOS-NLOS-AssistancePerResource-r17</w:t>
            </w:r>
            <w:r>
              <w:rPr>
                <w:rFonts w:ascii="Courier New" w:hAnsi="Courier New"/>
                <w:sz w:val="14"/>
              </w:rPr>
              <w:t xml:space="preserve"> ::=</w:t>
            </w:r>
          </w:p>
          <w:p w14:paraId="448DDD3E">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SEQUENCE (SIZE (1..</w:t>
            </w:r>
            <w:r>
              <w:rPr>
                <w:rFonts w:ascii="Courier New" w:hAnsi="Courier New"/>
                <w:snapToGrid w:val="0"/>
                <w:sz w:val="14"/>
              </w:rPr>
              <w:t>nrMaxResourcesPerSet-r16</w:t>
            </w:r>
            <w:r>
              <w:rPr>
                <w:rFonts w:ascii="Courier New" w:hAnsi="Courier New"/>
                <w:sz w:val="14"/>
              </w:rPr>
              <w:t>)) OF</w:t>
            </w:r>
          </w:p>
          <w:p w14:paraId="116D5CE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sz w:val="14"/>
                <w:szCs w:val="20"/>
              </w:rPr>
            </w:pP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ab/>
            </w:r>
            <w:r>
              <w:rPr>
                <w:rFonts w:ascii="Courier New" w:hAnsi="Courier New"/>
                <w:sz w:val="14"/>
              </w:rPr>
              <w:t>LOS-NLOS-Indicator-r17</w:t>
            </w:r>
          </w:p>
        </w:tc>
      </w:tr>
    </w:tbl>
    <w:p w14:paraId="735D13F2"/>
    <w:p w14:paraId="46573A7F">
      <w:r>
        <w:t>Thus, similar LOS/NLOS assistance data can be signaled to assist with model monitoring. With the assistance data on LoS links, model output accuracy can be calculated for model performance monitoring of both direct and assisted AI/ML positioning.</w:t>
      </w:r>
    </w:p>
    <w:p w14:paraId="1B6BEFA2">
      <w:pPr>
        <w:pStyle w:val="4"/>
      </w:pPr>
      <w:r>
        <w:tab/>
      </w:r>
      <w:bookmarkStart w:id="2541" w:name="_Ref166243197"/>
      <w:bookmarkStart w:id="2542" w:name="_Toc189845057"/>
      <w:bookmarkStart w:id="2543" w:name="_Toc165991016"/>
      <w:bookmarkStart w:id="2544" w:name="_Ref164864197"/>
      <w:bookmarkStart w:id="2545" w:name="_Ref166192754"/>
      <w:r>
        <w:t xml:space="preserve">Monitoring approach 2 </w:t>
      </w:r>
      <w:r>
        <w:rPr>
          <w:lang w:val="en-US"/>
        </w:rPr>
        <w:t>(Label-based)</w:t>
      </w:r>
      <w:r>
        <w:t xml:space="preserve"> for assisted AI/ML positioning</w:t>
      </w:r>
      <w:bookmarkEnd w:id="2541"/>
      <w:bookmarkEnd w:id="2542"/>
      <w:bookmarkEnd w:id="2543"/>
      <w:bookmarkEnd w:id="2544"/>
      <w:bookmarkEnd w:id="2545"/>
      <w:r>
        <w:t xml:space="preserve"> </w:t>
      </w:r>
    </w:p>
    <w:p w14:paraId="16D4D6FF">
      <w:r>
        <w:t>For assisted AI/ML positioning (Case 3a/2a), the gNB (Case 3a) or target UE (Case 2a) has an AI/ML model taking multiple measurement inputs to produce multiple model outputs such as the ToAs to multiple TRPs. The ToAs can then further processed by the LMF to produce an estimate of the UE position using, for example, conventional triangulation optimization.</w:t>
      </w:r>
    </w:p>
    <w:p w14:paraId="7E48B080">
      <w:r>
        <w:t xml:space="preserve">By leveraging the associated triangulation optimization, the AI/ML model can be monitored without collecting new test samples. As shown in </w:t>
      </w:r>
      <w:r>
        <w:fldChar w:fldCharType="begin"/>
      </w:r>
      <w:r>
        <w:instrText xml:space="preserve"> REF _Ref164865995 \h </w:instrText>
      </w:r>
      <w:r>
        <w:fldChar w:fldCharType="separate"/>
      </w:r>
      <w:r>
        <w:t>Figure 5</w:t>
      </w:r>
      <w:r>
        <w:fldChar w:fldCharType="end"/>
      </w:r>
      <w:r>
        <w:t xml:space="preserve"> (b), the positioning algorithm takes the estimated time of arrivals into conventional triangulation-based error minimization framework to search and determine the UE position. It can be expected that the minimization outcome will have smaller residual losses when the AI/ML models are operating in the correct environment and are generating correct time of arrivals than when the models are applied to an environment different than the one used to train the models.</w:t>
      </w:r>
    </w:p>
    <w:p w14:paraId="45A823B9">
      <w:r>
        <w:t>Therefore, the residual losses from conventional triangulation-based error minimization positioning algorithms</w:t>
      </w:r>
    </w:p>
    <w:p w14:paraId="5E6F488C">
      <m:oMathPara>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ctrlPr>
                    <w:rPr>
                      <w:rFonts w:ascii="Cambria Math" w:hAnsi="Cambria Math"/>
                      <w:i/>
                      <w:iCs/>
                    </w:rPr>
                  </m:ctrlPr>
                </m:e>
                <m:lim>
                  <m:sSub>
                    <m:sSubPr>
                      <m:ctrlPr>
                        <w:rPr>
                          <w:rFonts w:ascii="Cambria Math" w:hAnsi="Cambria Math"/>
                          <w:i/>
                          <w:iCs/>
                        </w:rPr>
                      </m:ctrlPr>
                    </m:sSubPr>
                    <m:e>
                      <m:acc>
                        <m:accPr>
                          <m:ctrlPr>
                            <w:rPr>
                              <w:rFonts w:ascii="Cambria Math" w:hAnsi="Cambria Math"/>
                              <w:i/>
                              <w:iCs/>
                            </w:rPr>
                          </m:ctrlPr>
                        </m:accPr>
                        <m:e>
                          <m:r>
                            <m:rPr/>
                            <w:rPr>
                              <w:rFonts w:ascii="Cambria Math" w:hAnsi="Cambria Math"/>
                            </w:rPr>
                            <m:t>p</m:t>
                          </m:r>
                          <m:ctrlPr>
                            <w:rPr>
                              <w:rFonts w:ascii="Cambria Math" w:hAnsi="Cambria Math"/>
                              <w:i/>
                              <w:iCs/>
                            </w:rPr>
                          </m:ctrlPr>
                        </m:e>
                      </m:acc>
                      <m:ctrlPr>
                        <w:rPr>
                          <w:rFonts w:ascii="Cambria Math" w:hAnsi="Cambria Math"/>
                          <w:i/>
                          <w:iCs/>
                        </w:rPr>
                      </m:ctrlPr>
                    </m:e>
                    <m:sub>
                      <m:r>
                        <m:rPr/>
                        <w:rPr>
                          <w:rFonts w:ascii="Cambria Math" w:hAnsi="Cambria Math"/>
                        </w:rPr>
                        <m:t>UE</m:t>
                      </m:r>
                      <m:ctrlPr>
                        <w:rPr>
                          <w:rFonts w:ascii="Cambria Math" w:hAnsi="Cambria Math"/>
                          <w:i/>
                          <w:iCs/>
                        </w:rPr>
                      </m:ctrlPr>
                    </m:sub>
                  </m:sSub>
                  <m:ctrlPr>
                    <w:rPr>
                      <w:rFonts w:ascii="Cambria Math" w:hAnsi="Cambria Math"/>
                      <w:i/>
                      <w:iCs/>
                    </w:rPr>
                  </m:ctrlPr>
                </m:lim>
              </m:limLow>
              <m:ctrlPr>
                <w:rPr>
                  <w:rFonts w:ascii="Cambria Math" w:hAnsi="Cambria Math"/>
                  <w:i/>
                  <w:iCs/>
                </w:rPr>
              </m:ctrlPr>
            </m:fName>
            <m:e>
              <m:nary>
                <m:naryPr>
                  <m:chr m:val="∑"/>
                  <m:supHide m:val="1"/>
                  <m:ctrlPr>
                    <w:rPr>
                      <w:rFonts w:ascii="Cambria Math" w:hAnsi="Cambria Math"/>
                      <w:i/>
                      <w:iCs/>
                    </w:rPr>
                  </m:ctrlPr>
                </m:naryPr>
                <m:sub>
                  <m:r>
                    <m:rPr/>
                    <w:rPr>
                      <w:rFonts w:ascii="Cambria Math" w:hAnsi="Cambria Math"/>
                    </w:rPr>
                    <m:t>i</m:t>
                  </m:r>
                  <m:ctrlPr>
                    <w:rPr>
                      <w:rFonts w:ascii="Cambria Math" w:hAnsi="Cambria Math"/>
                      <w:i/>
                      <w:iCs/>
                    </w:rPr>
                  </m:ctrlPr>
                </m:sub>
                <m:sup>
                  <m:ctrlPr>
                    <w:rPr>
                      <w:rFonts w:ascii="Cambria Math" w:hAnsi="Cambria Math"/>
                      <w:i/>
                      <w:iCs/>
                    </w:rPr>
                  </m:ctrlPr>
                </m:sup>
                <m:e>
                  <m:d>
                    <m:dPr>
                      <m:begChr m:val="|"/>
                      <m:endChr m:val="|"/>
                      <m:ctrlPr>
                        <w:rPr>
                          <w:rFonts w:ascii="Cambria Math" w:hAnsi="Cambria Math"/>
                          <w:i/>
                          <w:iCs/>
                        </w:rPr>
                      </m:ctrlPr>
                    </m:dPr>
                    <m:e>
                      <m:r>
                        <m:rPr/>
                        <w:rPr>
                          <w:rFonts w:ascii="Cambria Math" w:hAnsi="Cambria Math"/>
                        </w:rPr>
                        <m:t>d</m:t>
                      </m:r>
                      <m:d>
                        <m:dPr>
                          <m:ctrlPr>
                            <w:rPr>
                              <w:rFonts w:ascii="Cambria Math" w:hAnsi="Cambria Math"/>
                              <w:i/>
                              <w:iCs/>
                            </w:rPr>
                          </m:ctrlPr>
                        </m:dPr>
                        <m:e>
                          <m:sSub>
                            <m:sSubPr>
                              <m:ctrlPr>
                                <w:rPr>
                                  <w:rFonts w:ascii="Cambria Math" w:hAnsi="Cambria Math"/>
                                  <w:i/>
                                  <w:iCs/>
                                </w:rPr>
                              </m:ctrlPr>
                            </m:sSubPr>
                            <m:e>
                              <m:acc>
                                <m:accPr>
                                  <m:ctrlPr>
                                    <w:rPr>
                                      <w:rFonts w:ascii="Cambria Math" w:hAnsi="Cambria Math"/>
                                      <w:i/>
                                      <w:iCs/>
                                    </w:rPr>
                                  </m:ctrlPr>
                                </m:accPr>
                                <m:e>
                                  <m:r>
                                    <m:rPr/>
                                    <w:rPr>
                                      <w:rFonts w:ascii="Cambria Math" w:hAnsi="Cambria Math"/>
                                    </w:rPr>
                                    <m:t>p</m:t>
                                  </m:r>
                                  <m:ctrlPr>
                                    <w:rPr>
                                      <w:rFonts w:ascii="Cambria Math" w:hAnsi="Cambria Math"/>
                                      <w:i/>
                                      <w:iCs/>
                                    </w:rPr>
                                  </m:ctrlPr>
                                </m:e>
                              </m:acc>
                              <m:ctrlPr>
                                <w:rPr>
                                  <w:rFonts w:ascii="Cambria Math" w:hAnsi="Cambria Math"/>
                                  <w:i/>
                                  <w:iCs/>
                                </w:rPr>
                              </m:ctrlPr>
                            </m:e>
                            <m:sub>
                              <m:r>
                                <m:rPr/>
                                <w:rPr>
                                  <w:rFonts w:ascii="Cambria Math" w:hAnsi="Cambria Math"/>
                                </w:rPr>
                                <m:t>UE</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TRP</m:t>
                              </m:r>
                              <m:ctrlPr>
                                <w:rPr>
                                  <w:rFonts w:ascii="Cambria Math" w:hAnsi="Cambria Math"/>
                                  <w:i/>
                                  <w:iCs/>
                                </w:rPr>
                              </m:ctrlPr>
                            </m:sub>
                          </m:sSub>
                          <m:d>
                            <m:dPr>
                              <m:ctrlPr>
                                <w:rPr>
                                  <w:rFonts w:ascii="Cambria Math" w:hAnsi="Cambria Math"/>
                                  <w:i/>
                                  <w:iCs/>
                                </w:rPr>
                              </m:ctrlPr>
                            </m:dPr>
                            <m:e>
                              <m:r>
                                <m:rPr/>
                                <w:rPr>
                                  <w:rFonts w:ascii="Cambria Math" w:hAnsi="Cambria Math"/>
                                </w:rPr>
                                <m:t>i</m:t>
                              </m:r>
                              <m:ctrlPr>
                                <w:rPr>
                                  <w:rFonts w:ascii="Cambria Math" w:hAnsi="Cambria Math"/>
                                  <w:i/>
                                  <w:iCs/>
                                </w:rPr>
                              </m:ctrlPr>
                            </m:e>
                          </m:d>
                          <m:ctrlPr>
                            <w:rPr>
                              <w:rFonts w:ascii="Cambria Math" w:hAnsi="Cambria Math"/>
                              <w:i/>
                              <w:iCs/>
                            </w:rPr>
                          </m:ctrlPr>
                        </m:e>
                      </m:d>
                      <m:r>
                        <m:rPr/>
                        <w:rPr>
                          <w:rFonts w:ascii="Cambria Math" w:hAnsi="Cambria Math"/>
                        </w:rPr>
                        <m:t>−c⋅</m:t>
                      </m:r>
                      <m:acc>
                        <m:accPr>
                          <m:ctrlPr>
                            <w:rPr>
                              <w:rFonts w:ascii="Cambria Math" w:hAnsi="Cambria Math"/>
                              <w:i/>
                              <w:iCs/>
                            </w:rPr>
                          </m:ctrlPr>
                        </m:accPr>
                        <m:e>
                          <m:r>
                            <m:rPr/>
                            <w:rPr>
                              <w:rFonts w:ascii="Cambria Math" w:hAnsi="Cambria Math"/>
                            </w:rPr>
                            <m:t>t</m:t>
                          </m:r>
                          <m:ctrlPr>
                            <w:rPr>
                              <w:rFonts w:ascii="Cambria Math" w:hAnsi="Cambria Math"/>
                              <w:i/>
                              <w:iCs/>
                            </w:rPr>
                          </m:ctrlPr>
                        </m:e>
                      </m:acc>
                      <m:d>
                        <m:dPr>
                          <m:ctrlPr>
                            <w:rPr>
                              <w:rFonts w:ascii="Cambria Math" w:hAnsi="Cambria Math"/>
                              <w:i/>
                              <w:iCs/>
                            </w:rPr>
                          </m:ctrlPr>
                        </m:dPr>
                        <m:e>
                          <m:r>
                            <m:rPr/>
                            <w:rPr>
                              <w:rFonts w:ascii="Cambria Math" w:hAnsi="Cambria Math"/>
                            </w:rPr>
                            <m:t>i</m:t>
                          </m:r>
                          <m:ctrlPr>
                            <w:rPr>
                              <w:rFonts w:ascii="Cambria Math" w:hAnsi="Cambria Math"/>
                              <w:i/>
                              <w:iCs/>
                            </w:rPr>
                          </m:ctrlPr>
                        </m:e>
                      </m:d>
                      <m:ctrlPr>
                        <w:rPr>
                          <w:rFonts w:ascii="Cambria Math" w:hAnsi="Cambria Math"/>
                          <w:i/>
                          <w:iCs/>
                        </w:rPr>
                      </m:ctrlPr>
                    </m:e>
                  </m:d>
                  <m:ctrlPr>
                    <w:rPr>
                      <w:rFonts w:ascii="Cambria Math" w:hAnsi="Cambria Math"/>
                      <w:i/>
                      <w:iCs/>
                    </w:rPr>
                  </m:ctrlPr>
                </m:e>
              </m:nary>
              <m:ctrlPr>
                <w:rPr>
                  <w:rFonts w:ascii="Cambria Math" w:hAnsi="Cambria Math"/>
                  <w:i/>
                  <w:iCs/>
                </w:rPr>
              </m:ctrlPr>
            </m:e>
          </m:func>
        </m:oMath>
      </m:oMathPara>
    </w:p>
    <w:p w14:paraId="6E3F029E">
      <w:r>
        <w:t>can be considered as an audit on the performance of the AI/ML model generating the ToA estimates.</w:t>
      </w:r>
    </w:p>
    <w:p w14:paraId="0254467D">
      <w:r>
        <w:t xml:space="preserve">In </w:t>
      </w:r>
      <w:r>
        <w:fldChar w:fldCharType="begin"/>
      </w:r>
      <w:r>
        <w:rPr>
          <w:color w:val="7030A0"/>
        </w:rPr>
        <w:instrText xml:space="preserve"> REF _Ref131539736 \h  \* MERGEFORMAT </w:instrText>
      </w:r>
      <w:r>
        <w:fldChar w:fldCharType="separate"/>
      </w:r>
      <w:r>
        <w:t>Figure 8</w:t>
      </w:r>
      <w:r>
        <w:fldChar w:fldCharType="end"/>
      </w:r>
      <w:r>
        <w:t>, we provide the residual losses from conventional triangulation-based error minimization positioning algorithms. The AI/ML models for supplying the ToAs are trained with a dataset for the {60%, 6m, 2m} parameter.</w:t>
      </w:r>
    </w:p>
    <w:p w14:paraId="7620C9DA">
      <w:pPr>
        <w:pStyle w:val="133"/>
        <w:numPr>
          <w:ilvl w:val="0"/>
          <w:numId w:val="65"/>
        </w:numPr>
      </w:pPr>
      <w:r>
        <w:t>When the trained model is operating in the same environment of {60%, 6m, 2m}, the residual losses shown in blue line are below 0.77 with a probability of 99%.</w:t>
      </w:r>
    </w:p>
    <w:p w14:paraId="62ECA2FC">
      <w:pPr>
        <w:pStyle w:val="133"/>
        <w:numPr>
          <w:ilvl w:val="0"/>
          <w:numId w:val="65"/>
        </w:numPr>
      </w:pPr>
      <w:r>
        <w:t>When the trained model is operating in the substantially different environment of {40%, 2m, 2m} where the model performs badly, the residual losses shown in orange line are above 0.77 with a probability of 99%.</w:t>
      </w:r>
    </w:p>
    <w:p w14:paraId="2B3598F5">
      <w:pPr>
        <w:pStyle w:val="133"/>
        <w:numPr>
          <w:ilvl w:val="0"/>
          <w:numId w:val="65"/>
        </w:numPr>
      </w:pPr>
      <w:r>
        <w:t>When the trained model is operating in a moderately different environment of {40%, 6m, 2m}, where the test environment has drifted from the training set environment, but the model is still performing well, the distribution of the residual losses shown in green remain quite similar to those for the {60%, 6m, 2m} environment (blue line).</w:t>
      </w:r>
    </w:p>
    <w:p w14:paraId="4239A8B3">
      <w:r>
        <w:t xml:space="preserve">From this analysis, it can be concluded that the residual losses from the conventional positioning algorithms can be used as a reliable metric to detect model/environment mismatch. For the example shown here, one could determine a threshold for flagging model refinement/re-training, for example, threshold = 1 considering both blue and green curves. If the positioning residual losses are above this threshold, there is a high chance that the environment has drifted too far from the training environment and the model will need to be replaced or adjusted. </w:t>
      </w:r>
    </w:p>
    <w:p w14:paraId="3909AF9F"/>
    <w:p w14:paraId="43A34360">
      <w:pPr>
        <w:jc w:val="center"/>
        <w:rPr>
          <w:color w:val="7030A0"/>
        </w:rPr>
      </w:pPr>
      <w:r>
        <w:rPr>
          <w:color w:val="7030A0"/>
        </w:rPr>
        <w:drawing>
          <wp:inline distT="0" distB="0" distL="0" distR="0">
            <wp:extent cx="3676650" cy="2533650"/>
            <wp:effectExtent l="0" t="0" r="0" b="0"/>
            <wp:docPr id="31" name="Picture 3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 line chart&#10;&#10;Description automatically generated"/>
                    <pic:cNvPicPr>
                      <a:picLocks noChangeAspect="1"/>
                    </pic:cNvPicPr>
                  </pic:nvPicPr>
                  <pic:blipFill>
                    <a:blip r:embed="rId15"/>
                    <a:stretch>
                      <a:fillRect/>
                    </a:stretch>
                  </pic:blipFill>
                  <pic:spPr>
                    <a:xfrm>
                      <a:off x="0" y="0"/>
                      <a:ext cx="3676650" cy="2533650"/>
                    </a:xfrm>
                    <a:prstGeom prst="rect">
                      <a:avLst/>
                    </a:prstGeom>
                  </pic:spPr>
                </pic:pic>
              </a:graphicData>
            </a:graphic>
          </wp:inline>
        </w:drawing>
      </w:r>
    </w:p>
    <w:p w14:paraId="695C80D4">
      <w:pPr>
        <w:pStyle w:val="29"/>
      </w:pPr>
      <w:bookmarkStart w:id="2546" w:name="_Ref131539736"/>
      <w:r>
        <w:t xml:space="preserve">Figure </w:t>
      </w:r>
      <w:r>
        <w:fldChar w:fldCharType="begin"/>
      </w:r>
      <w:r>
        <w:instrText xml:space="preserve"> SEQ Figure \* ARABIC </w:instrText>
      </w:r>
      <w:r>
        <w:fldChar w:fldCharType="separate"/>
      </w:r>
      <w:r>
        <w:t>8</w:t>
      </w:r>
      <w:r>
        <w:fldChar w:fldCharType="end"/>
      </w:r>
      <w:bookmarkEnd w:id="2546"/>
      <w:r>
        <w:t>: Residual losses from conventional triangulation-based error minimization positioning algorithms. The ML model is trained in the {60%, 6m, 2m} environment and tested in three environments: {60%, 6m, 2m}, {40%, 6m, 2m} and {40%, 2m, 2m}.</w:t>
      </w:r>
    </w:p>
    <w:p w14:paraId="1CC745BF"/>
    <w:p w14:paraId="23CB661D">
      <w:r>
        <w:t xml:space="preserve">Based on the investigation above, the intrinsic model monitoring for AI/ML assisted approaches is a valuable model monitoring method. The complexity, latency, and power consumption are negligible since the computation is already part of the conventional triangulation method. </w:t>
      </w:r>
    </w:p>
    <w:p w14:paraId="4D192314">
      <w:r>
        <w:t xml:space="preserve">In literature, the important model monitoring metrics include false alarm rate (FAR), missed detection rate (MDR), and detection delay. For the simplistic case evaluated in </w:t>
      </w:r>
      <w:r>
        <w:fldChar w:fldCharType="begin"/>
      </w:r>
      <w:r>
        <w:rPr>
          <w:color w:val="7030A0"/>
        </w:rPr>
        <w:instrText xml:space="preserve"> REF _Ref131539736 \h </w:instrText>
      </w:r>
      <w:r>
        <w:fldChar w:fldCharType="separate"/>
      </w:r>
      <w:r>
        <w:t>Figure 8</w:t>
      </w:r>
      <w:r>
        <w:fldChar w:fldCharType="end"/>
      </w:r>
      <w:r>
        <w:t>, they can be estimated as follows. Assume the threshold for declare the model has drifted or not is set at residual loss =1. This corresponds to CDF=99.5% for the ‘no drift’ cases ({60%, 6m, 2m} and {40%, 2m, 2m}), and CDF=3% for the ‘drift’ case ({40%, 6m, 2m}).</w:t>
      </w:r>
    </w:p>
    <w:p w14:paraId="5863871D">
      <w:r>
        <w:t xml:space="preserve">The model monitoring algorithm can monitor </w:t>
      </w:r>
      <m:oMath>
        <m:r>
          <m:rPr/>
          <w:rPr>
            <w:rFonts w:ascii="Cambria Math" w:hAnsi="Cambria Math"/>
          </w:rPr>
          <m:t>m</m:t>
        </m:r>
      </m:oMath>
      <w:r>
        <w:t xml:space="preserve"> positioning requests to decide ‘drift’ or not. If for all </w:t>
      </w:r>
      <m:oMath>
        <m:r>
          <m:rPr/>
          <w:rPr>
            <w:rFonts w:ascii="Cambria Math" w:hAnsi="Cambria Math"/>
          </w:rPr>
          <m:t>m</m:t>
        </m:r>
      </m:oMath>
      <w:r>
        <w:t xml:space="preserve"> positioning requests, the residual loss is less than 1m, then ‘no drift’ is declared; otherwise, ‘drift’ is declared. In this case,</w:t>
      </w:r>
    </w:p>
    <w:p w14:paraId="7D433CFF">
      <w:pPr>
        <w:pStyle w:val="133"/>
        <w:numPr>
          <w:ilvl w:val="0"/>
          <w:numId w:val="66"/>
        </w:numPr>
      </w:pPr>
      <w:r>
        <w:t xml:space="preserve">FAR = </w:t>
      </w:r>
      <m:oMath>
        <m:r>
          <m:rPr>
            <m:sty m:val="p"/>
          </m:rPr>
          <w:rPr>
            <w:rFonts w:ascii="Cambria Math" w:hAnsi="Cambria Math"/>
          </w:rPr>
          <m:t>1−</m:t>
        </m:r>
        <m:sSup>
          <m:sSupPr>
            <m:ctrlPr>
              <w:rPr>
                <w:rFonts w:ascii="Cambria Math" w:hAnsi="Cambria Math"/>
              </w:rPr>
            </m:ctrlPr>
          </m:sSupPr>
          <m:e>
            <m:r>
              <m:rPr>
                <m:sty m:val="p"/>
              </m:rPr>
              <w:rPr>
                <w:rFonts w:ascii="Cambria Math" w:hAnsi="Cambria Math"/>
              </w:rPr>
              <m:t>0.995</m:t>
            </m:r>
            <m:ctrlPr>
              <w:rPr>
                <w:rFonts w:ascii="Cambria Math" w:hAnsi="Cambria Math"/>
              </w:rPr>
            </m:ctrlPr>
          </m:e>
          <m:sup>
            <m:r>
              <m:rPr/>
              <w:rPr>
                <w:rFonts w:ascii="Cambria Math" w:hAnsi="Cambria Math"/>
              </w:rPr>
              <m:t>m</m:t>
            </m:r>
            <m:ctrlPr>
              <w:rPr>
                <w:rFonts w:ascii="Cambria Math" w:hAnsi="Cambria Math"/>
              </w:rPr>
            </m:ctrlPr>
          </m:sup>
        </m:sSup>
      </m:oMath>
      <w:r>
        <w:t>, the probability that the environment has not significantly changed (stayed at blue or green curve), but ‘drift’ is declared.</w:t>
      </w:r>
    </w:p>
    <w:p w14:paraId="1787FE32">
      <w:pPr>
        <w:pStyle w:val="133"/>
        <w:numPr>
          <w:ilvl w:val="0"/>
          <w:numId w:val="66"/>
        </w:numPr>
      </w:pPr>
      <w:r>
        <w:t xml:space="preserve">MDR = </w:t>
      </w:r>
      <m:oMath>
        <m:sSup>
          <m:sSupPr>
            <m:ctrlPr>
              <w:rPr>
                <w:rFonts w:ascii="Cambria Math" w:hAnsi="Cambria Math"/>
              </w:rPr>
            </m:ctrlPr>
          </m:sSupPr>
          <m:e>
            <m:r>
              <m:rPr>
                <m:sty m:val="p"/>
              </m:rPr>
              <w:rPr>
                <w:rFonts w:ascii="Cambria Math" w:hAnsi="Cambria Math"/>
              </w:rPr>
              <m:t>0.03</m:t>
            </m:r>
            <m:ctrlPr>
              <w:rPr>
                <w:rFonts w:ascii="Cambria Math" w:hAnsi="Cambria Math"/>
              </w:rPr>
            </m:ctrlPr>
          </m:e>
          <m:sup>
            <m:r>
              <m:rPr/>
              <w:rPr>
                <w:rFonts w:ascii="Cambria Math" w:hAnsi="Cambria Math"/>
              </w:rPr>
              <m:t>m</m:t>
            </m:r>
            <m:ctrlPr>
              <w:rPr>
                <w:rFonts w:ascii="Cambria Math" w:hAnsi="Cambria Math"/>
              </w:rPr>
            </m:ctrlPr>
          </m:sup>
        </m:sSup>
      </m:oMath>
      <w:r>
        <w:t>, the probability that the environment has changed significantly (i.e., changed to orange curve), but ‘no drift’ is declared.</w:t>
      </w:r>
    </w:p>
    <w:p w14:paraId="572F8BDF">
      <w:r>
        <w:t xml:space="preserve">The detection delay is the time to observe </w:t>
      </w:r>
      <m:oMath>
        <m:r>
          <m:rPr/>
          <w:rPr>
            <w:rFonts w:ascii="Cambria Math" w:hAnsi="Cambria Math"/>
          </w:rPr>
          <m:t>m</m:t>
        </m:r>
      </m:oMath>
      <w:r>
        <w:t xml:space="preserve"> positioning occasions. Plugging in </w:t>
      </w:r>
      <m:oMath>
        <m:r>
          <m:rPr/>
          <w:rPr>
            <w:rFonts w:ascii="Cambria Math" w:hAnsi="Cambria Math"/>
          </w:rPr>
          <m:t>m=2</m:t>
        </m:r>
      </m:oMath>
      <w:r>
        <w:t xml:space="preserve"> shows that this simple method can achieve FAR=1% and MDR=0.09%. </w:t>
      </w:r>
    </w:p>
    <w:p w14:paraId="5615BD55">
      <w:pPr>
        <w:pStyle w:val="4"/>
      </w:pPr>
      <w:r>
        <w:tab/>
      </w:r>
      <w:bookmarkStart w:id="2547" w:name="_Ref164864188"/>
      <w:bookmarkStart w:id="2548" w:name="_Toc165991017"/>
      <w:bookmarkStart w:id="2549" w:name="_Ref166232203"/>
      <w:bookmarkStart w:id="2550" w:name="_Toc189845058"/>
      <w:r>
        <w:t xml:space="preserve">Monitoring approach 3 </w:t>
      </w:r>
      <w:r>
        <w:rPr>
          <w:lang w:val="en-US"/>
        </w:rPr>
        <w:t>(Label-free)</w:t>
      </w:r>
      <w:r>
        <w:t>: ML model self-monitoring</w:t>
      </w:r>
      <w:bookmarkEnd w:id="2547"/>
      <w:bookmarkEnd w:id="2548"/>
      <w:bookmarkEnd w:id="2549"/>
      <w:bookmarkEnd w:id="2550"/>
    </w:p>
    <w:p w14:paraId="1B0D3F1F">
      <w:r>
        <w:t>Data augmentation is an important and in fact indispensable component of training high performance deep learning models with limited data. In addition, data augmentation may also enable the model to self-monitor without collecting new test samples nor ground truth UE positions. One model-based self-monitoring method is described below.</w:t>
      </w:r>
    </w:p>
    <w:p w14:paraId="663B488C">
      <w:pPr>
        <w:pStyle w:val="133"/>
        <w:numPr>
          <w:ilvl w:val="0"/>
          <w:numId w:val="67"/>
        </w:numPr>
      </w:pPr>
      <w:r>
        <w:t>Model training with data augmentation</w:t>
      </w:r>
    </w:p>
    <w:p w14:paraId="0B5B1D39">
      <w:pPr>
        <w:pStyle w:val="133"/>
        <w:numPr>
          <w:ilvl w:val="1"/>
          <w:numId w:val="67"/>
        </w:numPr>
      </w:pPr>
      <w:r>
        <w:t xml:space="preserve">Given ground truth samples </w:t>
      </w:r>
      <m:oMath>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w:p>
    <w:p w14:paraId="417CB892">
      <w:pPr>
        <w:pStyle w:val="133"/>
        <w:numPr>
          <w:ilvl w:val="1"/>
          <w:numId w:val="67"/>
        </w:numPr>
      </w:pPr>
      <w:r>
        <w:t xml:space="preserve">Train the model with a mixture of </w:t>
      </w:r>
    </w:p>
    <w:p w14:paraId="68C1A0F6">
      <w:pPr>
        <w:pStyle w:val="133"/>
        <w:numPr>
          <w:ilvl w:val="2"/>
          <w:numId w:val="67"/>
        </w:numPr>
      </w:pPr>
      <w:r>
        <w:t xml:space="preserve">Unmodified samples </w:t>
      </w:r>
      <m:oMath>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w:p>
    <w:p w14:paraId="6748FB18">
      <w:pPr>
        <w:pStyle w:val="133"/>
        <w:numPr>
          <w:ilvl w:val="2"/>
          <w:numId w:val="67"/>
        </w:numPr>
      </w:pPr>
      <w:r>
        <w:t xml:space="preserve">Data augmentation modified samples </w:t>
      </w:r>
      <m:oMath>
        <m:d>
          <m:dPr>
            <m:ctrlPr>
              <w:rPr>
                <w:rFonts w:ascii="Cambria Math" w:hAnsi="Cambria Math"/>
              </w:rPr>
            </m:ctrlPr>
          </m:dPr>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 xml:space="preserve">,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w:r>
        <w:t xml:space="preserve"> </w:t>
      </w:r>
    </w:p>
    <w:p w14:paraId="75D5BFFA">
      <w:pPr>
        <w:pStyle w:val="133"/>
        <w:numPr>
          <w:ilvl w:val="0"/>
          <w:numId w:val="67"/>
        </w:numPr>
      </w:pPr>
      <w:r>
        <w:t>Self-model monitoring at operation</w:t>
      </w:r>
    </w:p>
    <w:p w14:paraId="2432C81E">
      <w:pPr>
        <w:pStyle w:val="133"/>
        <w:numPr>
          <w:ilvl w:val="1"/>
          <w:numId w:val="67"/>
        </w:numPr>
      </w:pPr>
      <w:r>
        <w:t xml:space="preserve">Given positioning request data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oMath>
    </w:p>
    <w:p w14:paraId="4B33E8C3">
      <w:pPr>
        <w:pStyle w:val="133"/>
        <w:numPr>
          <w:ilvl w:val="1"/>
          <w:numId w:val="67"/>
        </w:numPr>
      </w:pPr>
      <w:r>
        <w:t xml:space="preserve">Obtain a first target estimate </w:t>
      </w: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oMath>
      <w:r>
        <w:t xml:space="preserve"> using unmodified data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oMath>
    </w:p>
    <w:p w14:paraId="21754DB8">
      <w:pPr>
        <w:pStyle w:val="133"/>
        <w:numPr>
          <w:ilvl w:val="1"/>
          <w:numId w:val="67"/>
        </w:numPr>
      </w:pPr>
      <w:r>
        <w:t xml:space="preserve">Obtain a second target estimate </w:t>
      </w:r>
      <m:oMath>
        <m:sSubSup>
          <m:sSubSupPr>
            <m:ctrlPr>
              <w:rPr>
                <w:rFonts w:ascii="Cambria Math" w:hAnsi="Cambria Math"/>
              </w:rPr>
            </m:ctrlPr>
          </m:sSubSup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using data augmentation modified data </w:t>
      </w:r>
      <m:oMath>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p>
    <w:p w14:paraId="2C334D42">
      <w:pPr>
        <w:pStyle w:val="133"/>
        <w:numPr>
          <w:ilvl w:val="1"/>
          <w:numId w:val="67"/>
        </w:numPr>
      </w:pPr>
      <w:r>
        <w:t xml:space="preserve">Check the difference between the two target estimates,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oMath>
      <w:r>
        <w:t xml:space="preserve">. </w:t>
      </w:r>
    </w:p>
    <w:p w14:paraId="4727A668">
      <w:r>
        <w:t xml:space="preserve">We investigate the effectiveness of this self-monitoring approach using the smallest model (0.73 M parameters) for the centralized direct positioning approach trained with {60%, 6m, 2m} dataset samples. The CDF of the test results are summarized in </w:t>
      </w:r>
      <w:r>
        <w:fldChar w:fldCharType="begin"/>
      </w:r>
      <w:r>
        <w:instrText xml:space="preserve"> REF _Ref126938774 \h  \* MERGEFORMAT </w:instrText>
      </w:r>
      <w:r>
        <w:fldChar w:fldCharType="separate"/>
      </w:r>
      <w:r>
        <w:t>Figure 9</w:t>
      </w:r>
      <w:r>
        <w:fldChar w:fldCharType="end"/>
      </w:r>
      <w:r>
        <w:t>. It can be observed that:</w:t>
      </w:r>
    </w:p>
    <w:p w14:paraId="5727BDEB">
      <w:pPr>
        <w:pStyle w:val="133"/>
        <w:numPr>
          <w:ilvl w:val="0"/>
          <w:numId w:val="67"/>
        </w:numPr>
      </w:pPr>
      <w:r>
        <w:t xml:space="preserve">When the model is operating in environments similar to that it was trained for (such as the {60%, 6m, 2m} and {40%, 6m, 2m} environments), the two UE position estimates do not differ by more than 1 m, i.e.,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j</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e>
        </m:d>
        <m:r>
          <m:rPr>
            <m:sty m:val="p"/>
          </m:rPr>
          <w:rPr>
            <w:rFonts w:ascii="Cambria Math" w:hAnsi="Cambria Math"/>
          </w:rPr>
          <m:t>&lt;1</m:t>
        </m:r>
      </m:oMath>
      <w:r>
        <w:t xml:space="preserve"> m.</w:t>
      </w:r>
    </w:p>
    <w:p w14:paraId="2AADCDEB">
      <w:pPr>
        <w:pStyle w:val="133"/>
        <w:numPr>
          <w:ilvl w:val="0"/>
          <w:numId w:val="67"/>
        </w:numPr>
      </w:pPr>
      <w:r>
        <w:t>When the model is operating in environments which it was not trained for and hence is under-performing, the two UE position estimates differ by more than 1 m with substantially high probabilities. For instance, in the {60%, 2m, 2m} and {40%, 2m, 2m} environments, the two UE position estimates differ by more than 1 m with 20% and 33% probabilities, respectively.</w:t>
      </w:r>
    </w:p>
    <w:p w14:paraId="68C17946">
      <w:pPr>
        <w:pStyle w:val="133"/>
        <w:numPr>
          <w:ilvl w:val="0"/>
          <w:numId w:val="67"/>
        </w:numPr>
      </w:pPr>
      <w:r>
        <w:t xml:space="preserve">While observing one UE position estimate difference of above 1 m is not reliable enough to ensure model is still operating in the intended environment, checking the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oMath>
      <w:r>
        <w:t xml:space="preserve"> distribution in a small window of 10s-20s model inferences can achieve monitoring accuracy &gt;99%.</w:t>
      </w:r>
    </w:p>
    <w:p w14:paraId="61566884">
      <w:pPr>
        <w:pStyle w:val="133"/>
        <w:numPr>
          <w:ilvl w:val="1"/>
          <w:numId w:val="67"/>
        </w:numPr>
      </w:pPr>
      <w:r>
        <w:t>Observing 14 UE position estimate differences of above 1 m is enough to ensure an environment change from {60%, 6m, 2m} to {60%, 2m, 2m} is identified with a probability &gt; 95%.</w:t>
      </w:r>
    </w:p>
    <w:p w14:paraId="4AF473FB">
      <w:pPr>
        <w:pStyle w:val="133"/>
        <w:numPr>
          <w:ilvl w:val="2"/>
          <w:numId w:val="67"/>
        </w:numPr>
      </w:pPr>
      <w:r>
        <w:t>Observing 21 UE position estimate differences of above 1 m is enough to ensure an environment change from {60%, 6m, 2m} to {60%, 2m, 2m} is identified with a probability &gt; 99%.</w:t>
      </w:r>
    </w:p>
    <w:p w14:paraId="1F1250D5">
      <w:pPr>
        <w:pStyle w:val="133"/>
        <w:numPr>
          <w:ilvl w:val="1"/>
          <w:numId w:val="67"/>
        </w:numPr>
      </w:pPr>
      <w:r>
        <w:t>Observing 8 UE position estimate differences of above 1 m is enough to ensure an environment change from {60%, 6m, 2m} to {40%, 2m, 2m} is identified with a probability &gt; 96%.</w:t>
      </w:r>
    </w:p>
    <w:p w14:paraId="1CB3BD65">
      <w:pPr>
        <w:pStyle w:val="133"/>
        <w:numPr>
          <w:ilvl w:val="2"/>
          <w:numId w:val="67"/>
        </w:numPr>
      </w:pPr>
      <w:r>
        <w:t>Observing 12 UE position estimate differences of above 1 m is enough to ensure an environment change from {60%, 6m, 2m} to {40%, 2m, 2m} is identified with a probability &gt; 99%.</w:t>
      </w:r>
    </w:p>
    <w:p w14:paraId="31236214">
      <w:r>
        <w:t>Note that the need of observing multiple instances is no different than any other model monitoring methods, since poor performance at a single instance cannot tell whether the model has truly degraded, or it’s a random anomaly.</w:t>
      </w:r>
    </w:p>
    <w:p w14:paraId="35765D9A">
      <w:pPr>
        <w:jc w:val="center"/>
        <w:rPr>
          <w:color w:val="7030A0"/>
        </w:rPr>
      </w:pPr>
      <w:r>
        <w:rPr>
          <w:color w:val="7030A0"/>
        </w:rPr>
        <w:drawing>
          <wp:inline distT="0" distB="0" distL="0" distR="0">
            <wp:extent cx="3676650" cy="25717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16"/>
                    <a:stretch>
                      <a:fillRect/>
                    </a:stretch>
                  </pic:blipFill>
                  <pic:spPr>
                    <a:xfrm>
                      <a:off x="0" y="0"/>
                      <a:ext cx="3676650" cy="2571750"/>
                    </a:xfrm>
                    <a:prstGeom prst="rect">
                      <a:avLst/>
                    </a:prstGeom>
                  </pic:spPr>
                </pic:pic>
              </a:graphicData>
            </a:graphic>
          </wp:inline>
        </w:drawing>
      </w:r>
    </w:p>
    <w:p w14:paraId="18F1A99A">
      <w:pPr>
        <w:pStyle w:val="29"/>
      </w:pPr>
      <w:bookmarkStart w:id="2551" w:name="_Ref126938774"/>
      <w:r>
        <w:t xml:space="preserve">Figure </w:t>
      </w:r>
      <w:r>
        <w:fldChar w:fldCharType="begin"/>
      </w:r>
      <w:r>
        <w:rPr>
          <w:color w:val="7030A0"/>
        </w:rPr>
        <w:instrText xml:space="preserve"> SEQ Figure \* ARABIC </w:instrText>
      </w:r>
      <w:r>
        <w:fldChar w:fldCharType="separate"/>
      </w:r>
      <w:r>
        <w:rPr>
          <w:color w:val="7030A0"/>
        </w:rPr>
        <w:t>9</w:t>
      </w:r>
      <w:r>
        <w:fldChar w:fldCharType="end"/>
      </w:r>
      <w:bookmarkEnd w:id="2551"/>
      <w:r>
        <w:t>. 2D position estimate difference using unmodified or modified positioning request data at production in different operating environments for a small centralized direct positioning model trained with {60%, 6m, 2m} dataset samples.</w:t>
      </w:r>
    </w:p>
    <w:p w14:paraId="0A042575"/>
    <w:p w14:paraId="5C1DA8EF">
      <w:r>
        <w:t xml:space="preserve">The curves </w:t>
      </w:r>
      <w:r>
        <w:fldChar w:fldCharType="begin"/>
      </w:r>
      <w:r>
        <w:rPr>
          <w:color w:val="7030A0"/>
        </w:rPr>
        <w:instrText xml:space="preserve"> REF _Ref126938774 \h  \* MERGEFORMAT </w:instrText>
      </w:r>
      <w:r>
        <w:fldChar w:fldCharType="separate"/>
      </w:r>
      <w:r>
        <w:t>Figure 9</w:t>
      </w:r>
      <w:r>
        <w:fldChar w:fldCharType="end"/>
      </w:r>
      <w:r>
        <w:t xml:space="preserve"> can be used to devise a monitoring method </w:t>
      </w:r>
      <w:r>
        <w:rPr>
          <w:rFonts w:cs="Tahoma"/>
          <w:spacing w:val="2"/>
        </w:rPr>
        <w:t xml:space="preserve">and calculate </w:t>
      </w:r>
      <w:r>
        <w:t xml:space="preserve">false alarm rate (FAR), missed detection rate (MDR), and detection delay as well. </w:t>
      </w:r>
      <w:r>
        <w:rPr>
          <w:rFonts w:cs="Tahoma"/>
          <w:spacing w:val="2"/>
        </w:rPr>
        <w:t xml:space="preserve">Take the threshold of 2D position estimate difference </w:t>
      </w:r>
      <m:oMath>
        <m:sSub>
          <m:sSubPr>
            <m:ctrlPr>
              <w:rPr>
                <w:rFonts w:ascii="Cambria Math" w:hAnsi="Cambria Math" w:cs="Tahoma"/>
                <w:i/>
                <w:spacing w:val="2"/>
              </w:rPr>
            </m:ctrlPr>
          </m:sSubPr>
          <m:e>
            <m:r>
              <m:rPr/>
              <w:rPr>
                <w:rFonts w:ascii="Cambria Math" w:hAnsi="Cambria Math" w:cs="Tahoma"/>
                <w:spacing w:val="2"/>
              </w:rPr>
              <m:t>d</m:t>
            </m:r>
            <m:ctrlPr>
              <w:rPr>
                <w:rFonts w:ascii="Cambria Math" w:hAnsi="Cambria Math" w:cs="Tahoma"/>
                <w:i/>
                <w:spacing w:val="2"/>
              </w:rPr>
            </m:ctrlPr>
          </m:e>
          <m:sub>
            <m:r>
              <m:rPr/>
              <w:rPr>
                <w:rFonts w:ascii="Cambria Math" w:hAnsi="Cambria Math" w:cs="Tahoma"/>
                <w:spacing w:val="2"/>
              </w:rPr>
              <m:t>thresh</m:t>
            </m:r>
            <m:ctrlPr>
              <w:rPr>
                <w:rFonts w:ascii="Cambria Math" w:hAnsi="Cambria Math" w:cs="Tahoma"/>
                <w:i/>
                <w:spacing w:val="2"/>
              </w:rPr>
            </m:ctrlPr>
          </m:sub>
        </m:sSub>
      </m:oMath>
      <w:r>
        <w:rPr>
          <w:rFonts w:cs="Tahoma"/>
          <w:spacing w:val="2"/>
        </w:rPr>
        <w:t>= 1m. At this point, CDF=</w:t>
      </w:r>
      <w:r>
        <w:t>99.96% for {60%, 6m, 2m} and {40%, 6m, 2m}, CDF=80% for {60%, 2m, 2m}, and CDF= 67% for {40%, 2m, 2m}. The model monitoring protocol can be:</w:t>
      </w:r>
    </w:p>
    <w:p w14:paraId="78E6B1D6">
      <w:pPr>
        <w:pStyle w:val="133"/>
        <w:numPr>
          <w:ilvl w:val="0"/>
          <w:numId w:val="68"/>
        </w:numPr>
      </w:pPr>
      <w:r>
        <w:t xml:space="preserve">Declare ‘no drift’ from {60%, 6m, 2m} to {60%, 2m, 2m} if the last </w:t>
      </w:r>
      <m:oMath>
        <m:r>
          <m:rPr/>
          <w:rPr>
            <w:rFonts w:ascii="Cambria Math" w:hAnsi="Cambria Math"/>
          </w:rPr>
          <m:t>m</m:t>
        </m:r>
      </m:oMath>
      <w:r>
        <w:t xml:space="preserve"> positioning instances have </w:t>
      </w:r>
      <m:oMath>
        <m:sSub>
          <m:sSubPr>
            <m:ctrlPr>
              <w:rPr>
                <w:rFonts w:ascii="Cambria Math" w:hAnsi="Cambria Math" w:cs="Tahoma"/>
                <w:i/>
                <w:spacing w:val="2"/>
              </w:rPr>
            </m:ctrlPr>
          </m:sSubPr>
          <m:e>
            <m:r>
              <m:rPr/>
              <w:rPr>
                <w:rFonts w:ascii="Cambria Math" w:hAnsi="Cambria Math" w:cs="Tahoma"/>
                <w:spacing w:val="2"/>
              </w:rPr>
              <m:t>d&lt;d</m:t>
            </m:r>
            <m:ctrlPr>
              <w:rPr>
                <w:rFonts w:ascii="Cambria Math" w:hAnsi="Cambria Math" w:cs="Tahoma"/>
                <w:i/>
                <w:spacing w:val="2"/>
              </w:rPr>
            </m:ctrlPr>
          </m:e>
          <m:sub>
            <m:r>
              <m:rPr/>
              <w:rPr>
                <w:rFonts w:ascii="Cambria Math" w:hAnsi="Cambria Math" w:cs="Tahoma"/>
                <w:spacing w:val="2"/>
              </w:rPr>
              <m:t>thresh</m:t>
            </m:r>
            <m:ctrlPr>
              <w:rPr>
                <w:rFonts w:ascii="Cambria Math" w:hAnsi="Cambria Math" w:cs="Tahoma"/>
                <w:i/>
                <w:spacing w:val="2"/>
              </w:rPr>
            </m:ctrlPr>
          </m:sub>
        </m:sSub>
      </m:oMath>
      <w:r>
        <w:t>.</w:t>
      </w:r>
    </w:p>
    <w:p w14:paraId="454156DA">
      <w:pPr>
        <w:pStyle w:val="133"/>
        <w:numPr>
          <w:ilvl w:val="0"/>
          <w:numId w:val="68"/>
        </w:numPr>
      </w:pPr>
      <w:r>
        <w:t xml:space="preserve">Declare ‘no drift’ from {60%, 6m, 2m} to {40%, 2m, 2m} if the last </w:t>
      </w:r>
      <m:oMath>
        <m:r>
          <m:rPr/>
          <w:rPr>
            <w:rFonts w:ascii="Cambria Math" w:hAnsi="Cambria Math"/>
          </w:rPr>
          <m:t>m</m:t>
        </m:r>
      </m:oMath>
      <w:r>
        <w:t xml:space="preserve"> position instances have </w:t>
      </w:r>
      <m:oMath>
        <m:sSub>
          <m:sSubPr>
            <m:ctrlPr>
              <w:rPr>
                <w:rFonts w:ascii="Cambria Math" w:hAnsi="Cambria Math" w:cs="Tahoma"/>
                <w:i/>
                <w:spacing w:val="2"/>
              </w:rPr>
            </m:ctrlPr>
          </m:sSubPr>
          <m:e>
            <m:r>
              <m:rPr/>
              <w:rPr>
                <w:rFonts w:ascii="Cambria Math" w:hAnsi="Cambria Math" w:cs="Tahoma"/>
                <w:spacing w:val="2"/>
              </w:rPr>
              <m:t>d&lt;d</m:t>
            </m:r>
            <m:ctrlPr>
              <w:rPr>
                <w:rFonts w:ascii="Cambria Math" w:hAnsi="Cambria Math" w:cs="Tahoma"/>
                <w:i/>
                <w:spacing w:val="2"/>
              </w:rPr>
            </m:ctrlPr>
          </m:e>
          <m:sub>
            <m:r>
              <m:rPr/>
              <w:rPr>
                <w:rFonts w:ascii="Cambria Math" w:hAnsi="Cambria Math" w:cs="Tahoma"/>
                <w:spacing w:val="2"/>
              </w:rPr>
              <m:t>thresh</m:t>
            </m:r>
            <m:ctrlPr>
              <w:rPr>
                <w:rFonts w:ascii="Cambria Math" w:hAnsi="Cambria Math" w:cs="Tahoma"/>
                <w:i/>
                <w:spacing w:val="2"/>
              </w:rPr>
            </m:ctrlPr>
          </m:sub>
        </m:sSub>
      </m:oMath>
      <w:r>
        <w:t>.</w:t>
      </w:r>
    </w:p>
    <w:p w14:paraId="76ADC9A0">
      <w:pPr>
        <w:pStyle w:val="133"/>
        <w:numPr>
          <w:ilvl w:val="0"/>
          <w:numId w:val="68"/>
        </w:numPr>
      </w:pPr>
      <w:r>
        <w:t>Otherwise, declare ‘drift’ and the model trained for {60%, 6m, 2m} is no longer appropriate.</w:t>
      </w:r>
    </w:p>
    <w:p w14:paraId="041CF691">
      <w:pPr>
        <w:rPr>
          <w:rFonts w:cs="Tahoma"/>
          <w:spacing w:val="2"/>
        </w:rPr>
      </w:pPr>
      <w:r>
        <w:rPr>
          <w:rFonts w:cs="Tahoma"/>
          <w:spacing w:val="2"/>
        </w:rPr>
        <w:t xml:space="preserve">In this case, take </w:t>
      </w:r>
      <m:oMath>
        <m:r>
          <m:rPr/>
          <w:rPr>
            <w:rFonts w:ascii="Cambria Math" w:hAnsi="Cambria Math" w:cs="Tahoma"/>
            <w:spacing w:val="2"/>
          </w:rPr>
          <m:t>m=21</m:t>
        </m:r>
      </m:oMath>
      <w:r>
        <w:rPr>
          <w:rFonts w:cs="Tahoma"/>
          <w:spacing w:val="2"/>
        </w:rPr>
        <w:t>,</w:t>
      </w:r>
    </w:p>
    <w:p w14:paraId="662BBA77">
      <w:pPr>
        <w:pStyle w:val="133"/>
        <w:numPr>
          <w:ilvl w:val="0"/>
          <w:numId w:val="68"/>
        </w:numPr>
      </w:pPr>
      <w:r>
        <w:t xml:space="preserve">FAR = </w:t>
      </w:r>
      <m:oMath>
        <m:r>
          <m:rPr/>
          <w:rPr>
            <w:rFonts w:ascii="Cambria Math" w:hAnsi="Cambria Math"/>
          </w:rPr>
          <m:t xml:space="preserve">1 – </m:t>
        </m:r>
        <m:sSup>
          <m:sSupPr>
            <m:ctrlPr>
              <w:rPr>
                <w:rFonts w:ascii="Cambria Math" w:hAnsi="Cambria Math"/>
                <w:i/>
              </w:rPr>
            </m:ctrlPr>
          </m:sSupPr>
          <m:e>
            <m:r>
              <m:rPr/>
              <w:rPr>
                <w:rFonts w:ascii="Cambria Math" w:hAnsi="Cambria Math"/>
              </w:rPr>
              <m:t>0.9996</m:t>
            </m:r>
            <m:ctrlPr>
              <w:rPr>
                <w:rFonts w:ascii="Cambria Math" w:hAnsi="Cambria Math"/>
                <w:i/>
              </w:rPr>
            </m:ctrlPr>
          </m:e>
          <m:sup>
            <m:r>
              <m:rPr/>
              <w:rPr>
                <w:rFonts w:ascii="Cambria Math" w:hAnsi="Cambria Math"/>
              </w:rPr>
              <m:t>21</m:t>
            </m:r>
            <m:ctrlPr>
              <w:rPr>
                <w:rFonts w:ascii="Cambria Math" w:hAnsi="Cambria Math"/>
                <w:i/>
              </w:rPr>
            </m:ctrlPr>
          </m:sup>
        </m:sSup>
      </m:oMath>
      <w:r>
        <w:t xml:space="preserve"> = 0.8%</w:t>
      </w:r>
    </w:p>
    <w:p w14:paraId="369D645D">
      <w:pPr>
        <w:pStyle w:val="133"/>
        <w:numPr>
          <w:ilvl w:val="0"/>
          <w:numId w:val="68"/>
        </w:numPr>
      </w:pPr>
      <w:r>
        <w:t xml:space="preserve">Missed detection rate of drift from {60%, 6m, 2m} to {60%, 2m, 2m}= </w:t>
      </w:r>
      <m:oMath>
        <m:sSup>
          <m:sSupPr>
            <m:ctrlPr>
              <w:rPr>
                <w:rFonts w:ascii="Cambria Math" w:hAnsi="Cambria Math"/>
                <w:i/>
              </w:rPr>
            </m:ctrlPr>
          </m:sSupPr>
          <m:e>
            <m:r>
              <m:rPr/>
              <w:rPr>
                <w:rFonts w:ascii="Cambria Math" w:hAnsi="Cambria Math"/>
              </w:rPr>
              <m:t>0.8</m:t>
            </m:r>
            <m:ctrlPr>
              <w:rPr>
                <w:rFonts w:ascii="Cambria Math" w:hAnsi="Cambria Math"/>
                <w:i/>
              </w:rPr>
            </m:ctrlPr>
          </m:e>
          <m:sup>
            <m:r>
              <m:rPr/>
              <w:rPr>
                <w:rFonts w:ascii="Cambria Math" w:hAnsi="Cambria Math"/>
              </w:rPr>
              <m:t>21</m:t>
            </m:r>
            <m:ctrlPr>
              <w:rPr>
                <w:rFonts w:ascii="Cambria Math" w:hAnsi="Cambria Math"/>
                <w:i/>
              </w:rPr>
            </m:ctrlPr>
          </m:sup>
        </m:sSup>
      </m:oMath>
      <w:r>
        <w:t xml:space="preserve"> = 0.9%</w:t>
      </w:r>
    </w:p>
    <w:p w14:paraId="4F20044C">
      <w:pPr>
        <w:pStyle w:val="133"/>
        <w:numPr>
          <w:ilvl w:val="0"/>
          <w:numId w:val="68"/>
        </w:numPr>
      </w:pPr>
      <w:r>
        <w:t xml:space="preserve">Missed detection rate of drift from {60%, 6m, 2m} to {40%, 2m, 2m}= </w:t>
      </w:r>
      <m:oMath>
        <m:sSup>
          <m:sSupPr>
            <m:ctrlPr>
              <w:rPr>
                <w:rFonts w:ascii="Cambria Math" w:hAnsi="Cambria Math"/>
                <w:i/>
              </w:rPr>
            </m:ctrlPr>
          </m:sSupPr>
          <m:e>
            <m:r>
              <m:rPr/>
              <w:rPr>
                <w:rFonts w:ascii="Cambria Math" w:hAnsi="Cambria Math"/>
              </w:rPr>
              <m:t>0.67</m:t>
            </m:r>
            <m:ctrlPr>
              <w:rPr>
                <w:rFonts w:ascii="Cambria Math" w:hAnsi="Cambria Math"/>
                <w:i/>
              </w:rPr>
            </m:ctrlPr>
          </m:e>
          <m:sup>
            <m:r>
              <m:rPr/>
              <w:rPr>
                <w:rFonts w:ascii="Cambria Math" w:hAnsi="Cambria Math"/>
              </w:rPr>
              <m:t>21</m:t>
            </m:r>
            <m:ctrlPr>
              <w:rPr>
                <w:rFonts w:ascii="Cambria Math" w:hAnsi="Cambria Math"/>
                <w:i/>
              </w:rPr>
            </m:ctrlPr>
          </m:sup>
        </m:sSup>
      </m:oMath>
      <w:r>
        <w:t xml:space="preserve"> = 0.02%</w:t>
      </w:r>
    </w:p>
    <w:p w14:paraId="1A51C083">
      <w:pPr>
        <w:rPr>
          <w:rFonts w:cs="Tahoma"/>
          <w:spacing w:val="2"/>
        </w:rPr>
      </w:pPr>
      <w:r>
        <w:t xml:space="preserve">The detection delay is the time to observe </w:t>
      </w:r>
      <m:oMath>
        <m:r>
          <m:rPr/>
          <w:rPr>
            <w:rFonts w:ascii="Cambria Math" w:hAnsi="Cambria Math"/>
          </w:rPr>
          <m:t>m</m:t>
        </m:r>
      </m:oMath>
      <w:r>
        <w:t xml:space="preserve"> positioning occasions.</w:t>
      </w:r>
    </w:p>
    <w:p w14:paraId="4D532074">
      <w:r>
        <w:rPr>
          <w:rFonts w:cs="Tahoma"/>
          <w:spacing w:val="2"/>
        </w:rPr>
        <w:t xml:space="preserve">Thus, compared with the label-based model monitoring methods (e.g., see analysis in section </w:t>
      </w:r>
      <w:r>
        <w:rPr>
          <w:rFonts w:cs="Tahoma"/>
          <w:spacing w:val="2"/>
        </w:rPr>
        <w:fldChar w:fldCharType="begin"/>
      </w:r>
      <w:r>
        <w:rPr>
          <w:rFonts w:cs="Tahoma"/>
          <w:spacing w:val="2"/>
        </w:rPr>
        <w:instrText xml:space="preserve"> REF _Ref166243197 \r </w:instrText>
      </w:r>
      <w:r>
        <w:rPr>
          <w:rFonts w:cs="Tahoma"/>
          <w:spacing w:val="2"/>
        </w:rPr>
        <w:fldChar w:fldCharType="separate"/>
      </w:r>
      <w:r>
        <w:rPr>
          <w:rFonts w:cs="Tahoma"/>
          <w:spacing w:val="2"/>
        </w:rPr>
        <w:t>11.1.2</w:t>
      </w:r>
      <w:r>
        <w:rPr>
          <w:rFonts w:cs="Tahoma"/>
          <w:spacing w:val="2"/>
        </w:rPr>
        <w:fldChar w:fldCharType="end"/>
      </w:r>
      <w:r>
        <w:rPr>
          <w:rFonts w:cs="Tahoma"/>
          <w:spacing w:val="2"/>
        </w:rPr>
        <w:t>), the self-model monitoring method requires longer observation time. On the other hand, it has the advantage of being self-contained and label free, and requiring no external assistance or information exchange beyond the model and its own data augmentation.</w:t>
      </w:r>
    </w:p>
    <w:p w14:paraId="6BE7332E">
      <w:pPr>
        <w:pStyle w:val="15"/>
      </w:pPr>
    </w:p>
    <w:sectPr>
      <w:footnotePr>
        <w:numRestart w:val="eachSect"/>
      </w:footnotePr>
      <w:pgSz w:w="12240" w:h="15840"/>
      <w:pgMar w:top="1134" w:right="1134" w:bottom="1418" w:left="1134" w:header="680" w:footer="567" w:gutter="0"/>
      <w:cols w:space="720" w:num="1"/>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G Times (WN)">
    <w:altName w:val="Arial"/>
    <w:panose1 w:val="00000000000000000000"/>
    <w:charset w:val="00"/>
    <w:family w:val="roman"/>
    <w:pitch w:val="default"/>
    <w:sig w:usb0="00000000" w:usb1="00000000" w:usb2="00000000" w:usb3="00000000" w:csb0="00000001" w:csb1="00000000"/>
  </w:font>
  <w:font w:name="Arial">
    <w:panose1 w:val="020B0604020202020204"/>
    <w:charset w:val="00"/>
    <w:family w:val="swiss"/>
    <w:pitch w:val="default"/>
    <w:sig w:usb0="E0002EFF" w:usb1="C000785B" w:usb2="00000009" w:usb3="00000000" w:csb0="400001FF" w:csb1="FFFF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Batang">
    <w:altName w:val="Malgun Gothic"/>
    <w:panose1 w:val="02030600000101010101"/>
    <w:charset w:val="81"/>
    <w:family w:val="roman"/>
    <w:pitch w:val="default"/>
    <w:sig w:usb0="00000000" w:usb1="00000000" w:usb2="00000030" w:usb3="00000000" w:csb0="0008009F" w:csb1="00000000"/>
  </w:font>
  <w:font w:name="바탕">
    <w:altName w:val="Segoe Print"/>
    <w:panose1 w:val="00000000000000000000"/>
    <w:charset w:val="00"/>
    <w:family w:val="auto"/>
    <w:pitch w:val="default"/>
    <w:sig w:usb0="00000000" w:usb1="00000000" w:usb2="00000000" w:usb3="00000000" w:csb0="00000000" w:csb1="00000000"/>
  </w:font>
  <w:font w:name="Malgun Gothic">
    <w:panose1 w:val="020B0503020000020004"/>
    <w:charset w:val="81"/>
    <w:family w:val="swiss"/>
    <w:pitch w:val="default"/>
    <w:sig w:usb0="9000002F" w:usb1="29D77CFB" w:usb2="00000012" w:usb3="00000000" w:csb0="00080001"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 w:name="SymbolMT">
    <w:altName w:val="Microsoft JhengHei"/>
    <w:panose1 w:val="00000000000000000000"/>
    <w:charset w:val="00"/>
    <w:family w:val="roman"/>
    <w:pitch w:val="default"/>
    <w:sig w:usb0="00000000" w:usb1="00000000" w:usb2="00000000" w:usb3="00000000" w:csb0="00000000" w:csb1="00000000"/>
  </w:font>
  <w:font w:name="Microsoft JhengHei">
    <w:panose1 w:val="020B0604030504040204"/>
    <w:charset w:val="88"/>
    <w:family w:val="auto"/>
    <w:pitch w:val="default"/>
    <w:sig w:usb0="000002A7" w:usb1="28CF4400" w:usb2="00000016" w:usb3="00000000" w:csb0="00100009" w:csb1="00000000"/>
  </w:font>
  <w:font w:name="CambriaMath">
    <w:altName w:val="Yu Gothic"/>
    <w:panose1 w:val="00000000000000000000"/>
    <w:charset w:val="80"/>
    <w:family w:val="auto"/>
    <w:pitch w:val="default"/>
    <w:sig w:usb0="00000000" w:usb1="00000000" w:usb2="00000010" w:usb3="00000000" w:csb0="00020001" w:csb1="00000000"/>
  </w:font>
  <w:font w:name="Yu Gothic">
    <w:panose1 w:val="020B0400000000000000"/>
    <w:charset w:val="80"/>
    <w:family w:val="auto"/>
    <w:pitch w:val="default"/>
    <w:sig w:usb0="E00002FF" w:usb1="2AC7FDFF" w:usb2="00000016" w:usb3="00000000" w:csb0="2002009F" w:csb1="00000000"/>
  </w:font>
  <w:font w:name="Yu Mincho">
    <w:altName w:val="Yu Gothic"/>
    <w:panose1 w:val="00000000000000000000"/>
    <w:charset w:val="80"/>
    <w:family w:val="roman"/>
    <w:pitch w:val="default"/>
    <w:sig w:usb0="00000000" w:usb1="00000000" w:usb2="00000012" w:usb3="00000000" w:csb0="0002009F" w:csb1="00000000"/>
  </w:font>
  <w:font w:name="游明朝">
    <w:altName w:val="Segoe Print"/>
    <w:panose1 w:val="00000000000000000000"/>
    <w:charset w:val="00"/>
    <w:family w:val="auto"/>
    <w:pitch w:val="default"/>
    <w:sig w:usb0="00000000" w:usb1="00000000" w:usb2="00000000" w:usb3="00000000" w:csb0="00000000" w:csb1="00000000"/>
  </w:font>
  <w:font w:name="Helvetica Neue">
    <w:altName w:val="Sylfaen"/>
    <w:panose1 w:val="00000000000000000000"/>
    <w:charset w:val="00"/>
    <w:family w:val="auto"/>
    <w:pitch w:val="default"/>
    <w:sig w:usb0="00000000" w:usb1="00000000" w:usb2="00000010" w:usb3="00000000" w:csb0="00000001" w:csb1="00000000"/>
  </w:font>
  <w:font w:name="Sylfaen">
    <w:panose1 w:val="010A0502050306030303"/>
    <w:charset w:val="00"/>
    <w:family w:val="auto"/>
    <w:pitch w:val="default"/>
    <w:sig w:usb0="04000687" w:usb1="00000000" w:usb2="00000000" w:usb3="00000000" w:csb0="2000009F" w:csb1="00000000"/>
  </w:font>
  <w:font w:name="Ericsson Capital TT">
    <w:altName w:val="Calibri"/>
    <w:panose1 w:val="00000000000000000000"/>
    <w:charset w:val="00"/>
    <w:family w:val="auto"/>
    <w:pitch w:val="default"/>
    <w:sig w:usb0="00000000" w:usb1="00000000" w:usb2="00000000" w:usb3="00000000" w:csb0="0000009F" w:csb1="00000000"/>
  </w:font>
  <w:font w:name="Aptos Narrow">
    <w:altName w:val="Segoe Print"/>
    <w:panose1 w:val="00000000000000000000"/>
    <w:charset w:val="00"/>
    <w:family w:val="swiss"/>
    <w:pitch w:val="default"/>
    <w:sig w:usb0="00000000" w:usb1="00000000" w:usb2="00000000" w:usb3="00000000" w:csb0="0000019F" w:csb1="00000000"/>
  </w:font>
  <w:font w:name="Aptos">
    <w:altName w:val="Segoe Print"/>
    <w:panose1 w:val="00000000000000000000"/>
    <w:charset w:val="00"/>
    <w:family w:val="swiss"/>
    <w:pitch w:val="default"/>
    <w:sig w:usb0="00000000" w:usb1="00000000" w:usb2="00000000" w:usb3="00000000" w:csb0="0000019F"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lowerRoman"/>
      <w:pStyle w:val="32"/>
      <w:lvlText w:val="%1."/>
      <w:lvlJc w:val="right"/>
      <w:pPr>
        <w:ind w:left="926" w:hanging="360"/>
      </w:pPr>
    </w:lvl>
  </w:abstractNum>
  <w:abstractNum w:abstractNumId="1">
    <w:nsid w:val="02825C82"/>
    <w:multiLevelType w:val="multilevel"/>
    <w:tmpl w:val="02825C82"/>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2">
    <w:nsid w:val="02B46033"/>
    <w:multiLevelType w:val="multilevel"/>
    <w:tmpl w:val="02B46033"/>
    <w:lvl w:ilvl="0" w:tentative="0">
      <w:start w:val="1"/>
      <w:numFmt w:val="decimal"/>
      <w:pStyle w:val="173"/>
      <w:lvlText w:val="Table %1"/>
      <w:lvlJc w:val="left"/>
      <w:pPr>
        <w:ind w:left="420" w:hanging="420"/>
      </w:pPr>
      <w:rPr>
        <w:rFonts w:hint="eastAsia" w:ascii="Times New Roman" w:hAnsi="Times New Roman" w:cs="Times New Roman"/>
        <w:b w:val="0"/>
        <w:bCs w:val="0"/>
        <w:i w:val="0"/>
        <w:iCs w:val="0"/>
        <w:caps w:val="0"/>
        <w:smallCaps w:val="0"/>
        <w:strike w:val="0"/>
        <w:dstrike w:val="0"/>
        <w:vanish w:val="0"/>
        <w:color w:val="000000"/>
        <w:spacing w:val="0"/>
        <w:kern w:val="0"/>
        <w:position w:val="0"/>
        <w:sz w:val="20"/>
        <w:szCs w:val="2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6191FD7"/>
    <w:multiLevelType w:val="multilevel"/>
    <w:tmpl w:val="06191F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6731664"/>
    <w:multiLevelType w:val="multilevel"/>
    <w:tmpl w:val="067316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8316183"/>
    <w:multiLevelType w:val="multilevel"/>
    <w:tmpl w:val="083161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A616818"/>
    <w:multiLevelType w:val="multilevel"/>
    <w:tmpl w:val="0A6168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B0A2013"/>
    <w:multiLevelType w:val="multilevel"/>
    <w:tmpl w:val="0B0A2013"/>
    <w:lvl w:ilvl="0" w:tentative="0">
      <w:start w:val="0"/>
      <w:numFmt w:val="bullet"/>
      <w:lvlText w:val="–"/>
      <w:lvlJc w:val="left"/>
      <w:pPr>
        <w:ind w:left="720" w:hanging="360"/>
      </w:pPr>
      <w:rPr>
        <w:rFonts w:hint="default" w:ascii="Ericsson Capital TT" w:hAnsi="Ericsson Capital T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D507464"/>
    <w:multiLevelType w:val="multilevel"/>
    <w:tmpl w:val="0D507464"/>
    <w:lvl w:ilvl="0" w:tentative="0">
      <w:start w:val="1"/>
      <w:numFmt w:val="lowerLetter"/>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0F847706"/>
    <w:multiLevelType w:val="multilevel"/>
    <w:tmpl w:val="0F847706"/>
    <w:lvl w:ilvl="0" w:tentative="0">
      <w:start w:val="1"/>
      <w:numFmt w:val="bullet"/>
      <w:pStyle w:val="25"/>
      <w:lvlText w:val=""/>
      <w:lvlJc w:val="left"/>
      <w:pPr>
        <w:ind w:left="1854" w:hanging="360"/>
      </w:pPr>
      <w:rPr>
        <w:rFonts w:hint="default" w:ascii="Symbol" w:hAnsi="Symbol"/>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10">
    <w:nsid w:val="112D3086"/>
    <w:multiLevelType w:val="multilevel"/>
    <w:tmpl w:val="112D30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15907CE9"/>
    <w:multiLevelType w:val="multilevel"/>
    <w:tmpl w:val="15907C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9A92169"/>
    <w:multiLevelType w:val="multilevel"/>
    <w:tmpl w:val="19A9216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1A0160FF"/>
    <w:multiLevelType w:val="multilevel"/>
    <w:tmpl w:val="1A0160F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1A2946A5"/>
    <w:multiLevelType w:val="multilevel"/>
    <w:tmpl w:val="1A2946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1D44622A"/>
    <w:multiLevelType w:val="multilevel"/>
    <w:tmpl w:val="1D4462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1E000B6A"/>
    <w:multiLevelType w:val="multilevel"/>
    <w:tmpl w:val="1E000B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20396CDA"/>
    <w:multiLevelType w:val="multilevel"/>
    <w:tmpl w:val="20396CDA"/>
    <w:lvl w:ilvl="0" w:tentative="0">
      <w:start w:val="1"/>
      <w:numFmt w:val="bullet"/>
      <w:pStyle w:val="27"/>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8">
    <w:nsid w:val="20B74045"/>
    <w:multiLevelType w:val="multilevel"/>
    <w:tmpl w:val="20B740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210E6007"/>
    <w:multiLevelType w:val="multilevel"/>
    <w:tmpl w:val="210E600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0">
    <w:nsid w:val="275A7442"/>
    <w:multiLevelType w:val="multilevel"/>
    <w:tmpl w:val="275A7442"/>
    <w:lvl w:ilvl="0" w:tentative="0">
      <w:start w:val="1"/>
      <w:numFmt w:val="bullet"/>
      <w:pStyle w:val="26"/>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21">
    <w:nsid w:val="28EF1586"/>
    <w:multiLevelType w:val="multilevel"/>
    <w:tmpl w:val="28EF158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29F978E9"/>
    <w:multiLevelType w:val="multilevel"/>
    <w:tmpl w:val="29F978E9"/>
    <w:lvl w:ilvl="0" w:tentative="0">
      <w:start w:val="1"/>
      <w:numFmt w:val="bullet"/>
      <w:pStyle w:val="150"/>
      <w:lvlText w:val=""/>
      <w:lvlJc w:val="left"/>
      <w:pPr>
        <w:tabs>
          <w:tab w:val="left" w:pos="737"/>
        </w:tabs>
        <w:ind w:left="737" w:hanging="453"/>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3">
    <w:nsid w:val="2B5B7501"/>
    <w:multiLevelType w:val="multilevel"/>
    <w:tmpl w:val="2B5B75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2B854DD4"/>
    <w:multiLevelType w:val="multilevel"/>
    <w:tmpl w:val="2B854DD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2D0674B3"/>
    <w:multiLevelType w:val="multilevel"/>
    <w:tmpl w:val="2D0674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2D9620C1"/>
    <w:multiLevelType w:val="multilevel"/>
    <w:tmpl w:val="2D9620C1"/>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27">
    <w:nsid w:val="2DDD2E3C"/>
    <w:multiLevelType w:val="multilevel"/>
    <w:tmpl w:val="2DDD2E3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8">
    <w:nsid w:val="2E471DCF"/>
    <w:multiLevelType w:val="multilevel"/>
    <w:tmpl w:val="2E471DCF"/>
    <w:lvl w:ilvl="0" w:tentative="0">
      <w:start w:val="1"/>
      <w:numFmt w:val="bullet"/>
      <w:lvlText w:val=""/>
      <w:lvlJc w:val="left"/>
      <w:pPr>
        <w:tabs>
          <w:tab w:val="left" w:pos="1304"/>
        </w:tabs>
        <w:ind w:left="1304" w:hanging="1304"/>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9">
    <w:nsid w:val="33EA44FF"/>
    <w:multiLevelType w:val="multilevel"/>
    <w:tmpl w:val="33EA44FF"/>
    <w:lvl w:ilvl="0" w:tentative="0">
      <w:start w:val="1"/>
      <w:numFmt w:val="decimal"/>
      <w:pStyle w:val="24"/>
      <w:lvlText w:val="%1."/>
      <w:lvlJc w:val="left"/>
      <w:pPr>
        <w:ind w:left="1004" w:hanging="360"/>
      </w:pPr>
    </w:lvl>
    <w:lvl w:ilvl="1" w:tentative="0">
      <w:start w:val="1"/>
      <w:numFmt w:val="lowerLetter"/>
      <w:lvlText w:val="%2."/>
      <w:lvlJc w:val="left"/>
      <w:pPr>
        <w:ind w:left="1724" w:hanging="360"/>
      </w:pPr>
    </w:lvl>
    <w:lvl w:ilvl="2" w:tentative="0">
      <w:start w:val="1"/>
      <w:numFmt w:val="lowerRoman"/>
      <w:lvlText w:val="%3."/>
      <w:lvlJc w:val="right"/>
      <w:pPr>
        <w:ind w:left="2444" w:hanging="180"/>
      </w:pPr>
    </w:lvl>
    <w:lvl w:ilvl="3" w:tentative="0">
      <w:start w:val="1"/>
      <w:numFmt w:val="decimal"/>
      <w:lvlText w:val="%4."/>
      <w:lvlJc w:val="left"/>
      <w:pPr>
        <w:ind w:left="3164" w:hanging="360"/>
      </w:pPr>
    </w:lvl>
    <w:lvl w:ilvl="4" w:tentative="0">
      <w:start w:val="1"/>
      <w:numFmt w:val="lowerLetter"/>
      <w:lvlText w:val="%5."/>
      <w:lvlJc w:val="left"/>
      <w:pPr>
        <w:ind w:left="3884" w:hanging="360"/>
      </w:pPr>
    </w:lvl>
    <w:lvl w:ilvl="5" w:tentative="0">
      <w:start w:val="1"/>
      <w:numFmt w:val="lowerRoman"/>
      <w:lvlText w:val="%6."/>
      <w:lvlJc w:val="right"/>
      <w:pPr>
        <w:ind w:left="4604" w:hanging="180"/>
      </w:pPr>
    </w:lvl>
    <w:lvl w:ilvl="6" w:tentative="0">
      <w:start w:val="1"/>
      <w:numFmt w:val="decimal"/>
      <w:lvlText w:val="%7."/>
      <w:lvlJc w:val="left"/>
      <w:pPr>
        <w:ind w:left="5324" w:hanging="360"/>
      </w:pPr>
    </w:lvl>
    <w:lvl w:ilvl="7" w:tentative="0">
      <w:start w:val="1"/>
      <w:numFmt w:val="lowerLetter"/>
      <w:lvlText w:val="%8."/>
      <w:lvlJc w:val="left"/>
      <w:pPr>
        <w:ind w:left="6044" w:hanging="360"/>
      </w:pPr>
    </w:lvl>
    <w:lvl w:ilvl="8" w:tentative="0">
      <w:start w:val="1"/>
      <w:numFmt w:val="lowerRoman"/>
      <w:lvlText w:val="%9."/>
      <w:lvlJc w:val="right"/>
      <w:pPr>
        <w:ind w:left="6764" w:hanging="180"/>
      </w:pPr>
    </w:lvl>
  </w:abstractNum>
  <w:abstractNum w:abstractNumId="30">
    <w:nsid w:val="34EB5758"/>
    <w:multiLevelType w:val="multilevel"/>
    <w:tmpl w:val="34EB57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39687885"/>
    <w:multiLevelType w:val="multilevel"/>
    <w:tmpl w:val="396878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3A9D624E"/>
    <w:multiLevelType w:val="multilevel"/>
    <w:tmpl w:val="3A9D624E"/>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3">
    <w:nsid w:val="3AA46647"/>
    <w:multiLevelType w:val="multilevel"/>
    <w:tmpl w:val="3AA46647"/>
    <w:lvl w:ilvl="0" w:tentative="0">
      <w:start w:val="1"/>
      <w:numFmt w:val="decimal"/>
      <w:pStyle w:val="73"/>
      <w:lvlText w:val="Proposal %1"/>
      <w:lvlJc w:val="left"/>
      <w:pPr>
        <w:tabs>
          <w:tab w:val="left" w:pos="1304"/>
        </w:tabs>
        <w:ind w:left="1304" w:hanging="1304"/>
      </w:pPr>
      <w:rPr>
        <w:rFonts w:hint="default"/>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4">
    <w:nsid w:val="3D301C74"/>
    <w:multiLevelType w:val="multilevel"/>
    <w:tmpl w:val="3D301C74"/>
    <w:lvl w:ilvl="0" w:tentative="0">
      <w:start w:val="1"/>
      <w:numFmt w:val="decimal"/>
      <w:lvlText w:val="%1"/>
      <w:lvlJc w:val="left"/>
      <w:pPr>
        <w:ind w:left="1619" w:hanging="360"/>
      </w:pPr>
      <w:rPr>
        <w:rFonts w:hint="default"/>
      </w:rPr>
    </w:lvl>
    <w:lvl w:ilvl="1" w:tentative="0">
      <w:start w:val="1"/>
      <w:numFmt w:val="lowerLetter"/>
      <w:lvlText w:val="%2."/>
      <w:lvlJc w:val="left"/>
      <w:pPr>
        <w:ind w:left="2339" w:hanging="360"/>
      </w:pPr>
    </w:lvl>
    <w:lvl w:ilvl="2" w:tentative="0">
      <w:start w:val="1"/>
      <w:numFmt w:val="lowerRoman"/>
      <w:lvlText w:val="%3."/>
      <w:lvlJc w:val="right"/>
      <w:pPr>
        <w:ind w:left="3059" w:hanging="180"/>
      </w:pPr>
    </w:lvl>
    <w:lvl w:ilvl="3" w:tentative="0">
      <w:start w:val="1"/>
      <w:numFmt w:val="decimal"/>
      <w:lvlText w:val="%4."/>
      <w:lvlJc w:val="left"/>
      <w:pPr>
        <w:ind w:left="3779" w:hanging="360"/>
      </w:pPr>
    </w:lvl>
    <w:lvl w:ilvl="4" w:tentative="0">
      <w:start w:val="1"/>
      <w:numFmt w:val="lowerLetter"/>
      <w:lvlText w:val="%5."/>
      <w:lvlJc w:val="left"/>
      <w:pPr>
        <w:ind w:left="4499" w:hanging="360"/>
      </w:pPr>
    </w:lvl>
    <w:lvl w:ilvl="5" w:tentative="0">
      <w:start w:val="1"/>
      <w:numFmt w:val="lowerRoman"/>
      <w:lvlText w:val="%6."/>
      <w:lvlJc w:val="right"/>
      <w:pPr>
        <w:ind w:left="5219" w:hanging="180"/>
      </w:pPr>
    </w:lvl>
    <w:lvl w:ilvl="6" w:tentative="0">
      <w:start w:val="1"/>
      <w:numFmt w:val="decimal"/>
      <w:lvlText w:val="%7."/>
      <w:lvlJc w:val="left"/>
      <w:pPr>
        <w:ind w:left="5939" w:hanging="360"/>
      </w:pPr>
    </w:lvl>
    <w:lvl w:ilvl="7" w:tentative="0">
      <w:start w:val="1"/>
      <w:numFmt w:val="lowerLetter"/>
      <w:lvlText w:val="%8."/>
      <w:lvlJc w:val="left"/>
      <w:pPr>
        <w:ind w:left="6659" w:hanging="360"/>
      </w:pPr>
    </w:lvl>
    <w:lvl w:ilvl="8" w:tentative="0">
      <w:start w:val="1"/>
      <w:numFmt w:val="lowerRoman"/>
      <w:lvlText w:val="%9."/>
      <w:lvlJc w:val="right"/>
      <w:pPr>
        <w:ind w:left="7379" w:hanging="180"/>
      </w:pPr>
    </w:lvl>
  </w:abstractNum>
  <w:abstractNum w:abstractNumId="35">
    <w:nsid w:val="40B0630A"/>
    <w:multiLevelType w:val="multilevel"/>
    <w:tmpl w:val="40B0630A"/>
    <w:lvl w:ilvl="0" w:tentative="0">
      <w:start w:val="1"/>
      <w:numFmt w:val="decimal"/>
      <w:pStyle w:val="2"/>
      <w:lvlText w:val="%1"/>
      <w:lvlJc w:val="left"/>
      <w:pPr>
        <w:ind w:left="52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6">
    <w:nsid w:val="41FD56AD"/>
    <w:multiLevelType w:val="multilevel"/>
    <w:tmpl w:val="41FD56AD"/>
    <w:lvl w:ilvl="0" w:tentative="0">
      <w:start w:val="1"/>
      <w:numFmt w:val="lowerLetter"/>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44CC7A23"/>
    <w:multiLevelType w:val="multilevel"/>
    <w:tmpl w:val="44CC7A23"/>
    <w:lvl w:ilvl="0" w:tentative="0">
      <w:start w:val="1"/>
      <w:numFmt w:val="bullet"/>
      <w:lvlText w:val=""/>
      <w:lvlJc w:val="left"/>
      <w:pPr>
        <w:ind w:left="440" w:hanging="440"/>
      </w:pPr>
      <w:rPr>
        <w:rFonts w:hint="default" w:ascii="Symbol" w:hAnsi="Symbol"/>
      </w:rPr>
    </w:lvl>
    <w:lvl w:ilvl="1" w:tentative="0">
      <w:start w:val="1"/>
      <w:numFmt w:val="bullet"/>
      <w:lvlText w:val=""/>
      <w:lvlJc w:val="left"/>
      <w:pPr>
        <w:ind w:left="800" w:hanging="360"/>
      </w:pPr>
      <w:rPr>
        <w:rFonts w:hint="default" w:ascii="Symbol" w:hAnsi="Symbol"/>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8">
    <w:nsid w:val="45312400"/>
    <w:multiLevelType w:val="multilevel"/>
    <w:tmpl w:val="45312400"/>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39">
    <w:nsid w:val="48CC001E"/>
    <w:multiLevelType w:val="multilevel"/>
    <w:tmpl w:val="48CC001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498F2F4D"/>
    <w:multiLevelType w:val="multilevel"/>
    <w:tmpl w:val="498F2F4D"/>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41">
    <w:nsid w:val="4A294A0A"/>
    <w:multiLevelType w:val="multilevel"/>
    <w:tmpl w:val="4A294A0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4B9B3768"/>
    <w:multiLevelType w:val="multilevel"/>
    <w:tmpl w:val="4B9B37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4BDF65F6"/>
    <w:multiLevelType w:val="multilevel"/>
    <w:tmpl w:val="4BDF65F6"/>
    <w:lvl w:ilvl="0" w:tentative="0">
      <w:start w:val="1"/>
      <w:numFmt w:val="decimal"/>
      <w:pStyle w:val="67"/>
      <w:lvlText w:val="[%1]"/>
      <w:lvlJc w:val="left"/>
      <w:pPr>
        <w:tabs>
          <w:tab w:val="left" w:pos="567"/>
        </w:tabs>
        <w:ind w:left="567" w:hanging="567"/>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4">
    <w:nsid w:val="4E7D48A2"/>
    <w:multiLevelType w:val="multilevel"/>
    <w:tmpl w:val="4E7D48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5101505E"/>
    <w:multiLevelType w:val="multilevel"/>
    <w:tmpl w:val="5101505E"/>
    <w:lvl w:ilvl="0" w:tentative="0">
      <w:start w:val="1"/>
      <w:numFmt w:val="decimal"/>
      <w:pStyle w:val="97"/>
      <w:lvlText w:val="Observation %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512011FD"/>
    <w:multiLevelType w:val="multilevel"/>
    <w:tmpl w:val="512011FD"/>
    <w:lvl w:ilvl="0" w:tentative="0">
      <w:start w:val="1"/>
      <w:numFmt w:val="bullet"/>
      <w:lvlText w:val=""/>
      <w:lvlJc w:val="left"/>
      <w:pPr>
        <w:tabs>
          <w:tab w:val="left" w:pos="1304"/>
        </w:tabs>
        <w:ind w:left="1304" w:hanging="1304"/>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7">
    <w:nsid w:val="51474E8E"/>
    <w:multiLevelType w:val="multilevel"/>
    <w:tmpl w:val="51474E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8">
    <w:nsid w:val="521F44A7"/>
    <w:multiLevelType w:val="multilevel"/>
    <w:tmpl w:val="521F44A7"/>
    <w:lvl w:ilvl="0" w:tentative="0">
      <w:start w:val="1"/>
      <w:numFmt w:val="bullet"/>
      <w:pStyle w:val="118"/>
      <w:lvlText w:val=""/>
      <w:lvlJc w:val="left"/>
      <w:pPr>
        <w:tabs>
          <w:tab w:val="left" w:pos="1619"/>
        </w:tabs>
        <w:ind w:left="1619"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9">
    <w:nsid w:val="53C45D77"/>
    <w:multiLevelType w:val="multilevel"/>
    <w:tmpl w:val="53C45D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0">
    <w:nsid w:val="57A50B2C"/>
    <w:multiLevelType w:val="multilevel"/>
    <w:tmpl w:val="57A50B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5A40026E"/>
    <w:multiLevelType w:val="multilevel"/>
    <w:tmpl w:val="5A40026E"/>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5BDE1D10"/>
    <w:multiLevelType w:val="multilevel"/>
    <w:tmpl w:val="5BDE1D10"/>
    <w:lvl w:ilvl="0" w:tentative="0">
      <w:start w:val="1"/>
      <w:numFmt w:val="bullet"/>
      <w:pStyle w:val="28"/>
      <w:lvlText w:val=""/>
      <w:lvlJc w:val="left"/>
      <w:pPr>
        <w:ind w:left="1004" w:hanging="360"/>
      </w:pPr>
      <w:rPr>
        <w:rFonts w:hint="default" w:ascii="Symbol" w:hAnsi="Symbol"/>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53">
    <w:nsid w:val="5E0352C2"/>
    <w:multiLevelType w:val="multilevel"/>
    <w:tmpl w:val="5E0352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675453E2"/>
    <w:multiLevelType w:val="multilevel"/>
    <w:tmpl w:val="675453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6C280105"/>
    <w:multiLevelType w:val="multilevel"/>
    <w:tmpl w:val="6C2801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6">
    <w:nsid w:val="6D286EF9"/>
    <w:multiLevelType w:val="multilevel"/>
    <w:tmpl w:val="6D286EF9"/>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57">
    <w:nsid w:val="6E4C234E"/>
    <w:multiLevelType w:val="multilevel"/>
    <w:tmpl w:val="6E4C234E"/>
    <w:lvl w:ilvl="0" w:tentative="0">
      <w:start w:val="1"/>
      <w:numFmt w:val="lowerLetter"/>
      <w:pStyle w:val="23"/>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58">
    <w:nsid w:val="6E62742D"/>
    <w:multiLevelType w:val="multilevel"/>
    <w:tmpl w:val="6E6274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9">
    <w:nsid w:val="6E853912"/>
    <w:multiLevelType w:val="multilevel"/>
    <w:tmpl w:val="6E853912"/>
    <w:lvl w:ilvl="0" w:tentative="0">
      <w:start w:val="150"/>
      <w:numFmt w:val="bullet"/>
      <w:lvlText w:val="-"/>
      <w:lvlJc w:val="left"/>
      <w:pPr>
        <w:ind w:left="720" w:hanging="360"/>
      </w:pPr>
      <w:rPr>
        <w:rFonts w:hint="default" w:ascii="Times" w:hAnsi="Times" w:eastAsia="Batang" w:cs="Time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0">
    <w:nsid w:val="709B2BE0"/>
    <w:multiLevelType w:val="multilevel"/>
    <w:tmpl w:val="709B2BE0"/>
    <w:lvl w:ilvl="0" w:tentative="0">
      <w:start w:val="1"/>
      <w:numFmt w:val="bullet"/>
      <w:lvlText w:val=""/>
      <w:lvlJc w:val="left"/>
      <w:pPr>
        <w:tabs>
          <w:tab w:val="left" w:pos="720"/>
        </w:tabs>
        <w:ind w:left="720" w:hanging="720"/>
      </w:pPr>
      <w:rPr>
        <w:rFonts w:hint="default" w:ascii="Symbol" w:hAnsi="Symbol"/>
      </w:r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61">
    <w:nsid w:val="71BC0F8A"/>
    <w:multiLevelType w:val="multilevel"/>
    <w:tmpl w:val="71BC0F8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2">
    <w:nsid w:val="71C03064"/>
    <w:multiLevelType w:val="multilevel"/>
    <w:tmpl w:val="71C030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3">
    <w:nsid w:val="7222656D"/>
    <w:multiLevelType w:val="multilevel"/>
    <w:tmpl w:val="7222656D"/>
    <w:lvl w:ilvl="0" w:tentative="0">
      <w:start w:val="1"/>
      <w:numFmt w:val="decimal"/>
      <w:pStyle w:val="1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64">
    <w:nsid w:val="74FF1CEA"/>
    <w:multiLevelType w:val="multilevel"/>
    <w:tmpl w:val="74FF1CEA"/>
    <w:lvl w:ilvl="0" w:tentative="0">
      <w:start w:val="1"/>
      <w:numFmt w:val="bullet"/>
      <w:pStyle w:val="35"/>
      <w:lvlText w:val=""/>
      <w:lvlJc w:val="left"/>
      <w:pPr>
        <w:ind w:left="2138" w:hanging="360"/>
      </w:pPr>
      <w:rPr>
        <w:rFonts w:hint="default" w:ascii="Symbol" w:hAnsi="Symbol"/>
      </w:rPr>
    </w:lvl>
    <w:lvl w:ilvl="1" w:tentative="0">
      <w:start w:val="1"/>
      <w:numFmt w:val="bullet"/>
      <w:lvlText w:val="o"/>
      <w:lvlJc w:val="left"/>
      <w:pPr>
        <w:ind w:left="2858" w:hanging="360"/>
      </w:pPr>
      <w:rPr>
        <w:rFonts w:hint="default" w:ascii="Courier New" w:hAnsi="Courier New" w:cs="Courier New"/>
      </w:rPr>
    </w:lvl>
    <w:lvl w:ilvl="2" w:tentative="0">
      <w:start w:val="1"/>
      <w:numFmt w:val="bullet"/>
      <w:lvlText w:val=""/>
      <w:lvlJc w:val="left"/>
      <w:pPr>
        <w:ind w:left="3578" w:hanging="360"/>
      </w:pPr>
      <w:rPr>
        <w:rFonts w:hint="default" w:ascii="Wingdings" w:hAnsi="Wingdings"/>
      </w:rPr>
    </w:lvl>
    <w:lvl w:ilvl="3" w:tentative="0">
      <w:start w:val="1"/>
      <w:numFmt w:val="bullet"/>
      <w:lvlText w:val=""/>
      <w:lvlJc w:val="left"/>
      <w:pPr>
        <w:ind w:left="4298" w:hanging="360"/>
      </w:pPr>
      <w:rPr>
        <w:rFonts w:hint="default" w:ascii="Symbol" w:hAnsi="Symbol"/>
      </w:rPr>
    </w:lvl>
    <w:lvl w:ilvl="4" w:tentative="0">
      <w:start w:val="1"/>
      <w:numFmt w:val="bullet"/>
      <w:lvlText w:val="o"/>
      <w:lvlJc w:val="left"/>
      <w:pPr>
        <w:ind w:left="5018" w:hanging="360"/>
      </w:pPr>
      <w:rPr>
        <w:rFonts w:hint="default" w:ascii="Courier New" w:hAnsi="Courier New" w:cs="Courier New"/>
      </w:rPr>
    </w:lvl>
    <w:lvl w:ilvl="5" w:tentative="0">
      <w:start w:val="1"/>
      <w:numFmt w:val="bullet"/>
      <w:lvlText w:val=""/>
      <w:lvlJc w:val="left"/>
      <w:pPr>
        <w:ind w:left="5738" w:hanging="360"/>
      </w:pPr>
      <w:rPr>
        <w:rFonts w:hint="default" w:ascii="Wingdings" w:hAnsi="Wingdings"/>
      </w:rPr>
    </w:lvl>
    <w:lvl w:ilvl="6" w:tentative="0">
      <w:start w:val="1"/>
      <w:numFmt w:val="bullet"/>
      <w:lvlText w:val=""/>
      <w:lvlJc w:val="left"/>
      <w:pPr>
        <w:ind w:left="6458" w:hanging="360"/>
      </w:pPr>
      <w:rPr>
        <w:rFonts w:hint="default" w:ascii="Symbol" w:hAnsi="Symbol"/>
      </w:rPr>
    </w:lvl>
    <w:lvl w:ilvl="7" w:tentative="0">
      <w:start w:val="1"/>
      <w:numFmt w:val="bullet"/>
      <w:lvlText w:val="o"/>
      <w:lvlJc w:val="left"/>
      <w:pPr>
        <w:ind w:left="7178" w:hanging="360"/>
      </w:pPr>
      <w:rPr>
        <w:rFonts w:hint="default" w:ascii="Courier New" w:hAnsi="Courier New" w:cs="Courier New"/>
      </w:rPr>
    </w:lvl>
    <w:lvl w:ilvl="8" w:tentative="0">
      <w:start w:val="1"/>
      <w:numFmt w:val="bullet"/>
      <w:lvlText w:val=""/>
      <w:lvlJc w:val="left"/>
      <w:pPr>
        <w:ind w:left="7898" w:hanging="360"/>
      </w:pPr>
      <w:rPr>
        <w:rFonts w:hint="default" w:ascii="Wingdings" w:hAnsi="Wingdings"/>
      </w:rPr>
    </w:lvl>
  </w:abstractNum>
  <w:abstractNum w:abstractNumId="65">
    <w:nsid w:val="751C145C"/>
    <w:multiLevelType w:val="multilevel"/>
    <w:tmpl w:val="751C145C"/>
    <w:lvl w:ilvl="0" w:tentative="0">
      <w:start w:val="1"/>
      <w:numFmt w:val="bullet"/>
      <w:lvlText w:val="•"/>
      <w:lvlJc w:val="left"/>
      <w:pPr>
        <w:tabs>
          <w:tab w:val="left" w:pos="360"/>
        </w:tabs>
        <w:ind w:left="360" w:hanging="360"/>
      </w:pPr>
      <w:rPr>
        <w:rFonts w:hint="default" w:ascii="Arial" w:hAnsi="Arial" w:cs="Times New Roman"/>
      </w:rPr>
    </w:lvl>
    <w:lvl w:ilvl="1" w:tentative="0">
      <w:start w:val="0"/>
      <w:numFmt w:val="bullet"/>
      <w:lvlText w:val="•"/>
      <w:lvlJc w:val="left"/>
      <w:pPr>
        <w:tabs>
          <w:tab w:val="left" w:pos="1080"/>
        </w:tabs>
        <w:ind w:left="1080" w:hanging="360"/>
      </w:pPr>
      <w:rPr>
        <w:rFonts w:hint="default" w:ascii="Arial" w:hAnsi="Arial" w:cs="Times New Roman"/>
      </w:rPr>
    </w:lvl>
    <w:lvl w:ilvl="2" w:tentative="0">
      <w:start w:val="1"/>
      <w:numFmt w:val="bullet"/>
      <w:lvlText w:val="•"/>
      <w:lvlJc w:val="left"/>
      <w:pPr>
        <w:tabs>
          <w:tab w:val="left" w:pos="1800"/>
        </w:tabs>
        <w:ind w:left="1800" w:hanging="360"/>
      </w:pPr>
      <w:rPr>
        <w:rFonts w:hint="default" w:ascii="Arial" w:hAnsi="Arial" w:cs="Times New Roman"/>
      </w:rPr>
    </w:lvl>
    <w:lvl w:ilvl="3" w:tentative="0">
      <w:start w:val="1"/>
      <w:numFmt w:val="bullet"/>
      <w:lvlText w:val="•"/>
      <w:lvlJc w:val="left"/>
      <w:pPr>
        <w:tabs>
          <w:tab w:val="left" w:pos="2520"/>
        </w:tabs>
        <w:ind w:left="2520" w:hanging="360"/>
      </w:pPr>
      <w:rPr>
        <w:rFonts w:hint="default" w:ascii="Arial" w:hAnsi="Arial" w:cs="Times New Roman"/>
      </w:rPr>
    </w:lvl>
    <w:lvl w:ilvl="4" w:tentative="0">
      <w:start w:val="1"/>
      <w:numFmt w:val="bullet"/>
      <w:lvlText w:val="•"/>
      <w:lvlJc w:val="left"/>
      <w:pPr>
        <w:tabs>
          <w:tab w:val="left" w:pos="3240"/>
        </w:tabs>
        <w:ind w:left="3240" w:hanging="360"/>
      </w:pPr>
      <w:rPr>
        <w:rFonts w:hint="default" w:ascii="Arial" w:hAnsi="Arial" w:cs="Times New Roman"/>
      </w:rPr>
    </w:lvl>
    <w:lvl w:ilvl="5" w:tentative="0">
      <w:start w:val="1"/>
      <w:numFmt w:val="bullet"/>
      <w:lvlText w:val="•"/>
      <w:lvlJc w:val="left"/>
      <w:pPr>
        <w:tabs>
          <w:tab w:val="left" w:pos="3960"/>
        </w:tabs>
        <w:ind w:left="3960" w:hanging="360"/>
      </w:pPr>
      <w:rPr>
        <w:rFonts w:hint="default" w:ascii="Arial" w:hAnsi="Arial" w:cs="Times New Roman"/>
      </w:rPr>
    </w:lvl>
    <w:lvl w:ilvl="6" w:tentative="0">
      <w:start w:val="1"/>
      <w:numFmt w:val="bullet"/>
      <w:lvlText w:val="•"/>
      <w:lvlJc w:val="left"/>
      <w:pPr>
        <w:tabs>
          <w:tab w:val="left" w:pos="4680"/>
        </w:tabs>
        <w:ind w:left="4680" w:hanging="360"/>
      </w:pPr>
      <w:rPr>
        <w:rFonts w:hint="default" w:ascii="Arial" w:hAnsi="Arial" w:cs="Times New Roman"/>
      </w:rPr>
    </w:lvl>
    <w:lvl w:ilvl="7" w:tentative="0">
      <w:start w:val="1"/>
      <w:numFmt w:val="bullet"/>
      <w:lvlText w:val="•"/>
      <w:lvlJc w:val="left"/>
      <w:pPr>
        <w:tabs>
          <w:tab w:val="left" w:pos="5400"/>
        </w:tabs>
        <w:ind w:left="5400" w:hanging="360"/>
      </w:pPr>
      <w:rPr>
        <w:rFonts w:hint="default" w:ascii="Arial" w:hAnsi="Arial" w:cs="Times New Roman"/>
      </w:rPr>
    </w:lvl>
    <w:lvl w:ilvl="8" w:tentative="0">
      <w:start w:val="1"/>
      <w:numFmt w:val="bullet"/>
      <w:lvlText w:val="•"/>
      <w:lvlJc w:val="left"/>
      <w:pPr>
        <w:tabs>
          <w:tab w:val="left" w:pos="6120"/>
        </w:tabs>
        <w:ind w:left="6120" w:hanging="360"/>
      </w:pPr>
      <w:rPr>
        <w:rFonts w:hint="default" w:ascii="Arial" w:hAnsi="Arial" w:cs="Times New Roman"/>
      </w:rPr>
    </w:lvl>
  </w:abstractNum>
  <w:abstractNum w:abstractNumId="66">
    <w:nsid w:val="78994CFC"/>
    <w:multiLevelType w:val="multilevel"/>
    <w:tmpl w:val="78994CF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7">
    <w:nsid w:val="79156C54"/>
    <w:multiLevelType w:val="multilevel"/>
    <w:tmpl w:val="79156C54"/>
    <w:lvl w:ilvl="0" w:tentative="0">
      <w:start w:val="1"/>
      <w:numFmt w:val="bullet"/>
      <w:pStyle w:val="151"/>
      <w:lvlText w:val="-"/>
      <w:lvlJc w:val="left"/>
      <w:pPr>
        <w:tabs>
          <w:tab w:val="left" w:pos="1191"/>
        </w:tabs>
        <w:ind w:left="1191" w:hanging="454"/>
      </w:pPr>
    </w:lvl>
    <w:lvl w:ilvl="1" w:tentative="0">
      <w:start w:val="1"/>
      <w:numFmt w:val="bullet"/>
      <w:lvlText w:val="o"/>
      <w:lvlJc w:val="left"/>
      <w:pPr>
        <w:tabs>
          <w:tab w:val="left" w:pos="1440"/>
        </w:tabs>
        <w:ind w:left="1440" w:hanging="360"/>
      </w:pPr>
      <w:rPr>
        <w:rFonts w:hint="default" w:ascii="Courier New" w:hAnsi="Courier New" w:cs="Times New Roman"/>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Times New Roman"/>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Times New Roman"/>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35"/>
  </w:num>
  <w:num w:numId="2">
    <w:abstractNumId w:val="57"/>
  </w:num>
  <w:num w:numId="3">
    <w:abstractNumId w:val="29"/>
  </w:num>
  <w:num w:numId="4">
    <w:abstractNumId w:val="9"/>
  </w:num>
  <w:num w:numId="5">
    <w:abstractNumId w:val="20"/>
  </w:num>
  <w:num w:numId="6">
    <w:abstractNumId w:val="17"/>
  </w:num>
  <w:num w:numId="7">
    <w:abstractNumId w:val="52"/>
  </w:num>
  <w:num w:numId="8">
    <w:abstractNumId w:val="0"/>
  </w:num>
  <w:num w:numId="9">
    <w:abstractNumId w:val="64"/>
  </w:num>
  <w:num w:numId="10">
    <w:abstractNumId w:val="43"/>
  </w:num>
  <w:num w:numId="11">
    <w:abstractNumId w:val="33"/>
  </w:num>
  <w:num w:numId="12">
    <w:abstractNumId w:val="45"/>
  </w:num>
  <w:num w:numId="13">
    <w:abstractNumId w:val="48"/>
  </w:num>
  <w:num w:numId="14">
    <w:abstractNumId w:val="63"/>
  </w:num>
  <w:num w:numId="15">
    <w:abstractNumId w:val="22"/>
  </w:num>
  <w:num w:numId="16">
    <w:abstractNumId w:val="67"/>
  </w:num>
  <w:num w:numId="17">
    <w:abstractNumId w:val="2"/>
  </w:num>
  <w:num w:numId="18">
    <w:abstractNumId w:val="51"/>
  </w:num>
  <w:num w:numId="19">
    <w:abstractNumId w:val="26"/>
  </w:num>
  <w:num w:numId="20">
    <w:abstractNumId w:val="55"/>
  </w:num>
  <w:num w:numId="21">
    <w:abstractNumId w:val="10"/>
  </w:num>
  <w:num w:numId="22">
    <w:abstractNumId w:val="14"/>
  </w:num>
  <w:num w:numId="23">
    <w:abstractNumId w:val="8"/>
  </w:num>
  <w:num w:numId="24">
    <w:abstractNumId w:val="37"/>
  </w:num>
  <w:num w:numId="25">
    <w:abstractNumId w:val="47"/>
  </w:num>
  <w:num w:numId="26">
    <w:abstractNumId w:val="38"/>
  </w:num>
  <w:num w:numId="27">
    <w:abstractNumId w:val="21"/>
  </w:num>
  <w:num w:numId="28">
    <w:abstractNumId w:val="6"/>
  </w:num>
  <w:num w:numId="29">
    <w:abstractNumId w:val="41"/>
  </w:num>
  <w:num w:numId="30">
    <w:abstractNumId w:val="59"/>
  </w:num>
  <w:num w:numId="31">
    <w:abstractNumId w:val="66"/>
  </w:num>
  <w:num w:numId="32">
    <w:abstractNumId w:val="53"/>
  </w:num>
  <w:num w:numId="33">
    <w:abstractNumId w:val="42"/>
  </w:num>
  <w:num w:numId="34">
    <w:abstractNumId w:val="54"/>
  </w:num>
  <w:num w:numId="35">
    <w:abstractNumId w:val="16"/>
  </w:num>
  <w:num w:numId="36">
    <w:abstractNumId w:val="61"/>
  </w:num>
  <w:num w:numId="37">
    <w:abstractNumId w:val="58"/>
  </w:num>
  <w:num w:numId="38">
    <w:abstractNumId w:val="23"/>
  </w:num>
  <w:num w:numId="39">
    <w:abstractNumId w:val="39"/>
  </w:num>
  <w:num w:numId="40">
    <w:abstractNumId w:val="49"/>
  </w:num>
  <w:num w:numId="41">
    <w:abstractNumId w:val="19"/>
  </w:num>
  <w:num w:numId="42">
    <w:abstractNumId w:val="27"/>
  </w:num>
  <w:num w:numId="43">
    <w:abstractNumId w:val="13"/>
  </w:num>
  <w:num w:numId="44">
    <w:abstractNumId w:val="46"/>
  </w:num>
  <w:num w:numId="45">
    <w:abstractNumId w:val="1"/>
  </w:num>
  <w:num w:numId="46">
    <w:abstractNumId w:val="11"/>
  </w:num>
  <w:num w:numId="47">
    <w:abstractNumId w:val="34"/>
  </w:num>
  <w:num w:numId="48">
    <w:abstractNumId w:val="60"/>
  </w:num>
  <w:num w:numId="49">
    <w:abstractNumId w:val="40"/>
  </w:num>
  <w:num w:numId="50">
    <w:abstractNumId w:val="12"/>
  </w:num>
  <w:num w:numId="51">
    <w:abstractNumId w:val="44"/>
  </w:num>
  <w:num w:numId="52">
    <w:abstractNumId w:val="28"/>
  </w:num>
  <w:num w:numId="53">
    <w:abstractNumId w:val="56"/>
  </w:num>
  <w:num w:numId="54">
    <w:abstractNumId w:val="15"/>
  </w:num>
  <w:num w:numId="55">
    <w:abstractNumId w:val="31"/>
  </w:num>
  <w:num w:numId="56">
    <w:abstractNumId w:val="36"/>
  </w:num>
  <w:num w:numId="57">
    <w:abstractNumId w:val="32"/>
  </w:num>
  <w:num w:numId="58">
    <w:abstractNumId w:val="3"/>
  </w:num>
  <w:num w:numId="59">
    <w:abstractNumId w:val="65"/>
  </w:num>
  <w:num w:numId="60">
    <w:abstractNumId w:val="30"/>
  </w:num>
  <w:num w:numId="61">
    <w:abstractNumId w:val="7"/>
  </w:num>
  <w:num w:numId="62">
    <w:abstractNumId w:val="50"/>
  </w:num>
  <w:num w:numId="63">
    <w:abstractNumId w:val="25"/>
  </w:num>
  <w:num w:numId="64">
    <w:abstractNumId w:val="24"/>
  </w:num>
  <w:num w:numId="65">
    <w:abstractNumId w:val="5"/>
  </w:num>
  <w:num w:numId="66">
    <w:abstractNumId w:val="4"/>
  </w:num>
  <w:num w:numId="67">
    <w:abstractNumId w:val="62"/>
  </w:num>
  <w:num w:numId="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567"/>
  <w:hyphenationZone w:val="425"/>
  <w:characterSpacingControl w:val="doNotCompress"/>
  <w:footnotePr>
    <w:numRestart w:val="eachSect"/>
    <w:footnote w:id="0"/>
    <w:footnote w:id="1"/>
  </w:footnotePr>
  <w:endnotePr>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BB6"/>
    <w:rsid w:val="00000016"/>
    <w:rsid w:val="00000204"/>
    <w:rsid w:val="000005E7"/>
    <w:rsid w:val="000006CF"/>
    <w:rsid w:val="000006E1"/>
    <w:rsid w:val="000009CE"/>
    <w:rsid w:val="00000EE9"/>
    <w:rsid w:val="000012F1"/>
    <w:rsid w:val="000013DA"/>
    <w:rsid w:val="0000160D"/>
    <w:rsid w:val="00001657"/>
    <w:rsid w:val="00001C6E"/>
    <w:rsid w:val="00001D0A"/>
    <w:rsid w:val="00002349"/>
    <w:rsid w:val="000023B2"/>
    <w:rsid w:val="00002499"/>
    <w:rsid w:val="000028D1"/>
    <w:rsid w:val="000029A8"/>
    <w:rsid w:val="00002A37"/>
    <w:rsid w:val="00002AB6"/>
    <w:rsid w:val="00002F66"/>
    <w:rsid w:val="00002F7B"/>
    <w:rsid w:val="00003116"/>
    <w:rsid w:val="000031F2"/>
    <w:rsid w:val="00003826"/>
    <w:rsid w:val="00003AC0"/>
    <w:rsid w:val="00003D22"/>
    <w:rsid w:val="0000429A"/>
    <w:rsid w:val="0000431F"/>
    <w:rsid w:val="00004346"/>
    <w:rsid w:val="00004756"/>
    <w:rsid w:val="0000484E"/>
    <w:rsid w:val="000048B6"/>
    <w:rsid w:val="0000496B"/>
    <w:rsid w:val="00004B13"/>
    <w:rsid w:val="00004E33"/>
    <w:rsid w:val="00004F4F"/>
    <w:rsid w:val="0000505D"/>
    <w:rsid w:val="0000531F"/>
    <w:rsid w:val="0000564C"/>
    <w:rsid w:val="00005CB0"/>
    <w:rsid w:val="00005D3B"/>
    <w:rsid w:val="00005FF9"/>
    <w:rsid w:val="00006062"/>
    <w:rsid w:val="000061F9"/>
    <w:rsid w:val="00006446"/>
    <w:rsid w:val="00006797"/>
    <w:rsid w:val="000067F1"/>
    <w:rsid w:val="00006896"/>
    <w:rsid w:val="0000694F"/>
    <w:rsid w:val="00006C0F"/>
    <w:rsid w:val="00006CFA"/>
    <w:rsid w:val="00006D1E"/>
    <w:rsid w:val="00006EFA"/>
    <w:rsid w:val="00006FA3"/>
    <w:rsid w:val="00007134"/>
    <w:rsid w:val="00007164"/>
    <w:rsid w:val="0000739F"/>
    <w:rsid w:val="00007424"/>
    <w:rsid w:val="00007586"/>
    <w:rsid w:val="0000778B"/>
    <w:rsid w:val="000078CD"/>
    <w:rsid w:val="00007AC9"/>
    <w:rsid w:val="00007B9F"/>
    <w:rsid w:val="00007C62"/>
    <w:rsid w:val="00007CDC"/>
    <w:rsid w:val="00007D9B"/>
    <w:rsid w:val="00010110"/>
    <w:rsid w:val="0001022D"/>
    <w:rsid w:val="00010628"/>
    <w:rsid w:val="0001063E"/>
    <w:rsid w:val="0001071B"/>
    <w:rsid w:val="0001083F"/>
    <w:rsid w:val="000108D6"/>
    <w:rsid w:val="00010906"/>
    <w:rsid w:val="000109F8"/>
    <w:rsid w:val="00010C5E"/>
    <w:rsid w:val="00010CA5"/>
    <w:rsid w:val="0001121E"/>
    <w:rsid w:val="00011398"/>
    <w:rsid w:val="000114A6"/>
    <w:rsid w:val="000115E8"/>
    <w:rsid w:val="00011649"/>
    <w:rsid w:val="00011959"/>
    <w:rsid w:val="000119A7"/>
    <w:rsid w:val="000119E5"/>
    <w:rsid w:val="00011A43"/>
    <w:rsid w:val="00011A8A"/>
    <w:rsid w:val="00011AF0"/>
    <w:rsid w:val="00011B28"/>
    <w:rsid w:val="00011D4A"/>
    <w:rsid w:val="00012461"/>
    <w:rsid w:val="0001258D"/>
    <w:rsid w:val="00012613"/>
    <w:rsid w:val="00012949"/>
    <w:rsid w:val="00012D0D"/>
    <w:rsid w:val="00013377"/>
    <w:rsid w:val="0001348C"/>
    <w:rsid w:val="0001375A"/>
    <w:rsid w:val="00013A41"/>
    <w:rsid w:val="00013AD3"/>
    <w:rsid w:val="00013B05"/>
    <w:rsid w:val="00013BD4"/>
    <w:rsid w:val="00013C5F"/>
    <w:rsid w:val="00013DEB"/>
    <w:rsid w:val="00013ED2"/>
    <w:rsid w:val="00013EDF"/>
    <w:rsid w:val="00013F7B"/>
    <w:rsid w:val="000140AE"/>
    <w:rsid w:val="00014318"/>
    <w:rsid w:val="00014368"/>
    <w:rsid w:val="000143DA"/>
    <w:rsid w:val="00014464"/>
    <w:rsid w:val="000145DF"/>
    <w:rsid w:val="0001460E"/>
    <w:rsid w:val="00014729"/>
    <w:rsid w:val="0001492C"/>
    <w:rsid w:val="00014BDE"/>
    <w:rsid w:val="00014CD1"/>
    <w:rsid w:val="00014E69"/>
    <w:rsid w:val="000150C9"/>
    <w:rsid w:val="00015647"/>
    <w:rsid w:val="0001569D"/>
    <w:rsid w:val="0001572B"/>
    <w:rsid w:val="00015788"/>
    <w:rsid w:val="000158EC"/>
    <w:rsid w:val="00015A16"/>
    <w:rsid w:val="00015B31"/>
    <w:rsid w:val="00015B3F"/>
    <w:rsid w:val="00015BBB"/>
    <w:rsid w:val="00015D15"/>
    <w:rsid w:val="000161F0"/>
    <w:rsid w:val="00016308"/>
    <w:rsid w:val="0001660E"/>
    <w:rsid w:val="000166E2"/>
    <w:rsid w:val="000168FA"/>
    <w:rsid w:val="00016A17"/>
    <w:rsid w:val="00016A4B"/>
    <w:rsid w:val="00016BEF"/>
    <w:rsid w:val="00016BFB"/>
    <w:rsid w:val="00016C26"/>
    <w:rsid w:val="000170E7"/>
    <w:rsid w:val="0001724C"/>
    <w:rsid w:val="00017606"/>
    <w:rsid w:val="00017620"/>
    <w:rsid w:val="00017C83"/>
    <w:rsid w:val="00017DA9"/>
    <w:rsid w:val="00017DBE"/>
    <w:rsid w:val="00017F12"/>
    <w:rsid w:val="00020223"/>
    <w:rsid w:val="000203AC"/>
    <w:rsid w:val="000207E1"/>
    <w:rsid w:val="00020A5F"/>
    <w:rsid w:val="00020A6E"/>
    <w:rsid w:val="00020C43"/>
    <w:rsid w:val="00020CAC"/>
    <w:rsid w:val="00020ED6"/>
    <w:rsid w:val="00020F7F"/>
    <w:rsid w:val="00020FDA"/>
    <w:rsid w:val="00021083"/>
    <w:rsid w:val="000210C1"/>
    <w:rsid w:val="00021120"/>
    <w:rsid w:val="000211D5"/>
    <w:rsid w:val="000219EA"/>
    <w:rsid w:val="00021D62"/>
    <w:rsid w:val="00021E15"/>
    <w:rsid w:val="00021E3B"/>
    <w:rsid w:val="00021EB4"/>
    <w:rsid w:val="000220E1"/>
    <w:rsid w:val="00022337"/>
    <w:rsid w:val="00022365"/>
    <w:rsid w:val="000225BD"/>
    <w:rsid w:val="00022883"/>
    <w:rsid w:val="00022A90"/>
    <w:rsid w:val="00022F5B"/>
    <w:rsid w:val="000231F5"/>
    <w:rsid w:val="000232D7"/>
    <w:rsid w:val="000235FF"/>
    <w:rsid w:val="00023BB9"/>
    <w:rsid w:val="00023CC3"/>
    <w:rsid w:val="00023F96"/>
    <w:rsid w:val="000240B5"/>
    <w:rsid w:val="0002444D"/>
    <w:rsid w:val="0002459D"/>
    <w:rsid w:val="0002465A"/>
    <w:rsid w:val="0002465F"/>
    <w:rsid w:val="0002471C"/>
    <w:rsid w:val="00024846"/>
    <w:rsid w:val="0002484D"/>
    <w:rsid w:val="00024894"/>
    <w:rsid w:val="0002493C"/>
    <w:rsid w:val="00024A45"/>
    <w:rsid w:val="00024B46"/>
    <w:rsid w:val="00024DF2"/>
    <w:rsid w:val="00024EAA"/>
    <w:rsid w:val="00024EEF"/>
    <w:rsid w:val="000254D1"/>
    <w:rsid w:val="0002562A"/>
    <w:rsid w:val="0002564D"/>
    <w:rsid w:val="00025814"/>
    <w:rsid w:val="000258F7"/>
    <w:rsid w:val="00025B07"/>
    <w:rsid w:val="00025CF2"/>
    <w:rsid w:val="00025ECA"/>
    <w:rsid w:val="00025EEF"/>
    <w:rsid w:val="000262F7"/>
    <w:rsid w:val="00026457"/>
    <w:rsid w:val="0002675C"/>
    <w:rsid w:val="00026DB5"/>
    <w:rsid w:val="00026F83"/>
    <w:rsid w:val="00027169"/>
    <w:rsid w:val="000271CC"/>
    <w:rsid w:val="00027271"/>
    <w:rsid w:val="00027344"/>
    <w:rsid w:val="00027375"/>
    <w:rsid w:val="000273BF"/>
    <w:rsid w:val="0002740E"/>
    <w:rsid w:val="000274DB"/>
    <w:rsid w:val="000274FD"/>
    <w:rsid w:val="00027749"/>
    <w:rsid w:val="00027751"/>
    <w:rsid w:val="000277EF"/>
    <w:rsid w:val="000279BD"/>
    <w:rsid w:val="00027B2E"/>
    <w:rsid w:val="00027C00"/>
    <w:rsid w:val="00027C3A"/>
    <w:rsid w:val="00027C67"/>
    <w:rsid w:val="00027D2C"/>
    <w:rsid w:val="00027D73"/>
    <w:rsid w:val="00027F16"/>
    <w:rsid w:val="000300B6"/>
    <w:rsid w:val="00030105"/>
    <w:rsid w:val="00030134"/>
    <w:rsid w:val="000303FA"/>
    <w:rsid w:val="00030505"/>
    <w:rsid w:val="0003075E"/>
    <w:rsid w:val="000308C1"/>
    <w:rsid w:val="0003093C"/>
    <w:rsid w:val="00030A1F"/>
    <w:rsid w:val="00030A9C"/>
    <w:rsid w:val="00030B3E"/>
    <w:rsid w:val="00030C2F"/>
    <w:rsid w:val="00031226"/>
    <w:rsid w:val="00031234"/>
    <w:rsid w:val="00031252"/>
    <w:rsid w:val="000313B7"/>
    <w:rsid w:val="000314FE"/>
    <w:rsid w:val="000316D8"/>
    <w:rsid w:val="00031948"/>
    <w:rsid w:val="00031A54"/>
    <w:rsid w:val="00031BD0"/>
    <w:rsid w:val="00031DE9"/>
    <w:rsid w:val="00031ECF"/>
    <w:rsid w:val="0003233C"/>
    <w:rsid w:val="00032484"/>
    <w:rsid w:val="000325B8"/>
    <w:rsid w:val="000327F5"/>
    <w:rsid w:val="000329FF"/>
    <w:rsid w:val="00032AA2"/>
    <w:rsid w:val="00032AEC"/>
    <w:rsid w:val="00032BA2"/>
    <w:rsid w:val="00032CE9"/>
    <w:rsid w:val="00032DD8"/>
    <w:rsid w:val="00033023"/>
    <w:rsid w:val="0003302B"/>
    <w:rsid w:val="00033250"/>
    <w:rsid w:val="0003332F"/>
    <w:rsid w:val="0003333B"/>
    <w:rsid w:val="00033679"/>
    <w:rsid w:val="00033680"/>
    <w:rsid w:val="00033815"/>
    <w:rsid w:val="000338B2"/>
    <w:rsid w:val="00033911"/>
    <w:rsid w:val="00033B5B"/>
    <w:rsid w:val="00033BEF"/>
    <w:rsid w:val="00033D61"/>
    <w:rsid w:val="00033E3F"/>
    <w:rsid w:val="00033F3E"/>
    <w:rsid w:val="00033F64"/>
    <w:rsid w:val="00033FD4"/>
    <w:rsid w:val="00034408"/>
    <w:rsid w:val="00034581"/>
    <w:rsid w:val="0003476C"/>
    <w:rsid w:val="00034855"/>
    <w:rsid w:val="000349BB"/>
    <w:rsid w:val="00034B70"/>
    <w:rsid w:val="00034C15"/>
    <w:rsid w:val="00034C3C"/>
    <w:rsid w:val="000352F8"/>
    <w:rsid w:val="00035749"/>
    <w:rsid w:val="0003585B"/>
    <w:rsid w:val="000358FF"/>
    <w:rsid w:val="00035ABD"/>
    <w:rsid w:val="00035B22"/>
    <w:rsid w:val="00035DE9"/>
    <w:rsid w:val="0003637A"/>
    <w:rsid w:val="000363DB"/>
    <w:rsid w:val="0003647C"/>
    <w:rsid w:val="0003664E"/>
    <w:rsid w:val="0003666E"/>
    <w:rsid w:val="000367E3"/>
    <w:rsid w:val="00036AC0"/>
    <w:rsid w:val="00036BA1"/>
    <w:rsid w:val="00036C00"/>
    <w:rsid w:val="00036D0E"/>
    <w:rsid w:val="00036EFB"/>
    <w:rsid w:val="000370A9"/>
    <w:rsid w:val="0003758F"/>
    <w:rsid w:val="000376F2"/>
    <w:rsid w:val="0003795E"/>
    <w:rsid w:val="00037B72"/>
    <w:rsid w:val="00037F56"/>
    <w:rsid w:val="00037FF5"/>
    <w:rsid w:val="00040056"/>
    <w:rsid w:val="0004021D"/>
    <w:rsid w:val="0004047A"/>
    <w:rsid w:val="00040A6C"/>
    <w:rsid w:val="00040BDA"/>
    <w:rsid w:val="00040EBB"/>
    <w:rsid w:val="00041139"/>
    <w:rsid w:val="00041299"/>
    <w:rsid w:val="00041336"/>
    <w:rsid w:val="00041B0A"/>
    <w:rsid w:val="00041BAF"/>
    <w:rsid w:val="00041C2F"/>
    <w:rsid w:val="0004209A"/>
    <w:rsid w:val="000420A8"/>
    <w:rsid w:val="000420AF"/>
    <w:rsid w:val="00042115"/>
    <w:rsid w:val="000422E2"/>
    <w:rsid w:val="0004277A"/>
    <w:rsid w:val="00042827"/>
    <w:rsid w:val="0004288D"/>
    <w:rsid w:val="00042946"/>
    <w:rsid w:val="00042C65"/>
    <w:rsid w:val="00042F22"/>
    <w:rsid w:val="0004311E"/>
    <w:rsid w:val="000433AE"/>
    <w:rsid w:val="000434C4"/>
    <w:rsid w:val="000436C1"/>
    <w:rsid w:val="0004399A"/>
    <w:rsid w:val="000439A2"/>
    <w:rsid w:val="00043C0E"/>
    <w:rsid w:val="00043D43"/>
    <w:rsid w:val="00043E10"/>
    <w:rsid w:val="00043E26"/>
    <w:rsid w:val="0004427F"/>
    <w:rsid w:val="000442B1"/>
    <w:rsid w:val="00044393"/>
    <w:rsid w:val="00044436"/>
    <w:rsid w:val="000444AB"/>
    <w:rsid w:val="000444EF"/>
    <w:rsid w:val="000448B8"/>
    <w:rsid w:val="00044925"/>
    <w:rsid w:val="00044A7B"/>
    <w:rsid w:val="00044B6D"/>
    <w:rsid w:val="00044C7D"/>
    <w:rsid w:val="00044CDD"/>
    <w:rsid w:val="00044E1F"/>
    <w:rsid w:val="00045278"/>
    <w:rsid w:val="00045C5D"/>
    <w:rsid w:val="00045DC4"/>
    <w:rsid w:val="00045E5A"/>
    <w:rsid w:val="00046039"/>
    <w:rsid w:val="0004624F"/>
    <w:rsid w:val="000463BF"/>
    <w:rsid w:val="000465F3"/>
    <w:rsid w:val="000466D0"/>
    <w:rsid w:val="00046832"/>
    <w:rsid w:val="000468A7"/>
    <w:rsid w:val="00046903"/>
    <w:rsid w:val="00046D66"/>
    <w:rsid w:val="00046F87"/>
    <w:rsid w:val="000470DC"/>
    <w:rsid w:val="00047205"/>
    <w:rsid w:val="000472E6"/>
    <w:rsid w:val="000472ED"/>
    <w:rsid w:val="00047450"/>
    <w:rsid w:val="0004766D"/>
    <w:rsid w:val="0004784A"/>
    <w:rsid w:val="00047CD3"/>
    <w:rsid w:val="00047EE0"/>
    <w:rsid w:val="000502DF"/>
    <w:rsid w:val="0005056D"/>
    <w:rsid w:val="0005060D"/>
    <w:rsid w:val="000508EC"/>
    <w:rsid w:val="0005098C"/>
    <w:rsid w:val="00050CF7"/>
    <w:rsid w:val="00050E6D"/>
    <w:rsid w:val="00050ED2"/>
    <w:rsid w:val="00050FE1"/>
    <w:rsid w:val="0005153D"/>
    <w:rsid w:val="0005174D"/>
    <w:rsid w:val="00051B44"/>
    <w:rsid w:val="00051DEE"/>
    <w:rsid w:val="00051E18"/>
    <w:rsid w:val="00051FEB"/>
    <w:rsid w:val="000520AA"/>
    <w:rsid w:val="000520EA"/>
    <w:rsid w:val="00052121"/>
    <w:rsid w:val="000521DA"/>
    <w:rsid w:val="00052778"/>
    <w:rsid w:val="000527CF"/>
    <w:rsid w:val="00052891"/>
    <w:rsid w:val="00052923"/>
    <w:rsid w:val="00052A07"/>
    <w:rsid w:val="00052BF4"/>
    <w:rsid w:val="00052D4F"/>
    <w:rsid w:val="00052D5E"/>
    <w:rsid w:val="00052E1A"/>
    <w:rsid w:val="00052FC2"/>
    <w:rsid w:val="000532FA"/>
    <w:rsid w:val="000534E3"/>
    <w:rsid w:val="00053504"/>
    <w:rsid w:val="00053A80"/>
    <w:rsid w:val="00053B15"/>
    <w:rsid w:val="00053CE1"/>
    <w:rsid w:val="00053DF2"/>
    <w:rsid w:val="00053E70"/>
    <w:rsid w:val="00053E7A"/>
    <w:rsid w:val="00053F0B"/>
    <w:rsid w:val="0005416E"/>
    <w:rsid w:val="000542A0"/>
    <w:rsid w:val="000542C8"/>
    <w:rsid w:val="000543F2"/>
    <w:rsid w:val="000545DE"/>
    <w:rsid w:val="00054711"/>
    <w:rsid w:val="0005479C"/>
    <w:rsid w:val="00054CDE"/>
    <w:rsid w:val="00054EB3"/>
    <w:rsid w:val="000551FF"/>
    <w:rsid w:val="00055349"/>
    <w:rsid w:val="00055376"/>
    <w:rsid w:val="00055436"/>
    <w:rsid w:val="00055736"/>
    <w:rsid w:val="000559D5"/>
    <w:rsid w:val="00055AE5"/>
    <w:rsid w:val="00055B72"/>
    <w:rsid w:val="00055D80"/>
    <w:rsid w:val="00055F94"/>
    <w:rsid w:val="00055FD6"/>
    <w:rsid w:val="0005606A"/>
    <w:rsid w:val="0005668C"/>
    <w:rsid w:val="00056725"/>
    <w:rsid w:val="00056844"/>
    <w:rsid w:val="00056BA9"/>
    <w:rsid w:val="00056C0D"/>
    <w:rsid w:val="00056C64"/>
    <w:rsid w:val="00056DD8"/>
    <w:rsid w:val="00056E99"/>
    <w:rsid w:val="00056F2A"/>
    <w:rsid w:val="00057117"/>
    <w:rsid w:val="000573E5"/>
    <w:rsid w:val="000573F3"/>
    <w:rsid w:val="000575F3"/>
    <w:rsid w:val="0005771E"/>
    <w:rsid w:val="00057791"/>
    <w:rsid w:val="000577E7"/>
    <w:rsid w:val="00057974"/>
    <w:rsid w:val="00057A80"/>
    <w:rsid w:val="00057EF1"/>
    <w:rsid w:val="00057F34"/>
    <w:rsid w:val="00057F60"/>
    <w:rsid w:val="00057FFD"/>
    <w:rsid w:val="00060038"/>
    <w:rsid w:val="00060404"/>
    <w:rsid w:val="00060561"/>
    <w:rsid w:val="000607CA"/>
    <w:rsid w:val="00060D17"/>
    <w:rsid w:val="00061131"/>
    <w:rsid w:val="0006129D"/>
    <w:rsid w:val="000613A9"/>
    <w:rsid w:val="00061463"/>
    <w:rsid w:val="00061668"/>
    <w:rsid w:val="000616E7"/>
    <w:rsid w:val="00061731"/>
    <w:rsid w:val="00061877"/>
    <w:rsid w:val="0006196B"/>
    <w:rsid w:val="0006198D"/>
    <w:rsid w:val="000619BD"/>
    <w:rsid w:val="00061A4F"/>
    <w:rsid w:val="00061B89"/>
    <w:rsid w:val="00061D5D"/>
    <w:rsid w:val="00062447"/>
    <w:rsid w:val="00062537"/>
    <w:rsid w:val="0006255F"/>
    <w:rsid w:val="00062741"/>
    <w:rsid w:val="000627D8"/>
    <w:rsid w:val="00062840"/>
    <w:rsid w:val="00062D1A"/>
    <w:rsid w:val="00062D7D"/>
    <w:rsid w:val="00062E8C"/>
    <w:rsid w:val="00063169"/>
    <w:rsid w:val="000631C1"/>
    <w:rsid w:val="0006322C"/>
    <w:rsid w:val="000633C1"/>
    <w:rsid w:val="0006341C"/>
    <w:rsid w:val="00063531"/>
    <w:rsid w:val="00063551"/>
    <w:rsid w:val="0006368B"/>
    <w:rsid w:val="000636B5"/>
    <w:rsid w:val="00063A4D"/>
    <w:rsid w:val="00063AFF"/>
    <w:rsid w:val="00063C44"/>
    <w:rsid w:val="00063F20"/>
    <w:rsid w:val="000640D8"/>
    <w:rsid w:val="000642E9"/>
    <w:rsid w:val="00064338"/>
    <w:rsid w:val="00064545"/>
    <w:rsid w:val="000645A0"/>
    <w:rsid w:val="000647F9"/>
    <w:rsid w:val="0006486B"/>
    <w:rsid w:val="0006487E"/>
    <w:rsid w:val="00064919"/>
    <w:rsid w:val="00064AE5"/>
    <w:rsid w:val="00064B22"/>
    <w:rsid w:val="00064C48"/>
    <w:rsid w:val="00064DB2"/>
    <w:rsid w:val="00064E5E"/>
    <w:rsid w:val="000651ED"/>
    <w:rsid w:val="00065251"/>
    <w:rsid w:val="00065325"/>
    <w:rsid w:val="0006536D"/>
    <w:rsid w:val="00065428"/>
    <w:rsid w:val="000657A3"/>
    <w:rsid w:val="000657D0"/>
    <w:rsid w:val="000657E5"/>
    <w:rsid w:val="000657FF"/>
    <w:rsid w:val="00065804"/>
    <w:rsid w:val="00065956"/>
    <w:rsid w:val="00065E1A"/>
    <w:rsid w:val="00065EA3"/>
    <w:rsid w:val="0006606B"/>
    <w:rsid w:val="0006619E"/>
    <w:rsid w:val="0006630B"/>
    <w:rsid w:val="000665A5"/>
    <w:rsid w:val="000667AC"/>
    <w:rsid w:val="00066859"/>
    <w:rsid w:val="00066C5F"/>
    <w:rsid w:val="00066CC0"/>
    <w:rsid w:val="00066CC9"/>
    <w:rsid w:val="00066DDF"/>
    <w:rsid w:val="00066F5A"/>
    <w:rsid w:val="000671A8"/>
    <w:rsid w:val="0006721F"/>
    <w:rsid w:val="000677DD"/>
    <w:rsid w:val="000679EC"/>
    <w:rsid w:val="00067C84"/>
    <w:rsid w:val="00067DFD"/>
    <w:rsid w:val="00067FB1"/>
    <w:rsid w:val="0007016A"/>
    <w:rsid w:val="00070195"/>
    <w:rsid w:val="000701F0"/>
    <w:rsid w:val="00070345"/>
    <w:rsid w:val="0007041E"/>
    <w:rsid w:val="0007052A"/>
    <w:rsid w:val="000709AA"/>
    <w:rsid w:val="00070F83"/>
    <w:rsid w:val="0007129B"/>
    <w:rsid w:val="000713F9"/>
    <w:rsid w:val="0007169A"/>
    <w:rsid w:val="0007186E"/>
    <w:rsid w:val="00071D36"/>
    <w:rsid w:val="00071E16"/>
    <w:rsid w:val="00071E23"/>
    <w:rsid w:val="00071F69"/>
    <w:rsid w:val="0007218D"/>
    <w:rsid w:val="000722F0"/>
    <w:rsid w:val="00072BDD"/>
    <w:rsid w:val="00072E8B"/>
    <w:rsid w:val="00072F06"/>
    <w:rsid w:val="0007302E"/>
    <w:rsid w:val="00073131"/>
    <w:rsid w:val="0007354B"/>
    <w:rsid w:val="0007354E"/>
    <w:rsid w:val="00073678"/>
    <w:rsid w:val="00073688"/>
    <w:rsid w:val="0007370E"/>
    <w:rsid w:val="00073776"/>
    <w:rsid w:val="00073852"/>
    <w:rsid w:val="00073AFA"/>
    <w:rsid w:val="00073BDE"/>
    <w:rsid w:val="00073D65"/>
    <w:rsid w:val="00073E65"/>
    <w:rsid w:val="00074002"/>
    <w:rsid w:val="000741D2"/>
    <w:rsid w:val="000742BE"/>
    <w:rsid w:val="00074375"/>
    <w:rsid w:val="000744D0"/>
    <w:rsid w:val="000745F5"/>
    <w:rsid w:val="000746F2"/>
    <w:rsid w:val="000747E2"/>
    <w:rsid w:val="00074801"/>
    <w:rsid w:val="00074CD3"/>
    <w:rsid w:val="00074CE9"/>
    <w:rsid w:val="00074E2D"/>
    <w:rsid w:val="00074F02"/>
    <w:rsid w:val="00075312"/>
    <w:rsid w:val="00075438"/>
    <w:rsid w:val="0007578C"/>
    <w:rsid w:val="000757BF"/>
    <w:rsid w:val="0007593C"/>
    <w:rsid w:val="00075BD0"/>
    <w:rsid w:val="00075DAF"/>
    <w:rsid w:val="00076006"/>
    <w:rsid w:val="00076173"/>
    <w:rsid w:val="0007622B"/>
    <w:rsid w:val="0007630A"/>
    <w:rsid w:val="0007650D"/>
    <w:rsid w:val="000765E9"/>
    <w:rsid w:val="0007662B"/>
    <w:rsid w:val="000767F6"/>
    <w:rsid w:val="0007690B"/>
    <w:rsid w:val="0007691C"/>
    <w:rsid w:val="00076C47"/>
    <w:rsid w:val="00076E02"/>
    <w:rsid w:val="0007702A"/>
    <w:rsid w:val="00077058"/>
    <w:rsid w:val="00077172"/>
    <w:rsid w:val="0007748E"/>
    <w:rsid w:val="0007773A"/>
    <w:rsid w:val="00077DC5"/>
    <w:rsid w:val="00077E5F"/>
    <w:rsid w:val="00080086"/>
    <w:rsid w:val="000801B2"/>
    <w:rsid w:val="0008036A"/>
    <w:rsid w:val="0008087B"/>
    <w:rsid w:val="00080CA7"/>
    <w:rsid w:val="00080DEA"/>
    <w:rsid w:val="00080E9C"/>
    <w:rsid w:val="00081137"/>
    <w:rsid w:val="00081258"/>
    <w:rsid w:val="000812D3"/>
    <w:rsid w:val="0008138B"/>
    <w:rsid w:val="000814BE"/>
    <w:rsid w:val="00081A55"/>
    <w:rsid w:val="00081AE6"/>
    <w:rsid w:val="00081BDF"/>
    <w:rsid w:val="00081C63"/>
    <w:rsid w:val="00081D82"/>
    <w:rsid w:val="00081E6C"/>
    <w:rsid w:val="00081EB4"/>
    <w:rsid w:val="00082F12"/>
    <w:rsid w:val="00082F1C"/>
    <w:rsid w:val="00083279"/>
    <w:rsid w:val="00083714"/>
    <w:rsid w:val="000839F3"/>
    <w:rsid w:val="00083AAA"/>
    <w:rsid w:val="00083CA5"/>
    <w:rsid w:val="00083D63"/>
    <w:rsid w:val="00084010"/>
    <w:rsid w:val="00084160"/>
    <w:rsid w:val="000842DD"/>
    <w:rsid w:val="00084388"/>
    <w:rsid w:val="0008442E"/>
    <w:rsid w:val="00084935"/>
    <w:rsid w:val="00084D5D"/>
    <w:rsid w:val="00084E10"/>
    <w:rsid w:val="00084EB9"/>
    <w:rsid w:val="00084FF8"/>
    <w:rsid w:val="0008526F"/>
    <w:rsid w:val="000855BE"/>
    <w:rsid w:val="000855EB"/>
    <w:rsid w:val="0008573E"/>
    <w:rsid w:val="000858BF"/>
    <w:rsid w:val="0008591D"/>
    <w:rsid w:val="00085950"/>
    <w:rsid w:val="00085AA0"/>
    <w:rsid w:val="00085B52"/>
    <w:rsid w:val="00085BC3"/>
    <w:rsid w:val="0008624D"/>
    <w:rsid w:val="00086298"/>
    <w:rsid w:val="00086395"/>
    <w:rsid w:val="00086549"/>
    <w:rsid w:val="00086643"/>
    <w:rsid w:val="000866F2"/>
    <w:rsid w:val="00086771"/>
    <w:rsid w:val="00086984"/>
    <w:rsid w:val="00086B14"/>
    <w:rsid w:val="00086E8A"/>
    <w:rsid w:val="0008700E"/>
    <w:rsid w:val="00087057"/>
    <w:rsid w:val="00087347"/>
    <w:rsid w:val="00087654"/>
    <w:rsid w:val="00087697"/>
    <w:rsid w:val="00087A96"/>
    <w:rsid w:val="0009005D"/>
    <w:rsid w:val="0009009F"/>
    <w:rsid w:val="00090116"/>
    <w:rsid w:val="0009028B"/>
    <w:rsid w:val="00090375"/>
    <w:rsid w:val="000909F8"/>
    <w:rsid w:val="00090E06"/>
    <w:rsid w:val="00090E76"/>
    <w:rsid w:val="00091264"/>
    <w:rsid w:val="00091539"/>
    <w:rsid w:val="00091557"/>
    <w:rsid w:val="000916E2"/>
    <w:rsid w:val="00091772"/>
    <w:rsid w:val="00091924"/>
    <w:rsid w:val="00091AF5"/>
    <w:rsid w:val="00091B86"/>
    <w:rsid w:val="00091BCC"/>
    <w:rsid w:val="00091BE5"/>
    <w:rsid w:val="00091C80"/>
    <w:rsid w:val="00091D02"/>
    <w:rsid w:val="000921C4"/>
    <w:rsid w:val="000924C1"/>
    <w:rsid w:val="000924F0"/>
    <w:rsid w:val="0009288E"/>
    <w:rsid w:val="00092BF4"/>
    <w:rsid w:val="00092C95"/>
    <w:rsid w:val="00093207"/>
    <w:rsid w:val="0009336A"/>
    <w:rsid w:val="00093474"/>
    <w:rsid w:val="00093614"/>
    <w:rsid w:val="000936E4"/>
    <w:rsid w:val="00093717"/>
    <w:rsid w:val="0009397D"/>
    <w:rsid w:val="00093C75"/>
    <w:rsid w:val="00093CFD"/>
    <w:rsid w:val="00093D86"/>
    <w:rsid w:val="00093EBB"/>
    <w:rsid w:val="00094050"/>
    <w:rsid w:val="000940E1"/>
    <w:rsid w:val="00094221"/>
    <w:rsid w:val="000943C7"/>
    <w:rsid w:val="00094577"/>
    <w:rsid w:val="000945A7"/>
    <w:rsid w:val="00094A1B"/>
    <w:rsid w:val="00094B41"/>
    <w:rsid w:val="00094CF7"/>
    <w:rsid w:val="00094F2D"/>
    <w:rsid w:val="0009510F"/>
    <w:rsid w:val="00095459"/>
    <w:rsid w:val="00095636"/>
    <w:rsid w:val="0009586A"/>
    <w:rsid w:val="00095AE4"/>
    <w:rsid w:val="00095FA5"/>
    <w:rsid w:val="00095FF6"/>
    <w:rsid w:val="00096030"/>
    <w:rsid w:val="000960CB"/>
    <w:rsid w:val="000968F7"/>
    <w:rsid w:val="00096926"/>
    <w:rsid w:val="00096B55"/>
    <w:rsid w:val="00096CBF"/>
    <w:rsid w:val="00096EE7"/>
    <w:rsid w:val="00097168"/>
    <w:rsid w:val="0009757A"/>
    <w:rsid w:val="0009779F"/>
    <w:rsid w:val="00097E91"/>
    <w:rsid w:val="00097F46"/>
    <w:rsid w:val="000A04EB"/>
    <w:rsid w:val="000A04F8"/>
    <w:rsid w:val="000A05D8"/>
    <w:rsid w:val="000A0B65"/>
    <w:rsid w:val="000A0EE7"/>
    <w:rsid w:val="000A10C1"/>
    <w:rsid w:val="000A1148"/>
    <w:rsid w:val="000A1505"/>
    <w:rsid w:val="000A1B7B"/>
    <w:rsid w:val="000A1C49"/>
    <w:rsid w:val="000A1C9E"/>
    <w:rsid w:val="000A1E95"/>
    <w:rsid w:val="000A1EF0"/>
    <w:rsid w:val="000A2296"/>
    <w:rsid w:val="000A2310"/>
    <w:rsid w:val="000A233F"/>
    <w:rsid w:val="000A2496"/>
    <w:rsid w:val="000A26D6"/>
    <w:rsid w:val="000A28E9"/>
    <w:rsid w:val="000A291B"/>
    <w:rsid w:val="000A2AC3"/>
    <w:rsid w:val="000A2CB7"/>
    <w:rsid w:val="000A2EDE"/>
    <w:rsid w:val="000A30DA"/>
    <w:rsid w:val="000A32C6"/>
    <w:rsid w:val="000A32E1"/>
    <w:rsid w:val="000A3358"/>
    <w:rsid w:val="000A33FA"/>
    <w:rsid w:val="000A342C"/>
    <w:rsid w:val="000A3588"/>
    <w:rsid w:val="000A3594"/>
    <w:rsid w:val="000A3719"/>
    <w:rsid w:val="000A375D"/>
    <w:rsid w:val="000A3A9C"/>
    <w:rsid w:val="000A3C2E"/>
    <w:rsid w:val="000A3CA3"/>
    <w:rsid w:val="000A3DD7"/>
    <w:rsid w:val="000A3DF9"/>
    <w:rsid w:val="000A3F04"/>
    <w:rsid w:val="000A3F21"/>
    <w:rsid w:val="000A40B7"/>
    <w:rsid w:val="000A426A"/>
    <w:rsid w:val="000A44EF"/>
    <w:rsid w:val="000A463C"/>
    <w:rsid w:val="000A466C"/>
    <w:rsid w:val="000A473F"/>
    <w:rsid w:val="000A476A"/>
    <w:rsid w:val="000A47D3"/>
    <w:rsid w:val="000A487A"/>
    <w:rsid w:val="000A4980"/>
    <w:rsid w:val="000A4A7B"/>
    <w:rsid w:val="000A4B30"/>
    <w:rsid w:val="000A4CDF"/>
    <w:rsid w:val="000A4CF3"/>
    <w:rsid w:val="000A4DC9"/>
    <w:rsid w:val="000A4E18"/>
    <w:rsid w:val="000A4ED4"/>
    <w:rsid w:val="000A4F02"/>
    <w:rsid w:val="000A4F07"/>
    <w:rsid w:val="000A50A8"/>
    <w:rsid w:val="000A51FA"/>
    <w:rsid w:val="000A53CD"/>
    <w:rsid w:val="000A5400"/>
    <w:rsid w:val="000A56F2"/>
    <w:rsid w:val="000A5781"/>
    <w:rsid w:val="000A5838"/>
    <w:rsid w:val="000A598E"/>
    <w:rsid w:val="000A5BCA"/>
    <w:rsid w:val="000A5CD3"/>
    <w:rsid w:val="000A5DBC"/>
    <w:rsid w:val="000A5F23"/>
    <w:rsid w:val="000A607A"/>
    <w:rsid w:val="000A637F"/>
    <w:rsid w:val="000A647A"/>
    <w:rsid w:val="000A65A8"/>
    <w:rsid w:val="000A664E"/>
    <w:rsid w:val="000A6752"/>
    <w:rsid w:val="000A68CD"/>
    <w:rsid w:val="000A6984"/>
    <w:rsid w:val="000A6BB5"/>
    <w:rsid w:val="000A6D35"/>
    <w:rsid w:val="000A6E82"/>
    <w:rsid w:val="000A6F35"/>
    <w:rsid w:val="000A6FA7"/>
    <w:rsid w:val="000A6FC7"/>
    <w:rsid w:val="000A72EE"/>
    <w:rsid w:val="000A7363"/>
    <w:rsid w:val="000A79AB"/>
    <w:rsid w:val="000A7A25"/>
    <w:rsid w:val="000A7B69"/>
    <w:rsid w:val="000A7CA0"/>
    <w:rsid w:val="000A7E9E"/>
    <w:rsid w:val="000A7F5A"/>
    <w:rsid w:val="000B0054"/>
    <w:rsid w:val="000B00CC"/>
    <w:rsid w:val="000B03B1"/>
    <w:rsid w:val="000B0803"/>
    <w:rsid w:val="000B09DC"/>
    <w:rsid w:val="000B0AD6"/>
    <w:rsid w:val="000B0F7D"/>
    <w:rsid w:val="000B1028"/>
    <w:rsid w:val="000B1262"/>
    <w:rsid w:val="000B1278"/>
    <w:rsid w:val="000B129D"/>
    <w:rsid w:val="000B1306"/>
    <w:rsid w:val="000B16EA"/>
    <w:rsid w:val="000B179B"/>
    <w:rsid w:val="000B1861"/>
    <w:rsid w:val="000B1A1A"/>
    <w:rsid w:val="000B1A68"/>
    <w:rsid w:val="000B1D7C"/>
    <w:rsid w:val="000B1D96"/>
    <w:rsid w:val="000B2087"/>
    <w:rsid w:val="000B229B"/>
    <w:rsid w:val="000B25FB"/>
    <w:rsid w:val="000B26F8"/>
    <w:rsid w:val="000B2719"/>
    <w:rsid w:val="000B291F"/>
    <w:rsid w:val="000B2B08"/>
    <w:rsid w:val="000B2B2E"/>
    <w:rsid w:val="000B2FC4"/>
    <w:rsid w:val="000B337B"/>
    <w:rsid w:val="000B357A"/>
    <w:rsid w:val="000B368A"/>
    <w:rsid w:val="000B3767"/>
    <w:rsid w:val="000B386B"/>
    <w:rsid w:val="000B3912"/>
    <w:rsid w:val="000B3A8F"/>
    <w:rsid w:val="000B3D52"/>
    <w:rsid w:val="000B3E77"/>
    <w:rsid w:val="000B415D"/>
    <w:rsid w:val="000B41BC"/>
    <w:rsid w:val="000B43BF"/>
    <w:rsid w:val="000B43CF"/>
    <w:rsid w:val="000B4A9D"/>
    <w:rsid w:val="000B4AB9"/>
    <w:rsid w:val="000B4F6A"/>
    <w:rsid w:val="000B4F9D"/>
    <w:rsid w:val="000B4FBA"/>
    <w:rsid w:val="000B5305"/>
    <w:rsid w:val="000B547C"/>
    <w:rsid w:val="000B56CE"/>
    <w:rsid w:val="000B58C3"/>
    <w:rsid w:val="000B5B1E"/>
    <w:rsid w:val="000B61E9"/>
    <w:rsid w:val="000B6202"/>
    <w:rsid w:val="000B6356"/>
    <w:rsid w:val="000B63AE"/>
    <w:rsid w:val="000B659A"/>
    <w:rsid w:val="000B65A8"/>
    <w:rsid w:val="000B678E"/>
    <w:rsid w:val="000B67F6"/>
    <w:rsid w:val="000B68FC"/>
    <w:rsid w:val="000B6A9A"/>
    <w:rsid w:val="000B73AD"/>
    <w:rsid w:val="000B747F"/>
    <w:rsid w:val="000B74D9"/>
    <w:rsid w:val="000B7508"/>
    <w:rsid w:val="000B7562"/>
    <w:rsid w:val="000B78A7"/>
    <w:rsid w:val="000B7A8B"/>
    <w:rsid w:val="000B7B68"/>
    <w:rsid w:val="000B7E84"/>
    <w:rsid w:val="000B7F07"/>
    <w:rsid w:val="000C01CA"/>
    <w:rsid w:val="000C02B1"/>
    <w:rsid w:val="000C0663"/>
    <w:rsid w:val="000C0767"/>
    <w:rsid w:val="000C0A4F"/>
    <w:rsid w:val="000C0D35"/>
    <w:rsid w:val="000C107C"/>
    <w:rsid w:val="000C128E"/>
    <w:rsid w:val="000C1492"/>
    <w:rsid w:val="000C15B3"/>
    <w:rsid w:val="000C1637"/>
    <w:rsid w:val="000C165A"/>
    <w:rsid w:val="000C1870"/>
    <w:rsid w:val="000C189A"/>
    <w:rsid w:val="000C1A4A"/>
    <w:rsid w:val="000C1AA0"/>
    <w:rsid w:val="000C1B45"/>
    <w:rsid w:val="000C2034"/>
    <w:rsid w:val="000C2086"/>
    <w:rsid w:val="000C216F"/>
    <w:rsid w:val="000C2237"/>
    <w:rsid w:val="000C2557"/>
    <w:rsid w:val="000C2E19"/>
    <w:rsid w:val="000C32E7"/>
    <w:rsid w:val="000C3361"/>
    <w:rsid w:val="000C33C0"/>
    <w:rsid w:val="000C3631"/>
    <w:rsid w:val="000C3648"/>
    <w:rsid w:val="000C3746"/>
    <w:rsid w:val="000C3909"/>
    <w:rsid w:val="000C391F"/>
    <w:rsid w:val="000C3A2D"/>
    <w:rsid w:val="000C3B7B"/>
    <w:rsid w:val="000C3D12"/>
    <w:rsid w:val="000C3D16"/>
    <w:rsid w:val="000C427C"/>
    <w:rsid w:val="000C4328"/>
    <w:rsid w:val="000C43C3"/>
    <w:rsid w:val="000C4578"/>
    <w:rsid w:val="000C45E5"/>
    <w:rsid w:val="000C4A88"/>
    <w:rsid w:val="000C4B2D"/>
    <w:rsid w:val="000C4C2A"/>
    <w:rsid w:val="000C4C7B"/>
    <w:rsid w:val="000C4CC8"/>
    <w:rsid w:val="000C4DAC"/>
    <w:rsid w:val="000C4FED"/>
    <w:rsid w:val="000C50A2"/>
    <w:rsid w:val="000C51E1"/>
    <w:rsid w:val="000C536E"/>
    <w:rsid w:val="000C53FE"/>
    <w:rsid w:val="000C54AE"/>
    <w:rsid w:val="000C57EF"/>
    <w:rsid w:val="000C5D67"/>
    <w:rsid w:val="000C5F9F"/>
    <w:rsid w:val="000C614B"/>
    <w:rsid w:val="000C631B"/>
    <w:rsid w:val="000C643A"/>
    <w:rsid w:val="000C663C"/>
    <w:rsid w:val="000C671D"/>
    <w:rsid w:val="000C6EDA"/>
    <w:rsid w:val="000C6EEE"/>
    <w:rsid w:val="000C6F62"/>
    <w:rsid w:val="000C723B"/>
    <w:rsid w:val="000C7330"/>
    <w:rsid w:val="000C736D"/>
    <w:rsid w:val="000C73AC"/>
    <w:rsid w:val="000C73BD"/>
    <w:rsid w:val="000C7481"/>
    <w:rsid w:val="000C76B4"/>
    <w:rsid w:val="000C775E"/>
    <w:rsid w:val="000C77A4"/>
    <w:rsid w:val="000C780B"/>
    <w:rsid w:val="000D0439"/>
    <w:rsid w:val="000D04C5"/>
    <w:rsid w:val="000D0613"/>
    <w:rsid w:val="000D08F0"/>
    <w:rsid w:val="000D0A43"/>
    <w:rsid w:val="000D0ABD"/>
    <w:rsid w:val="000D0B7E"/>
    <w:rsid w:val="000D0D07"/>
    <w:rsid w:val="000D0F08"/>
    <w:rsid w:val="000D0F47"/>
    <w:rsid w:val="000D1096"/>
    <w:rsid w:val="000D124C"/>
    <w:rsid w:val="000D157E"/>
    <w:rsid w:val="000D15F9"/>
    <w:rsid w:val="000D1784"/>
    <w:rsid w:val="000D1814"/>
    <w:rsid w:val="000D1897"/>
    <w:rsid w:val="000D1976"/>
    <w:rsid w:val="000D1D2C"/>
    <w:rsid w:val="000D1D5E"/>
    <w:rsid w:val="000D1EC2"/>
    <w:rsid w:val="000D1FCC"/>
    <w:rsid w:val="000D1FCD"/>
    <w:rsid w:val="000D22B1"/>
    <w:rsid w:val="000D2548"/>
    <w:rsid w:val="000D279A"/>
    <w:rsid w:val="000D2EED"/>
    <w:rsid w:val="000D31C0"/>
    <w:rsid w:val="000D3295"/>
    <w:rsid w:val="000D3412"/>
    <w:rsid w:val="000D3561"/>
    <w:rsid w:val="000D3716"/>
    <w:rsid w:val="000D387F"/>
    <w:rsid w:val="000D398C"/>
    <w:rsid w:val="000D39F5"/>
    <w:rsid w:val="000D3A0D"/>
    <w:rsid w:val="000D3B37"/>
    <w:rsid w:val="000D3E58"/>
    <w:rsid w:val="000D3FD7"/>
    <w:rsid w:val="000D40BF"/>
    <w:rsid w:val="000D41C7"/>
    <w:rsid w:val="000D4229"/>
    <w:rsid w:val="000D4797"/>
    <w:rsid w:val="000D4C9B"/>
    <w:rsid w:val="000D4F63"/>
    <w:rsid w:val="000D4FDA"/>
    <w:rsid w:val="000D5008"/>
    <w:rsid w:val="000D5059"/>
    <w:rsid w:val="000D50D0"/>
    <w:rsid w:val="000D5137"/>
    <w:rsid w:val="000D5347"/>
    <w:rsid w:val="000D5540"/>
    <w:rsid w:val="000D5BD6"/>
    <w:rsid w:val="000D5C1D"/>
    <w:rsid w:val="000D5D16"/>
    <w:rsid w:val="000D5D82"/>
    <w:rsid w:val="000D5F4C"/>
    <w:rsid w:val="000D605D"/>
    <w:rsid w:val="000D611C"/>
    <w:rsid w:val="000D624D"/>
    <w:rsid w:val="000D65BE"/>
    <w:rsid w:val="000D66EB"/>
    <w:rsid w:val="000D673C"/>
    <w:rsid w:val="000D677B"/>
    <w:rsid w:val="000D67F0"/>
    <w:rsid w:val="000D698C"/>
    <w:rsid w:val="000D6A51"/>
    <w:rsid w:val="000D6BB9"/>
    <w:rsid w:val="000D6C1D"/>
    <w:rsid w:val="000D6ED9"/>
    <w:rsid w:val="000D71EA"/>
    <w:rsid w:val="000D7516"/>
    <w:rsid w:val="000D761A"/>
    <w:rsid w:val="000D7C7C"/>
    <w:rsid w:val="000D7DC9"/>
    <w:rsid w:val="000D7E35"/>
    <w:rsid w:val="000D7E91"/>
    <w:rsid w:val="000D7EEE"/>
    <w:rsid w:val="000D7F28"/>
    <w:rsid w:val="000E0527"/>
    <w:rsid w:val="000E0B61"/>
    <w:rsid w:val="000E0BE8"/>
    <w:rsid w:val="000E0D31"/>
    <w:rsid w:val="000E0DA6"/>
    <w:rsid w:val="000E0F92"/>
    <w:rsid w:val="000E1012"/>
    <w:rsid w:val="000E101F"/>
    <w:rsid w:val="000E1288"/>
    <w:rsid w:val="000E12B6"/>
    <w:rsid w:val="000E17DF"/>
    <w:rsid w:val="000E1B3A"/>
    <w:rsid w:val="000E1B77"/>
    <w:rsid w:val="000E1C03"/>
    <w:rsid w:val="000E1C7E"/>
    <w:rsid w:val="000E1E92"/>
    <w:rsid w:val="000E1EE7"/>
    <w:rsid w:val="000E1F54"/>
    <w:rsid w:val="000E220C"/>
    <w:rsid w:val="000E223F"/>
    <w:rsid w:val="000E22D6"/>
    <w:rsid w:val="000E27A9"/>
    <w:rsid w:val="000E2835"/>
    <w:rsid w:val="000E285E"/>
    <w:rsid w:val="000E293B"/>
    <w:rsid w:val="000E299C"/>
    <w:rsid w:val="000E2D47"/>
    <w:rsid w:val="000E2DCC"/>
    <w:rsid w:val="000E2ED6"/>
    <w:rsid w:val="000E3039"/>
    <w:rsid w:val="000E33ED"/>
    <w:rsid w:val="000E34B5"/>
    <w:rsid w:val="000E367C"/>
    <w:rsid w:val="000E3824"/>
    <w:rsid w:val="000E388F"/>
    <w:rsid w:val="000E39F0"/>
    <w:rsid w:val="000E3AF7"/>
    <w:rsid w:val="000E3BB8"/>
    <w:rsid w:val="000E3DD6"/>
    <w:rsid w:val="000E46CF"/>
    <w:rsid w:val="000E484D"/>
    <w:rsid w:val="000E490D"/>
    <w:rsid w:val="000E499D"/>
    <w:rsid w:val="000E49ED"/>
    <w:rsid w:val="000E4A74"/>
    <w:rsid w:val="000E4B6A"/>
    <w:rsid w:val="000E4BA5"/>
    <w:rsid w:val="000E4CAB"/>
    <w:rsid w:val="000E51C7"/>
    <w:rsid w:val="000E53E1"/>
    <w:rsid w:val="000E5AC5"/>
    <w:rsid w:val="000E6024"/>
    <w:rsid w:val="000E6351"/>
    <w:rsid w:val="000E6359"/>
    <w:rsid w:val="000E6591"/>
    <w:rsid w:val="000E68A3"/>
    <w:rsid w:val="000E6AE8"/>
    <w:rsid w:val="000E6D18"/>
    <w:rsid w:val="000E6E62"/>
    <w:rsid w:val="000E6FAF"/>
    <w:rsid w:val="000E7046"/>
    <w:rsid w:val="000E709B"/>
    <w:rsid w:val="000E7150"/>
    <w:rsid w:val="000E7484"/>
    <w:rsid w:val="000E769F"/>
    <w:rsid w:val="000E76D4"/>
    <w:rsid w:val="000E7747"/>
    <w:rsid w:val="000E7962"/>
    <w:rsid w:val="000E796B"/>
    <w:rsid w:val="000E7CDF"/>
    <w:rsid w:val="000E7D07"/>
    <w:rsid w:val="000E7D2E"/>
    <w:rsid w:val="000E7E5B"/>
    <w:rsid w:val="000E7EB8"/>
    <w:rsid w:val="000F03D1"/>
    <w:rsid w:val="000F0529"/>
    <w:rsid w:val="000F06D6"/>
    <w:rsid w:val="000F0747"/>
    <w:rsid w:val="000F0759"/>
    <w:rsid w:val="000F07DA"/>
    <w:rsid w:val="000F084D"/>
    <w:rsid w:val="000F0A4F"/>
    <w:rsid w:val="000F0B7E"/>
    <w:rsid w:val="000F0D02"/>
    <w:rsid w:val="000F0DE4"/>
    <w:rsid w:val="000F0EB1"/>
    <w:rsid w:val="000F1106"/>
    <w:rsid w:val="000F1399"/>
    <w:rsid w:val="000F1551"/>
    <w:rsid w:val="000F1567"/>
    <w:rsid w:val="000F158A"/>
    <w:rsid w:val="000F1881"/>
    <w:rsid w:val="000F1BEA"/>
    <w:rsid w:val="000F1DBB"/>
    <w:rsid w:val="000F1F8D"/>
    <w:rsid w:val="000F25BA"/>
    <w:rsid w:val="000F27C0"/>
    <w:rsid w:val="000F2828"/>
    <w:rsid w:val="000F2A6A"/>
    <w:rsid w:val="000F2D91"/>
    <w:rsid w:val="000F2DC1"/>
    <w:rsid w:val="000F2E7B"/>
    <w:rsid w:val="000F2F18"/>
    <w:rsid w:val="000F32A3"/>
    <w:rsid w:val="000F3376"/>
    <w:rsid w:val="000F33F4"/>
    <w:rsid w:val="000F37DD"/>
    <w:rsid w:val="000F38D2"/>
    <w:rsid w:val="000F3AEB"/>
    <w:rsid w:val="000F3BDA"/>
    <w:rsid w:val="000F3BE9"/>
    <w:rsid w:val="000F3F6C"/>
    <w:rsid w:val="000F436B"/>
    <w:rsid w:val="000F499C"/>
    <w:rsid w:val="000F4A0B"/>
    <w:rsid w:val="000F4DA6"/>
    <w:rsid w:val="000F4F98"/>
    <w:rsid w:val="000F4FE1"/>
    <w:rsid w:val="000F510A"/>
    <w:rsid w:val="000F52AC"/>
    <w:rsid w:val="000F52B2"/>
    <w:rsid w:val="000F53C6"/>
    <w:rsid w:val="000F5564"/>
    <w:rsid w:val="000F55B3"/>
    <w:rsid w:val="000F56AC"/>
    <w:rsid w:val="000F58E7"/>
    <w:rsid w:val="000F5C5C"/>
    <w:rsid w:val="000F5D86"/>
    <w:rsid w:val="000F5D94"/>
    <w:rsid w:val="000F5E93"/>
    <w:rsid w:val="000F5F01"/>
    <w:rsid w:val="000F5F93"/>
    <w:rsid w:val="000F6083"/>
    <w:rsid w:val="000F6643"/>
    <w:rsid w:val="000F6935"/>
    <w:rsid w:val="000F6DF3"/>
    <w:rsid w:val="000F6FF3"/>
    <w:rsid w:val="000F73E2"/>
    <w:rsid w:val="000F73FF"/>
    <w:rsid w:val="000F7548"/>
    <w:rsid w:val="000F763F"/>
    <w:rsid w:val="000F77DF"/>
    <w:rsid w:val="000F787B"/>
    <w:rsid w:val="000F78DD"/>
    <w:rsid w:val="000F7973"/>
    <w:rsid w:val="000F7B0E"/>
    <w:rsid w:val="000F7B7E"/>
    <w:rsid w:val="000F7C1C"/>
    <w:rsid w:val="000F7D8D"/>
    <w:rsid w:val="000F7D97"/>
    <w:rsid w:val="000F7DF5"/>
    <w:rsid w:val="00100168"/>
    <w:rsid w:val="00100385"/>
    <w:rsid w:val="001005FF"/>
    <w:rsid w:val="00100E32"/>
    <w:rsid w:val="00101165"/>
    <w:rsid w:val="001017B6"/>
    <w:rsid w:val="00101800"/>
    <w:rsid w:val="001019AF"/>
    <w:rsid w:val="001019D1"/>
    <w:rsid w:val="00101A0E"/>
    <w:rsid w:val="00101B55"/>
    <w:rsid w:val="00101C7F"/>
    <w:rsid w:val="00101D70"/>
    <w:rsid w:val="00101DDB"/>
    <w:rsid w:val="00101EFE"/>
    <w:rsid w:val="001022BC"/>
    <w:rsid w:val="00102583"/>
    <w:rsid w:val="00102693"/>
    <w:rsid w:val="00102764"/>
    <w:rsid w:val="00102923"/>
    <w:rsid w:val="001029EE"/>
    <w:rsid w:val="00102BED"/>
    <w:rsid w:val="00102C90"/>
    <w:rsid w:val="00102E67"/>
    <w:rsid w:val="00102F27"/>
    <w:rsid w:val="00103000"/>
    <w:rsid w:val="001030AC"/>
    <w:rsid w:val="0010314C"/>
    <w:rsid w:val="00103186"/>
    <w:rsid w:val="001031B3"/>
    <w:rsid w:val="00103440"/>
    <w:rsid w:val="001035E7"/>
    <w:rsid w:val="0010379A"/>
    <w:rsid w:val="001037A0"/>
    <w:rsid w:val="001037B9"/>
    <w:rsid w:val="001037BA"/>
    <w:rsid w:val="00103B58"/>
    <w:rsid w:val="00103C7C"/>
    <w:rsid w:val="00104023"/>
    <w:rsid w:val="001045A7"/>
    <w:rsid w:val="001045B7"/>
    <w:rsid w:val="001045C5"/>
    <w:rsid w:val="001048F5"/>
    <w:rsid w:val="001049E1"/>
    <w:rsid w:val="00104B22"/>
    <w:rsid w:val="00104BCC"/>
    <w:rsid w:val="00104E0A"/>
    <w:rsid w:val="00104E92"/>
    <w:rsid w:val="001050DF"/>
    <w:rsid w:val="0010515A"/>
    <w:rsid w:val="0010522B"/>
    <w:rsid w:val="00105423"/>
    <w:rsid w:val="001054E2"/>
    <w:rsid w:val="00105521"/>
    <w:rsid w:val="00105616"/>
    <w:rsid w:val="0010586A"/>
    <w:rsid w:val="00105B9C"/>
    <w:rsid w:val="001062FB"/>
    <w:rsid w:val="001063C8"/>
    <w:rsid w:val="001063E6"/>
    <w:rsid w:val="0010681B"/>
    <w:rsid w:val="00106A55"/>
    <w:rsid w:val="00106AC9"/>
    <w:rsid w:val="00106C78"/>
    <w:rsid w:val="00106C83"/>
    <w:rsid w:val="00106D40"/>
    <w:rsid w:val="00106FFA"/>
    <w:rsid w:val="0010708E"/>
    <w:rsid w:val="00107B24"/>
    <w:rsid w:val="00107D44"/>
    <w:rsid w:val="0011008C"/>
    <w:rsid w:val="0011022B"/>
    <w:rsid w:val="00110435"/>
    <w:rsid w:val="0011070A"/>
    <w:rsid w:val="001108AD"/>
    <w:rsid w:val="00110A01"/>
    <w:rsid w:val="00110BDC"/>
    <w:rsid w:val="00110BFC"/>
    <w:rsid w:val="00110C55"/>
    <w:rsid w:val="00110DBC"/>
    <w:rsid w:val="00110EC3"/>
    <w:rsid w:val="00110EF4"/>
    <w:rsid w:val="00110F99"/>
    <w:rsid w:val="00111687"/>
    <w:rsid w:val="001118D4"/>
    <w:rsid w:val="00111BA6"/>
    <w:rsid w:val="00111CB5"/>
    <w:rsid w:val="00111FAC"/>
    <w:rsid w:val="0011218E"/>
    <w:rsid w:val="0011233F"/>
    <w:rsid w:val="001123D0"/>
    <w:rsid w:val="00112697"/>
    <w:rsid w:val="00112923"/>
    <w:rsid w:val="0011296F"/>
    <w:rsid w:val="00112C3B"/>
    <w:rsid w:val="00112E42"/>
    <w:rsid w:val="00113328"/>
    <w:rsid w:val="001134A3"/>
    <w:rsid w:val="001134AD"/>
    <w:rsid w:val="0011357F"/>
    <w:rsid w:val="00113938"/>
    <w:rsid w:val="0011394E"/>
    <w:rsid w:val="00113C43"/>
    <w:rsid w:val="00113CF4"/>
    <w:rsid w:val="00113DA0"/>
    <w:rsid w:val="00113DBD"/>
    <w:rsid w:val="00113DD6"/>
    <w:rsid w:val="00113ED3"/>
    <w:rsid w:val="00113EF6"/>
    <w:rsid w:val="00113F49"/>
    <w:rsid w:val="001140C3"/>
    <w:rsid w:val="001143D3"/>
    <w:rsid w:val="0011440B"/>
    <w:rsid w:val="001144BB"/>
    <w:rsid w:val="001145C6"/>
    <w:rsid w:val="001153EA"/>
    <w:rsid w:val="00115643"/>
    <w:rsid w:val="00115702"/>
    <w:rsid w:val="00115E9C"/>
    <w:rsid w:val="0011607E"/>
    <w:rsid w:val="00116194"/>
    <w:rsid w:val="00116227"/>
    <w:rsid w:val="00116307"/>
    <w:rsid w:val="001163E6"/>
    <w:rsid w:val="001164CC"/>
    <w:rsid w:val="001165C6"/>
    <w:rsid w:val="00116765"/>
    <w:rsid w:val="00116A44"/>
    <w:rsid w:val="00116A69"/>
    <w:rsid w:val="00116A80"/>
    <w:rsid w:val="00116C20"/>
    <w:rsid w:val="00116F51"/>
    <w:rsid w:val="00117054"/>
    <w:rsid w:val="0011723E"/>
    <w:rsid w:val="00117268"/>
    <w:rsid w:val="001174E7"/>
    <w:rsid w:val="0011752C"/>
    <w:rsid w:val="001176B0"/>
    <w:rsid w:val="001177CB"/>
    <w:rsid w:val="00117C0F"/>
    <w:rsid w:val="00117C1D"/>
    <w:rsid w:val="00117E1F"/>
    <w:rsid w:val="00120073"/>
    <w:rsid w:val="001201C9"/>
    <w:rsid w:val="001205CA"/>
    <w:rsid w:val="001205D4"/>
    <w:rsid w:val="001206EF"/>
    <w:rsid w:val="00120861"/>
    <w:rsid w:val="00120A1F"/>
    <w:rsid w:val="00120C81"/>
    <w:rsid w:val="00120FC5"/>
    <w:rsid w:val="0012104E"/>
    <w:rsid w:val="0012123B"/>
    <w:rsid w:val="0012123C"/>
    <w:rsid w:val="0012149C"/>
    <w:rsid w:val="0012166A"/>
    <w:rsid w:val="001219F5"/>
    <w:rsid w:val="00121A20"/>
    <w:rsid w:val="00121C56"/>
    <w:rsid w:val="00121D61"/>
    <w:rsid w:val="00121FA9"/>
    <w:rsid w:val="001220B7"/>
    <w:rsid w:val="001220F5"/>
    <w:rsid w:val="001221A9"/>
    <w:rsid w:val="00122255"/>
    <w:rsid w:val="001222F1"/>
    <w:rsid w:val="001225C6"/>
    <w:rsid w:val="00122BC8"/>
    <w:rsid w:val="00123082"/>
    <w:rsid w:val="00123454"/>
    <w:rsid w:val="00123480"/>
    <w:rsid w:val="00123731"/>
    <w:rsid w:val="0012377F"/>
    <w:rsid w:val="0012390C"/>
    <w:rsid w:val="00123924"/>
    <w:rsid w:val="00123942"/>
    <w:rsid w:val="00123AD5"/>
    <w:rsid w:val="00124314"/>
    <w:rsid w:val="001243E8"/>
    <w:rsid w:val="001244FB"/>
    <w:rsid w:val="00124524"/>
    <w:rsid w:val="00124AB5"/>
    <w:rsid w:val="00124C9D"/>
    <w:rsid w:val="00124FBC"/>
    <w:rsid w:val="00125136"/>
    <w:rsid w:val="00125432"/>
    <w:rsid w:val="00125646"/>
    <w:rsid w:val="001256EF"/>
    <w:rsid w:val="001259E2"/>
    <w:rsid w:val="00125CC2"/>
    <w:rsid w:val="00125FD1"/>
    <w:rsid w:val="001260BB"/>
    <w:rsid w:val="0012653D"/>
    <w:rsid w:val="001267ED"/>
    <w:rsid w:val="0012699D"/>
    <w:rsid w:val="00126B4A"/>
    <w:rsid w:val="001274B5"/>
    <w:rsid w:val="00127B13"/>
    <w:rsid w:val="00129549"/>
    <w:rsid w:val="001301EE"/>
    <w:rsid w:val="0013022F"/>
    <w:rsid w:val="00130337"/>
    <w:rsid w:val="00130552"/>
    <w:rsid w:val="001306B6"/>
    <w:rsid w:val="00130716"/>
    <w:rsid w:val="001308E8"/>
    <w:rsid w:val="00130ABF"/>
    <w:rsid w:val="00130DEC"/>
    <w:rsid w:val="00130E58"/>
    <w:rsid w:val="0013107A"/>
    <w:rsid w:val="00131300"/>
    <w:rsid w:val="0013130B"/>
    <w:rsid w:val="0013140B"/>
    <w:rsid w:val="0013166B"/>
    <w:rsid w:val="00131677"/>
    <w:rsid w:val="00131818"/>
    <w:rsid w:val="00131D31"/>
    <w:rsid w:val="00131E0A"/>
    <w:rsid w:val="0013219F"/>
    <w:rsid w:val="001321ED"/>
    <w:rsid w:val="001322C3"/>
    <w:rsid w:val="00132369"/>
    <w:rsid w:val="0013238B"/>
    <w:rsid w:val="0013291C"/>
    <w:rsid w:val="00132CF0"/>
    <w:rsid w:val="00132CFC"/>
    <w:rsid w:val="00132DFD"/>
    <w:rsid w:val="00132E14"/>
    <w:rsid w:val="00132FD0"/>
    <w:rsid w:val="00133062"/>
    <w:rsid w:val="00133080"/>
    <w:rsid w:val="001331D1"/>
    <w:rsid w:val="00133363"/>
    <w:rsid w:val="001335BC"/>
    <w:rsid w:val="00133624"/>
    <w:rsid w:val="001337AC"/>
    <w:rsid w:val="001339BB"/>
    <w:rsid w:val="00133BC3"/>
    <w:rsid w:val="00133E52"/>
    <w:rsid w:val="00133E56"/>
    <w:rsid w:val="00133E64"/>
    <w:rsid w:val="00133F00"/>
    <w:rsid w:val="00133FAF"/>
    <w:rsid w:val="001340C2"/>
    <w:rsid w:val="001341D6"/>
    <w:rsid w:val="0013426F"/>
    <w:rsid w:val="001342FA"/>
    <w:rsid w:val="001344C0"/>
    <w:rsid w:val="001346FA"/>
    <w:rsid w:val="00134831"/>
    <w:rsid w:val="00134855"/>
    <w:rsid w:val="001348F0"/>
    <w:rsid w:val="001348FD"/>
    <w:rsid w:val="00134991"/>
    <w:rsid w:val="00134998"/>
    <w:rsid w:val="001349EE"/>
    <w:rsid w:val="00134AF0"/>
    <w:rsid w:val="00134BC3"/>
    <w:rsid w:val="00134CBC"/>
    <w:rsid w:val="00134D6D"/>
    <w:rsid w:val="001351E6"/>
    <w:rsid w:val="00135252"/>
    <w:rsid w:val="001354A0"/>
    <w:rsid w:val="001355D3"/>
    <w:rsid w:val="001356ED"/>
    <w:rsid w:val="0013582C"/>
    <w:rsid w:val="00135BCA"/>
    <w:rsid w:val="00135FB4"/>
    <w:rsid w:val="001360C4"/>
    <w:rsid w:val="00136496"/>
    <w:rsid w:val="0013649C"/>
    <w:rsid w:val="00136B93"/>
    <w:rsid w:val="00136C99"/>
    <w:rsid w:val="00136C9A"/>
    <w:rsid w:val="00136EBD"/>
    <w:rsid w:val="001370FA"/>
    <w:rsid w:val="00137269"/>
    <w:rsid w:val="00137293"/>
    <w:rsid w:val="00137AB5"/>
    <w:rsid w:val="00137D20"/>
    <w:rsid w:val="00137E0D"/>
    <w:rsid w:val="00137F0B"/>
    <w:rsid w:val="001400E7"/>
    <w:rsid w:val="0014018A"/>
    <w:rsid w:val="0014023F"/>
    <w:rsid w:val="001403D5"/>
    <w:rsid w:val="001403F8"/>
    <w:rsid w:val="00140557"/>
    <w:rsid w:val="0014074F"/>
    <w:rsid w:val="00140800"/>
    <w:rsid w:val="001408EE"/>
    <w:rsid w:val="00140979"/>
    <w:rsid w:val="00140C6A"/>
    <w:rsid w:val="00140E25"/>
    <w:rsid w:val="00140EC4"/>
    <w:rsid w:val="00140F92"/>
    <w:rsid w:val="0014105D"/>
    <w:rsid w:val="00141143"/>
    <w:rsid w:val="0014118F"/>
    <w:rsid w:val="001411CC"/>
    <w:rsid w:val="0014122A"/>
    <w:rsid w:val="00141310"/>
    <w:rsid w:val="00141700"/>
    <w:rsid w:val="001419B5"/>
    <w:rsid w:val="00141ED5"/>
    <w:rsid w:val="00141EEE"/>
    <w:rsid w:val="00142097"/>
    <w:rsid w:val="0014209D"/>
    <w:rsid w:val="00142331"/>
    <w:rsid w:val="001425F1"/>
    <w:rsid w:val="00142810"/>
    <w:rsid w:val="00142A84"/>
    <w:rsid w:val="00142D69"/>
    <w:rsid w:val="00143015"/>
    <w:rsid w:val="001431CD"/>
    <w:rsid w:val="001438B1"/>
    <w:rsid w:val="001438B7"/>
    <w:rsid w:val="00143939"/>
    <w:rsid w:val="00143A09"/>
    <w:rsid w:val="00143A27"/>
    <w:rsid w:val="00143BA7"/>
    <w:rsid w:val="00143FBD"/>
    <w:rsid w:val="001440EA"/>
    <w:rsid w:val="00144254"/>
    <w:rsid w:val="001443E2"/>
    <w:rsid w:val="0014441D"/>
    <w:rsid w:val="001446DC"/>
    <w:rsid w:val="00144869"/>
    <w:rsid w:val="00144917"/>
    <w:rsid w:val="00144C80"/>
    <w:rsid w:val="0014532C"/>
    <w:rsid w:val="0014536F"/>
    <w:rsid w:val="001453EE"/>
    <w:rsid w:val="00145438"/>
    <w:rsid w:val="001457C3"/>
    <w:rsid w:val="00145942"/>
    <w:rsid w:val="00145966"/>
    <w:rsid w:val="00145967"/>
    <w:rsid w:val="00145B86"/>
    <w:rsid w:val="00145F79"/>
    <w:rsid w:val="00145FDD"/>
    <w:rsid w:val="00146006"/>
    <w:rsid w:val="0014601B"/>
    <w:rsid w:val="001461A4"/>
    <w:rsid w:val="00146317"/>
    <w:rsid w:val="00146433"/>
    <w:rsid w:val="0014645F"/>
    <w:rsid w:val="001467FA"/>
    <w:rsid w:val="001468AD"/>
    <w:rsid w:val="001468C1"/>
    <w:rsid w:val="00146A50"/>
    <w:rsid w:val="00146B05"/>
    <w:rsid w:val="00146BAE"/>
    <w:rsid w:val="00146CA8"/>
    <w:rsid w:val="00146CC6"/>
    <w:rsid w:val="00146E21"/>
    <w:rsid w:val="00146F01"/>
    <w:rsid w:val="00147209"/>
    <w:rsid w:val="001472CA"/>
    <w:rsid w:val="00147F56"/>
    <w:rsid w:val="0015010E"/>
    <w:rsid w:val="00150341"/>
    <w:rsid w:val="001505D6"/>
    <w:rsid w:val="001509EA"/>
    <w:rsid w:val="00150A57"/>
    <w:rsid w:val="00150AD2"/>
    <w:rsid w:val="00150AF2"/>
    <w:rsid w:val="00150B59"/>
    <w:rsid w:val="00150FEC"/>
    <w:rsid w:val="00151025"/>
    <w:rsid w:val="00151257"/>
    <w:rsid w:val="001513C8"/>
    <w:rsid w:val="001513E2"/>
    <w:rsid w:val="001514B9"/>
    <w:rsid w:val="001514BA"/>
    <w:rsid w:val="00151646"/>
    <w:rsid w:val="00151A1D"/>
    <w:rsid w:val="00151A96"/>
    <w:rsid w:val="00151D80"/>
    <w:rsid w:val="00151E23"/>
    <w:rsid w:val="00151EC8"/>
    <w:rsid w:val="001520B1"/>
    <w:rsid w:val="001523AE"/>
    <w:rsid w:val="00152498"/>
    <w:rsid w:val="001526E0"/>
    <w:rsid w:val="001527AF"/>
    <w:rsid w:val="00152A5B"/>
    <w:rsid w:val="00152C06"/>
    <w:rsid w:val="00152DED"/>
    <w:rsid w:val="00152FB2"/>
    <w:rsid w:val="001534B3"/>
    <w:rsid w:val="0015375A"/>
    <w:rsid w:val="001538AB"/>
    <w:rsid w:val="0015397E"/>
    <w:rsid w:val="00153A20"/>
    <w:rsid w:val="00153C9D"/>
    <w:rsid w:val="00153E4D"/>
    <w:rsid w:val="00154004"/>
    <w:rsid w:val="00154106"/>
    <w:rsid w:val="00154170"/>
    <w:rsid w:val="001541CE"/>
    <w:rsid w:val="001543DF"/>
    <w:rsid w:val="00154401"/>
    <w:rsid w:val="001547AE"/>
    <w:rsid w:val="001549E2"/>
    <w:rsid w:val="001549FE"/>
    <w:rsid w:val="00154DD1"/>
    <w:rsid w:val="00154E22"/>
    <w:rsid w:val="00154F22"/>
    <w:rsid w:val="001551B5"/>
    <w:rsid w:val="0015543C"/>
    <w:rsid w:val="0015556A"/>
    <w:rsid w:val="0015582A"/>
    <w:rsid w:val="00155AFE"/>
    <w:rsid w:val="00155B77"/>
    <w:rsid w:val="00155EA2"/>
    <w:rsid w:val="00155F12"/>
    <w:rsid w:val="001563E3"/>
    <w:rsid w:val="001565B7"/>
    <w:rsid w:val="0015692B"/>
    <w:rsid w:val="00156AC5"/>
    <w:rsid w:val="00156E16"/>
    <w:rsid w:val="00157167"/>
    <w:rsid w:val="001571B6"/>
    <w:rsid w:val="001572CD"/>
    <w:rsid w:val="001576BA"/>
    <w:rsid w:val="001578B2"/>
    <w:rsid w:val="001578BC"/>
    <w:rsid w:val="001579F7"/>
    <w:rsid w:val="00157A72"/>
    <w:rsid w:val="00160174"/>
    <w:rsid w:val="0016082C"/>
    <w:rsid w:val="00160B09"/>
    <w:rsid w:val="00160DFA"/>
    <w:rsid w:val="00160F86"/>
    <w:rsid w:val="00161088"/>
    <w:rsid w:val="0016124D"/>
    <w:rsid w:val="001613D2"/>
    <w:rsid w:val="00161856"/>
    <w:rsid w:val="00161878"/>
    <w:rsid w:val="001619D0"/>
    <w:rsid w:val="00161B1F"/>
    <w:rsid w:val="00161E49"/>
    <w:rsid w:val="00161FCA"/>
    <w:rsid w:val="0016220D"/>
    <w:rsid w:val="001624FC"/>
    <w:rsid w:val="0016256E"/>
    <w:rsid w:val="001626CC"/>
    <w:rsid w:val="00162766"/>
    <w:rsid w:val="00162799"/>
    <w:rsid w:val="00162E3A"/>
    <w:rsid w:val="00162FAB"/>
    <w:rsid w:val="001630B6"/>
    <w:rsid w:val="00163103"/>
    <w:rsid w:val="0016322C"/>
    <w:rsid w:val="00163388"/>
    <w:rsid w:val="00163477"/>
    <w:rsid w:val="001636E1"/>
    <w:rsid w:val="0016375F"/>
    <w:rsid w:val="00163D75"/>
    <w:rsid w:val="00163E9E"/>
    <w:rsid w:val="00163FA3"/>
    <w:rsid w:val="00164430"/>
    <w:rsid w:val="00164435"/>
    <w:rsid w:val="001644EA"/>
    <w:rsid w:val="001645F1"/>
    <w:rsid w:val="00164B42"/>
    <w:rsid w:val="00164BA7"/>
    <w:rsid w:val="00164CF3"/>
    <w:rsid w:val="00164DE5"/>
    <w:rsid w:val="00164F1E"/>
    <w:rsid w:val="00164F97"/>
    <w:rsid w:val="001658B0"/>
    <w:rsid w:val="001659C1"/>
    <w:rsid w:val="00165C23"/>
    <w:rsid w:val="00165C9D"/>
    <w:rsid w:val="00165D2B"/>
    <w:rsid w:val="00165E2A"/>
    <w:rsid w:val="00165FDE"/>
    <w:rsid w:val="001660B9"/>
    <w:rsid w:val="001662B5"/>
    <w:rsid w:val="0016635C"/>
    <w:rsid w:val="001664B3"/>
    <w:rsid w:val="0016665A"/>
    <w:rsid w:val="001667B3"/>
    <w:rsid w:val="00166A54"/>
    <w:rsid w:val="00166C5E"/>
    <w:rsid w:val="00166F6C"/>
    <w:rsid w:val="00166F82"/>
    <w:rsid w:val="001674FB"/>
    <w:rsid w:val="0016758D"/>
    <w:rsid w:val="00167870"/>
    <w:rsid w:val="001678F9"/>
    <w:rsid w:val="00167AF1"/>
    <w:rsid w:val="00167F02"/>
    <w:rsid w:val="00167F10"/>
    <w:rsid w:val="001700DA"/>
    <w:rsid w:val="0017025F"/>
    <w:rsid w:val="001703DF"/>
    <w:rsid w:val="0017051D"/>
    <w:rsid w:val="0017053E"/>
    <w:rsid w:val="0017056D"/>
    <w:rsid w:val="001706EB"/>
    <w:rsid w:val="00170977"/>
    <w:rsid w:val="00170A6C"/>
    <w:rsid w:val="00170B0E"/>
    <w:rsid w:val="00170CEA"/>
    <w:rsid w:val="00170D82"/>
    <w:rsid w:val="00170DF1"/>
    <w:rsid w:val="00170EC0"/>
    <w:rsid w:val="00170EC3"/>
    <w:rsid w:val="00170F80"/>
    <w:rsid w:val="00171257"/>
    <w:rsid w:val="001714A5"/>
    <w:rsid w:val="00171556"/>
    <w:rsid w:val="001715F3"/>
    <w:rsid w:val="00171937"/>
    <w:rsid w:val="0017199B"/>
    <w:rsid w:val="00171B9E"/>
    <w:rsid w:val="00171BBF"/>
    <w:rsid w:val="00171EE6"/>
    <w:rsid w:val="001720CA"/>
    <w:rsid w:val="0017215B"/>
    <w:rsid w:val="00172462"/>
    <w:rsid w:val="001726B3"/>
    <w:rsid w:val="001727C0"/>
    <w:rsid w:val="00172AB1"/>
    <w:rsid w:val="00172B19"/>
    <w:rsid w:val="00172C24"/>
    <w:rsid w:val="00172F1B"/>
    <w:rsid w:val="001736DA"/>
    <w:rsid w:val="001738F6"/>
    <w:rsid w:val="00173A8E"/>
    <w:rsid w:val="00173C42"/>
    <w:rsid w:val="00173CFD"/>
    <w:rsid w:val="00173D31"/>
    <w:rsid w:val="00173E28"/>
    <w:rsid w:val="00173F25"/>
    <w:rsid w:val="00173F93"/>
    <w:rsid w:val="00174393"/>
    <w:rsid w:val="00174646"/>
    <w:rsid w:val="001746A3"/>
    <w:rsid w:val="00174728"/>
    <w:rsid w:val="00174744"/>
    <w:rsid w:val="00174CBD"/>
    <w:rsid w:val="00174D82"/>
    <w:rsid w:val="00174E1F"/>
    <w:rsid w:val="0017502C"/>
    <w:rsid w:val="00175447"/>
    <w:rsid w:val="001754E1"/>
    <w:rsid w:val="001755BB"/>
    <w:rsid w:val="00175659"/>
    <w:rsid w:val="001758DC"/>
    <w:rsid w:val="00175A8A"/>
    <w:rsid w:val="00175B6F"/>
    <w:rsid w:val="00175C10"/>
    <w:rsid w:val="00175ED1"/>
    <w:rsid w:val="00175F38"/>
    <w:rsid w:val="00175FD6"/>
    <w:rsid w:val="0017610F"/>
    <w:rsid w:val="00176149"/>
    <w:rsid w:val="00176673"/>
    <w:rsid w:val="00176738"/>
    <w:rsid w:val="00176852"/>
    <w:rsid w:val="00176D7C"/>
    <w:rsid w:val="00176FC5"/>
    <w:rsid w:val="00177187"/>
    <w:rsid w:val="00177250"/>
    <w:rsid w:val="0017734E"/>
    <w:rsid w:val="001777FD"/>
    <w:rsid w:val="00177B2B"/>
    <w:rsid w:val="00177B45"/>
    <w:rsid w:val="00177B68"/>
    <w:rsid w:val="00177D23"/>
    <w:rsid w:val="00177DD8"/>
    <w:rsid w:val="00177FB4"/>
    <w:rsid w:val="00180071"/>
    <w:rsid w:val="0018019D"/>
    <w:rsid w:val="001801E5"/>
    <w:rsid w:val="00180595"/>
    <w:rsid w:val="00180687"/>
    <w:rsid w:val="00180767"/>
    <w:rsid w:val="0018083D"/>
    <w:rsid w:val="0018099A"/>
    <w:rsid w:val="00180B04"/>
    <w:rsid w:val="00180E8B"/>
    <w:rsid w:val="0018106C"/>
    <w:rsid w:val="00181193"/>
    <w:rsid w:val="001811E5"/>
    <w:rsid w:val="001813C7"/>
    <w:rsid w:val="001813F8"/>
    <w:rsid w:val="0018143F"/>
    <w:rsid w:val="001815E7"/>
    <w:rsid w:val="001817C7"/>
    <w:rsid w:val="0018196F"/>
    <w:rsid w:val="001819D7"/>
    <w:rsid w:val="001819DD"/>
    <w:rsid w:val="00181B0D"/>
    <w:rsid w:val="00181FF8"/>
    <w:rsid w:val="0018238D"/>
    <w:rsid w:val="001823FE"/>
    <w:rsid w:val="00182623"/>
    <w:rsid w:val="0018265F"/>
    <w:rsid w:val="001826F3"/>
    <w:rsid w:val="00182829"/>
    <w:rsid w:val="001828E5"/>
    <w:rsid w:val="00182A7C"/>
    <w:rsid w:val="00182AD4"/>
    <w:rsid w:val="00182EE6"/>
    <w:rsid w:val="00182F17"/>
    <w:rsid w:val="00183249"/>
    <w:rsid w:val="0018328F"/>
    <w:rsid w:val="0018350D"/>
    <w:rsid w:val="00183654"/>
    <w:rsid w:val="00183695"/>
    <w:rsid w:val="001836E7"/>
    <w:rsid w:val="00183A5B"/>
    <w:rsid w:val="00183B75"/>
    <w:rsid w:val="00183BE0"/>
    <w:rsid w:val="00183C26"/>
    <w:rsid w:val="00183CD4"/>
    <w:rsid w:val="00183E09"/>
    <w:rsid w:val="00184438"/>
    <w:rsid w:val="001844FD"/>
    <w:rsid w:val="00184583"/>
    <w:rsid w:val="00184601"/>
    <w:rsid w:val="00184761"/>
    <w:rsid w:val="001848D6"/>
    <w:rsid w:val="00184CFA"/>
    <w:rsid w:val="00184D17"/>
    <w:rsid w:val="00184DE3"/>
    <w:rsid w:val="00184DEE"/>
    <w:rsid w:val="001850A9"/>
    <w:rsid w:val="00185160"/>
    <w:rsid w:val="001852E3"/>
    <w:rsid w:val="0018542C"/>
    <w:rsid w:val="00185549"/>
    <w:rsid w:val="00185558"/>
    <w:rsid w:val="001858DF"/>
    <w:rsid w:val="00185A0B"/>
    <w:rsid w:val="00185D6D"/>
    <w:rsid w:val="00185EB4"/>
    <w:rsid w:val="001861D3"/>
    <w:rsid w:val="00186440"/>
    <w:rsid w:val="0018649C"/>
    <w:rsid w:val="001865C8"/>
    <w:rsid w:val="001865D5"/>
    <w:rsid w:val="00186654"/>
    <w:rsid w:val="0018677E"/>
    <w:rsid w:val="001867E1"/>
    <w:rsid w:val="00186892"/>
    <w:rsid w:val="00186B6D"/>
    <w:rsid w:val="00186E7A"/>
    <w:rsid w:val="00187119"/>
    <w:rsid w:val="00187B5E"/>
    <w:rsid w:val="00187B6A"/>
    <w:rsid w:val="00187B8D"/>
    <w:rsid w:val="00187C00"/>
    <w:rsid w:val="00187C54"/>
    <w:rsid w:val="00187DCF"/>
    <w:rsid w:val="00190203"/>
    <w:rsid w:val="00190277"/>
    <w:rsid w:val="00190398"/>
    <w:rsid w:val="00190889"/>
    <w:rsid w:val="0019091F"/>
    <w:rsid w:val="00190A0C"/>
    <w:rsid w:val="00190AC1"/>
    <w:rsid w:val="00190AE9"/>
    <w:rsid w:val="00190C04"/>
    <w:rsid w:val="00190DF4"/>
    <w:rsid w:val="001915AB"/>
    <w:rsid w:val="001917DE"/>
    <w:rsid w:val="00191A47"/>
    <w:rsid w:val="00191F2C"/>
    <w:rsid w:val="001922A8"/>
    <w:rsid w:val="001922FA"/>
    <w:rsid w:val="001923F2"/>
    <w:rsid w:val="0019243B"/>
    <w:rsid w:val="0019248B"/>
    <w:rsid w:val="001927D6"/>
    <w:rsid w:val="00192A2B"/>
    <w:rsid w:val="00192D26"/>
    <w:rsid w:val="00192D62"/>
    <w:rsid w:val="00192EDE"/>
    <w:rsid w:val="00192FC8"/>
    <w:rsid w:val="00193084"/>
    <w:rsid w:val="0019341A"/>
    <w:rsid w:val="001935EB"/>
    <w:rsid w:val="0019369A"/>
    <w:rsid w:val="001938AA"/>
    <w:rsid w:val="001938F7"/>
    <w:rsid w:val="00193B2B"/>
    <w:rsid w:val="00193C41"/>
    <w:rsid w:val="00193CDF"/>
    <w:rsid w:val="00193F43"/>
    <w:rsid w:val="00193FFB"/>
    <w:rsid w:val="0019400A"/>
    <w:rsid w:val="001942D0"/>
    <w:rsid w:val="001947C8"/>
    <w:rsid w:val="00194877"/>
    <w:rsid w:val="00194913"/>
    <w:rsid w:val="00194B5B"/>
    <w:rsid w:val="00194DA1"/>
    <w:rsid w:val="0019500B"/>
    <w:rsid w:val="001950DF"/>
    <w:rsid w:val="00195482"/>
    <w:rsid w:val="0019578F"/>
    <w:rsid w:val="001960EE"/>
    <w:rsid w:val="0019618F"/>
    <w:rsid w:val="0019624E"/>
    <w:rsid w:val="0019630A"/>
    <w:rsid w:val="001963D7"/>
    <w:rsid w:val="001964F5"/>
    <w:rsid w:val="00196787"/>
    <w:rsid w:val="001968B8"/>
    <w:rsid w:val="001968C9"/>
    <w:rsid w:val="00196919"/>
    <w:rsid w:val="00196A48"/>
    <w:rsid w:val="00196B41"/>
    <w:rsid w:val="00197085"/>
    <w:rsid w:val="00197091"/>
    <w:rsid w:val="0019722C"/>
    <w:rsid w:val="001972A9"/>
    <w:rsid w:val="001973A4"/>
    <w:rsid w:val="00197436"/>
    <w:rsid w:val="001974CB"/>
    <w:rsid w:val="0019752A"/>
    <w:rsid w:val="0019765C"/>
    <w:rsid w:val="001976DC"/>
    <w:rsid w:val="001976F4"/>
    <w:rsid w:val="00197872"/>
    <w:rsid w:val="00197886"/>
    <w:rsid w:val="001978E7"/>
    <w:rsid w:val="00197A4F"/>
    <w:rsid w:val="00197D67"/>
    <w:rsid w:val="00197DF0"/>
    <w:rsid w:val="00197DF9"/>
    <w:rsid w:val="001A0226"/>
    <w:rsid w:val="001A02F9"/>
    <w:rsid w:val="001A031B"/>
    <w:rsid w:val="001A0568"/>
    <w:rsid w:val="001A08C9"/>
    <w:rsid w:val="001A09E1"/>
    <w:rsid w:val="001A0C37"/>
    <w:rsid w:val="001A0C51"/>
    <w:rsid w:val="001A0D8D"/>
    <w:rsid w:val="001A0DBF"/>
    <w:rsid w:val="001A0DFD"/>
    <w:rsid w:val="001A1078"/>
    <w:rsid w:val="001A1486"/>
    <w:rsid w:val="001A1518"/>
    <w:rsid w:val="001A15FB"/>
    <w:rsid w:val="001A1610"/>
    <w:rsid w:val="001A170A"/>
    <w:rsid w:val="001A18B3"/>
    <w:rsid w:val="001A1987"/>
    <w:rsid w:val="001A19F4"/>
    <w:rsid w:val="001A1A1A"/>
    <w:rsid w:val="001A1EAA"/>
    <w:rsid w:val="001A2088"/>
    <w:rsid w:val="001A2157"/>
    <w:rsid w:val="001A2250"/>
    <w:rsid w:val="001A2449"/>
    <w:rsid w:val="001A24E0"/>
    <w:rsid w:val="001A2525"/>
    <w:rsid w:val="001A2564"/>
    <w:rsid w:val="001A25A4"/>
    <w:rsid w:val="001A26D2"/>
    <w:rsid w:val="001A2B42"/>
    <w:rsid w:val="001A3185"/>
    <w:rsid w:val="001A3230"/>
    <w:rsid w:val="001A3677"/>
    <w:rsid w:val="001A36F1"/>
    <w:rsid w:val="001A3784"/>
    <w:rsid w:val="001A3922"/>
    <w:rsid w:val="001A398B"/>
    <w:rsid w:val="001A39BE"/>
    <w:rsid w:val="001A3B82"/>
    <w:rsid w:val="001A3ECF"/>
    <w:rsid w:val="001A4212"/>
    <w:rsid w:val="001A45F4"/>
    <w:rsid w:val="001A4860"/>
    <w:rsid w:val="001A48E1"/>
    <w:rsid w:val="001A4B00"/>
    <w:rsid w:val="001A4BA3"/>
    <w:rsid w:val="001A4C17"/>
    <w:rsid w:val="001A4C4C"/>
    <w:rsid w:val="001A4E4B"/>
    <w:rsid w:val="001A5251"/>
    <w:rsid w:val="001A55AE"/>
    <w:rsid w:val="001A574F"/>
    <w:rsid w:val="001A5BC7"/>
    <w:rsid w:val="001A5D79"/>
    <w:rsid w:val="001A6015"/>
    <w:rsid w:val="001A6173"/>
    <w:rsid w:val="001A6452"/>
    <w:rsid w:val="001A648D"/>
    <w:rsid w:val="001A6892"/>
    <w:rsid w:val="001A6AD9"/>
    <w:rsid w:val="001A6AFD"/>
    <w:rsid w:val="001A6CAF"/>
    <w:rsid w:val="001A6CBA"/>
    <w:rsid w:val="001A6F85"/>
    <w:rsid w:val="001A71A2"/>
    <w:rsid w:val="001A71D8"/>
    <w:rsid w:val="001A71F0"/>
    <w:rsid w:val="001A738E"/>
    <w:rsid w:val="001A7596"/>
    <w:rsid w:val="001A75F1"/>
    <w:rsid w:val="001A79F5"/>
    <w:rsid w:val="001B0005"/>
    <w:rsid w:val="001B0184"/>
    <w:rsid w:val="001B03A8"/>
    <w:rsid w:val="001B04F0"/>
    <w:rsid w:val="001B0522"/>
    <w:rsid w:val="001B0533"/>
    <w:rsid w:val="001B0909"/>
    <w:rsid w:val="001B0B29"/>
    <w:rsid w:val="001B0D97"/>
    <w:rsid w:val="001B0E78"/>
    <w:rsid w:val="001B0EA5"/>
    <w:rsid w:val="001B0F2D"/>
    <w:rsid w:val="001B0F57"/>
    <w:rsid w:val="001B1312"/>
    <w:rsid w:val="001B1764"/>
    <w:rsid w:val="001B17D0"/>
    <w:rsid w:val="001B19D2"/>
    <w:rsid w:val="001B1A4D"/>
    <w:rsid w:val="001B1AC6"/>
    <w:rsid w:val="001B1C52"/>
    <w:rsid w:val="001B1CCC"/>
    <w:rsid w:val="001B1F2F"/>
    <w:rsid w:val="001B1F61"/>
    <w:rsid w:val="001B22E5"/>
    <w:rsid w:val="001B260F"/>
    <w:rsid w:val="001B26CA"/>
    <w:rsid w:val="001B2890"/>
    <w:rsid w:val="001B28A7"/>
    <w:rsid w:val="001B2B14"/>
    <w:rsid w:val="001B2BFB"/>
    <w:rsid w:val="001B3131"/>
    <w:rsid w:val="001B31F3"/>
    <w:rsid w:val="001B322F"/>
    <w:rsid w:val="001B33FE"/>
    <w:rsid w:val="001B360B"/>
    <w:rsid w:val="001B3B03"/>
    <w:rsid w:val="001B3C71"/>
    <w:rsid w:val="001B41D7"/>
    <w:rsid w:val="001B4597"/>
    <w:rsid w:val="001B45A0"/>
    <w:rsid w:val="001B4644"/>
    <w:rsid w:val="001B46C7"/>
    <w:rsid w:val="001B48CD"/>
    <w:rsid w:val="001B4B23"/>
    <w:rsid w:val="001B4B46"/>
    <w:rsid w:val="001B4B4F"/>
    <w:rsid w:val="001B4DAC"/>
    <w:rsid w:val="001B4E95"/>
    <w:rsid w:val="001B51A8"/>
    <w:rsid w:val="001B5298"/>
    <w:rsid w:val="001B575F"/>
    <w:rsid w:val="001B5895"/>
    <w:rsid w:val="001B5A5D"/>
    <w:rsid w:val="001B5C58"/>
    <w:rsid w:val="001B5D8F"/>
    <w:rsid w:val="001B5F20"/>
    <w:rsid w:val="001B608A"/>
    <w:rsid w:val="001B60F7"/>
    <w:rsid w:val="001B6242"/>
    <w:rsid w:val="001B6534"/>
    <w:rsid w:val="001B65E4"/>
    <w:rsid w:val="001B6627"/>
    <w:rsid w:val="001B6641"/>
    <w:rsid w:val="001B6E69"/>
    <w:rsid w:val="001B6E6A"/>
    <w:rsid w:val="001B711B"/>
    <w:rsid w:val="001B7420"/>
    <w:rsid w:val="001B7620"/>
    <w:rsid w:val="001B76D0"/>
    <w:rsid w:val="001B7740"/>
    <w:rsid w:val="001B7894"/>
    <w:rsid w:val="001B7984"/>
    <w:rsid w:val="001B7B96"/>
    <w:rsid w:val="001C010F"/>
    <w:rsid w:val="001C02B0"/>
    <w:rsid w:val="001C02C0"/>
    <w:rsid w:val="001C03AD"/>
    <w:rsid w:val="001C0DF6"/>
    <w:rsid w:val="001C0E2E"/>
    <w:rsid w:val="001C1054"/>
    <w:rsid w:val="001C10F2"/>
    <w:rsid w:val="001C1293"/>
    <w:rsid w:val="001C1396"/>
    <w:rsid w:val="001C181F"/>
    <w:rsid w:val="001C19D5"/>
    <w:rsid w:val="001C1BA9"/>
    <w:rsid w:val="001C1CE5"/>
    <w:rsid w:val="001C1ED6"/>
    <w:rsid w:val="001C1EE3"/>
    <w:rsid w:val="001C1EED"/>
    <w:rsid w:val="001C2014"/>
    <w:rsid w:val="001C23C9"/>
    <w:rsid w:val="001C261C"/>
    <w:rsid w:val="001C26C2"/>
    <w:rsid w:val="001C29C6"/>
    <w:rsid w:val="001C2AB9"/>
    <w:rsid w:val="001C2B98"/>
    <w:rsid w:val="001C2C1F"/>
    <w:rsid w:val="001C2DBE"/>
    <w:rsid w:val="001C2F47"/>
    <w:rsid w:val="001C2F52"/>
    <w:rsid w:val="001C3367"/>
    <w:rsid w:val="001C3494"/>
    <w:rsid w:val="001C34FA"/>
    <w:rsid w:val="001C36BE"/>
    <w:rsid w:val="001C371C"/>
    <w:rsid w:val="001C3789"/>
    <w:rsid w:val="001C3AA7"/>
    <w:rsid w:val="001C3B64"/>
    <w:rsid w:val="001C3D2A"/>
    <w:rsid w:val="001C4025"/>
    <w:rsid w:val="001C40B7"/>
    <w:rsid w:val="001C44B9"/>
    <w:rsid w:val="001C44C7"/>
    <w:rsid w:val="001C463D"/>
    <w:rsid w:val="001C470D"/>
    <w:rsid w:val="001C47F7"/>
    <w:rsid w:val="001C481F"/>
    <w:rsid w:val="001C50FE"/>
    <w:rsid w:val="001C538A"/>
    <w:rsid w:val="001C55D9"/>
    <w:rsid w:val="001C5899"/>
    <w:rsid w:val="001C5978"/>
    <w:rsid w:val="001C5A83"/>
    <w:rsid w:val="001C5AD8"/>
    <w:rsid w:val="001C5BAA"/>
    <w:rsid w:val="001C5CC3"/>
    <w:rsid w:val="001C5D87"/>
    <w:rsid w:val="001C5DA0"/>
    <w:rsid w:val="001C5F94"/>
    <w:rsid w:val="001C5FD5"/>
    <w:rsid w:val="001C5FFC"/>
    <w:rsid w:val="001C60B0"/>
    <w:rsid w:val="001C62E7"/>
    <w:rsid w:val="001C62F9"/>
    <w:rsid w:val="001C6455"/>
    <w:rsid w:val="001C645E"/>
    <w:rsid w:val="001C6714"/>
    <w:rsid w:val="001C6826"/>
    <w:rsid w:val="001C68F6"/>
    <w:rsid w:val="001C69FE"/>
    <w:rsid w:val="001C6D31"/>
    <w:rsid w:val="001C6D8A"/>
    <w:rsid w:val="001C7625"/>
    <w:rsid w:val="001C7891"/>
    <w:rsid w:val="001C78C9"/>
    <w:rsid w:val="001C791F"/>
    <w:rsid w:val="001C7C0E"/>
    <w:rsid w:val="001C7F41"/>
    <w:rsid w:val="001D0429"/>
    <w:rsid w:val="001D04AA"/>
    <w:rsid w:val="001D06C4"/>
    <w:rsid w:val="001D081D"/>
    <w:rsid w:val="001D0847"/>
    <w:rsid w:val="001D0A2F"/>
    <w:rsid w:val="001D0AF3"/>
    <w:rsid w:val="001D0B60"/>
    <w:rsid w:val="001D0C43"/>
    <w:rsid w:val="001D0D63"/>
    <w:rsid w:val="001D0DA3"/>
    <w:rsid w:val="001D12D9"/>
    <w:rsid w:val="001D1503"/>
    <w:rsid w:val="001D1582"/>
    <w:rsid w:val="001D1822"/>
    <w:rsid w:val="001D2132"/>
    <w:rsid w:val="001D213D"/>
    <w:rsid w:val="001D283A"/>
    <w:rsid w:val="001D287F"/>
    <w:rsid w:val="001D2903"/>
    <w:rsid w:val="001D2EC9"/>
    <w:rsid w:val="001D311E"/>
    <w:rsid w:val="001D31FD"/>
    <w:rsid w:val="001D3306"/>
    <w:rsid w:val="001D3606"/>
    <w:rsid w:val="001D39D2"/>
    <w:rsid w:val="001D3B43"/>
    <w:rsid w:val="001D3B57"/>
    <w:rsid w:val="001D3DFA"/>
    <w:rsid w:val="001D3E0A"/>
    <w:rsid w:val="001D3E96"/>
    <w:rsid w:val="001D44BA"/>
    <w:rsid w:val="001D46D5"/>
    <w:rsid w:val="001D4703"/>
    <w:rsid w:val="001D4773"/>
    <w:rsid w:val="001D4796"/>
    <w:rsid w:val="001D4951"/>
    <w:rsid w:val="001D4980"/>
    <w:rsid w:val="001D4E3A"/>
    <w:rsid w:val="001D51BA"/>
    <w:rsid w:val="001D5310"/>
    <w:rsid w:val="001D5354"/>
    <w:rsid w:val="001D53E7"/>
    <w:rsid w:val="001D5785"/>
    <w:rsid w:val="001D57A4"/>
    <w:rsid w:val="001D595D"/>
    <w:rsid w:val="001D59C1"/>
    <w:rsid w:val="001D5AE5"/>
    <w:rsid w:val="001D5C30"/>
    <w:rsid w:val="001D5D2E"/>
    <w:rsid w:val="001D6342"/>
    <w:rsid w:val="001D65D6"/>
    <w:rsid w:val="001D6B0E"/>
    <w:rsid w:val="001D6C1C"/>
    <w:rsid w:val="001D6D53"/>
    <w:rsid w:val="001D6DA3"/>
    <w:rsid w:val="001D6F3F"/>
    <w:rsid w:val="001D713E"/>
    <w:rsid w:val="001D7583"/>
    <w:rsid w:val="001D77E5"/>
    <w:rsid w:val="001D7AD4"/>
    <w:rsid w:val="001D7FA4"/>
    <w:rsid w:val="001D7FEB"/>
    <w:rsid w:val="001E00CF"/>
    <w:rsid w:val="001E0120"/>
    <w:rsid w:val="001E03F7"/>
    <w:rsid w:val="001E0474"/>
    <w:rsid w:val="001E0986"/>
    <w:rsid w:val="001E0A64"/>
    <w:rsid w:val="001E0ACB"/>
    <w:rsid w:val="001E0B9D"/>
    <w:rsid w:val="001E0D19"/>
    <w:rsid w:val="001E0E81"/>
    <w:rsid w:val="001E0F61"/>
    <w:rsid w:val="001E0FAB"/>
    <w:rsid w:val="001E1151"/>
    <w:rsid w:val="001E119A"/>
    <w:rsid w:val="001E127B"/>
    <w:rsid w:val="001E12DD"/>
    <w:rsid w:val="001E132D"/>
    <w:rsid w:val="001E15CF"/>
    <w:rsid w:val="001E1630"/>
    <w:rsid w:val="001E1744"/>
    <w:rsid w:val="001E1C10"/>
    <w:rsid w:val="001E1EF3"/>
    <w:rsid w:val="001E2072"/>
    <w:rsid w:val="001E21D6"/>
    <w:rsid w:val="001E22DF"/>
    <w:rsid w:val="001E234F"/>
    <w:rsid w:val="001E2468"/>
    <w:rsid w:val="001E2683"/>
    <w:rsid w:val="001E272C"/>
    <w:rsid w:val="001E274F"/>
    <w:rsid w:val="001E2B61"/>
    <w:rsid w:val="001E2D84"/>
    <w:rsid w:val="001E30AE"/>
    <w:rsid w:val="001E3130"/>
    <w:rsid w:val="001E3135"/>
    <w:rsid w:val="001E3137"/>
    <w:rsid w:val="001E3176"/>
    <w:rsid w:val="001E3227"/>
    <w:rsid w:val="001E338A"/>
    <w:rsid w:val="001E3402"/>
    <w:rsid w:val="001E3B26"/>
    <w:rsid w:val="001E3BC9"/>
    <w:rsid w:val="001E3D75"/>
    <w:rsid w:val="001E3F3B"/>
    <w:rsid w:val="001E41B6"/>
    <w:rsid w:val="001E44D4"/>
    <w:rsid w:val="001E47ED"/>
    <w:rsid w:val="001E49D3"/>
    <w:rsid w:val="001E49F3"/>
    <w:rsid w:val="001E4A57"/>
    <w:rsid w:val="001E4A58"/>
    <w:rsid w:val="001E4A5A"/>
    <w:rsid w:val="001E4AEF"/>
    <w:rsid w:val="001E4CBB"/>
    <w:rsid w:val="001E4E86"/>
    <w:rsid w:val="001E50B1"/>
    <w:rsid w:val="001E54D5"/>
    <w:rsid w:val="001E58E2"/>
    <w:rsid w:val="001E59F7"/>
    <w:rsid w:val="001E5B63"/>
    <w:rsid w:val="001E5DB5"/>
    <w:rsid w:val="001E5FD2"/>
    <w:rsid w:val="001E6001"/>
    <w:rsid w:val="001E601F"/>
    <w:rsid w:val="001E6663"/>
    <w:rsid w:val="001E66E7"/>
    <w:rsid w:val="001E6711"/>
    <w:rsid w:val="001E6858"/>
    <w:rsid w:val="001E6891"/>
    <w:rsid w:val="001E69AE"/>
    <w:rsid w:val="001E69D4"/>
    <w:rsid w:val="001E6AA9"/>
    <w:rsid w:val="001E6B99"/>
    <w:rsid w:val="001E6C9A"/>
    <w:rsid w:val="001E6DC5"/>
    <w:rsid w:val="001E6EDE"/>
    <w:rsid w:val="001E70C6"/>
    <w:rsid w:val="001E74CF"/>
    <w:rsid w:val="001E7514"/>
    <w:rsid w:val="001E7534"/>
    <w:rsid w:val="001E7675"/>
    <w:rsid w:val="001E7824"/>
    <w:rsid w:val="001E7AED"/>
    <w:rsid w:val="001F0148"/>
    <w:rsid w:val="001F0242"/>
    <w:rsid w:val="001F0479"/>
    <w:rsid w:val="001F075E"/>
    <w:rsid w:val="001F07C3"/>
    <w:rsid w:val="001F0CAA"/>
    <w:rsid w:val="001F1681"/>
    <w:rsid w:val="001F17D6"/>
    <w:rsid w:val="001F1836"/>
    <w:rsid w:val="001F197A"/>
    <w:rsid w:val="001F197C"/>
    <w:rsid w:val="001F1AF6"/>
    <w:rsid w:val="001F1BAE"/>
    <w:rsid w:val="001F1BFA"/>
    <w:rsid w:val="001F1CE4"/>
    <w:rsid w:val="001F2132"/>
    <w:rsid w:val="001F2248"/>
    <w:rsid w:val="001F238F"/>
    <w:rsid w:val="001F244C"/>
    <w:rsid w:val="001F24CC"/>
    <w:rsid w:val="001F29B0"/>
    <w:rsid w:val="001F29CD"/>
    <w:rsid w:val="001F2C8F"/>
    <w:rsid w:val="001F2DFF"/>
    <w:rsid w:val="001F30EE"/>
    <w:rsid w:val="001F32C7"/>
    <w:rsid w:val="001F337D"/>
    <w:rsid w:val="001F379C"/>
    <w:rsid w:val="001F37E5"/>
    <w:rsid w:val="001F3916"/>
    <w:rsid w:val="001F3938"/>
    <w:rsid w:val="001F3B72"/>
    <w:rsid w:val="001F3BD9"/>
    <w:rsid w:val="001F3C63"/>
    <w:rsid w:val="001F3E66"/>
    <w:rsid w:val="001F412E"/>
    <w:rsid w:val="001F4263"/>
    <w:rsid w:val="001F433B"/>
    <w:rsid w:val="001F440A"/>
    <w:rsid w:val="001F4412"/>
    <w:rsid w:val="001F463D"/>
    <w:rsid w:val="001F46E8"/>
    <w:rsid w:val="001F4973"/>
    <w:rsid w:val="001F49A2"/>
    <w:rsid w:val="001F4A3E"/>
    <w:rsid w:val="001F4C0A"/>
    <w:rsid w:val="001F508D"/>
    <w:rsid w:val="001F522E"/>
    <w:rsid w:val="001F5272"/>
    <w:rsid w:val="001F54C5"/>
    <w:rsid w:val="001F5791"/>
    <w:rsid w:val="001F58D3"/>
    <w:rsid w:val="001F592E"/>
    <w:rsid w:val="001F608F"/>
    <w:rsid w:val="001F62D2"/>
    <w:rsid w:val="001F64AE"/>
    <w:rsid w:val="001F65EA"/>
    <w:rsid w:val="001F661F"/>
    <w:rsid w:val="001F662C"/>
    <w:rsid w:val="001F6687"/>
    <w:rsid w:val="001F6850"/>
    <w:rsid w:val="001F699A"/>
    <w:rsid w:val="001F6B5B"/>
    <w:rsid w:val="001F6C13"/>
    <w:rsid w:val="001F6FCD"/>
    <w:rsid w:val="001F7074"/>
    <w:rsid w:val="001F72CA"/>
    <w:rsid w:val="001F748B"/>
    <w:rsid w:val="001F7924"/>
    <w:rsid w:val="001F7AAF"/>
    <w:rsid w:val="001F7BE2"/>
    <w:rsid w:val="001F7D93"/>
    <w:rsid w:val="001F7E91"/>
    <w:rsid w:val="00200361"/>
    <w:rsid w:val="00200416"/>
    <w:rsid w:val="00200490"/>
    <w:rsid w:val="002004D6"/>
    <w:rsid w:val="00200670"/>
    <w:rsid w:val="00200728"/>
    <w:rsid w:val="00200A27"/>
    <w:rsid w:val="00200B8A"/>
    <w:rsid w:val="00200EB6"/>
    <w:rsid w:val="002010FE"/>
    <w:rsid w:val="00201273"/>
    <w:rsid w:val="00201402"/>
    <w:rsid w:val="002015E1"/>
    <w:rsid w:val="002016A9"/>
    <w:rsid w:val="00201948"/>
    <w:rsid w:val="00201C66"/>
    <w:rsid w:val="00201CEC"/>
    <w:rsid w:val="00201F3A"/>
    <w:rsid w:val="00201F66"/>
    <w:rsid w:val="00201FA2"/>
    <w:rsid w:val="0020218D"/>
    <w:rsid w:val="002021E7"/>
    <w:rsid w:val="002022C0"/>
    <w:rsid w:val="002022CD"/>
    <w:rsid w:val="002023E3"/>
    <w:rsid w:val="0020245A"/>
    <w:rsid w:val="002024BB"/>
    <w:rsid w:val="002025EF"/>
    <w:rsid w:val="002026C2"/>
    <w:rsid w:val="002028FF"/>
    <w:rsid w:val="00202953"/>
    <w:rsid w:val="0020295A"/>
    <w:rsid w:val="002029C1"/>
    <w:rsid w:val="00202D2A"/>
    <w:rsid w:val="00202D39"/>
    <w:rsid w:val="00202E8A"/>
    <w:rsid w:val="00202F7D"/>
    <w:rsid w:val="00202FAF"/>
    <w:rsid w:val="0020312A"/>
    <w:rsid w:val="0020338B"/>
    <w:rsid w:val="002034BA"/>
    <w:rsid w:val="002037E1"/>
    <w:rsid w:val="002037F7"/>
    <w:rsid w:val="00203864"/>
    <w:rsid w:val="00203915"/>
    <w:rsid w:val="0020394E"/>
    <w:rsid w:val="002039B8"/>
    <w:rsid w:val="00203F96"/>
    <w:rsid w:val="00203FDD"/>
    <w:rsid w:val="00203FF7"/>
    <w:rsid w:val="0020413D"/>
    <w:rsid w:val="0020429B"/>
    <w:rsid w:val="00204314"/>
    <w:rsid w:val="00204337"/>
    <w:rsid w:val="00204528"/>
    <w:rsid w:val="00204B0E"/>
    <w:rsid w:val="00204C39"/>
    <w:rsid w:val="00204CAD"/>
    <w:rsid w:val="00204D42"/>
    <w:rsid w:val="00204D64"/>
    <w:rsid w:val="00204F71"/>
    <w:rsid w:val="0020500E"/>
    <w:rsid w:val="00205603"/>
    <w:rsid w:val="0020571F"/>
    <w:rsid w:val="00205870"/>
    <w:rsid w:val="002059F3"/>
    <w:rsid w:val="00205A90"/>
    <w:rsid w:val="00205CD1"/>
    <w:rsid w:val="00205F01"/>
    <w:rsid w:val="00205F34"/>
    <w:rsid w:val="0020607B"/>
    <w:rsid w:val="0020670D"/>
    <w:rsid w:val="00206766"/>
    <w:rsid w:val="002067F6"/>
    <w:rsid w:val="00206836"/>
    <w:rsid w:val="0020686F"/>
    <w:rsid w:val="0020698D"/>
    <w:rsid w:val="002069B2"/>
    <w:rsid w:val="00206DF6"/>
    <w:rsid w:val="00206EA1"/>
    <w:rsid w:val="00207160"/>
    <w:rsid w:val="002071C1"/>
    <w:rsid w:val="0020731E"/>
    <w:rsid w:val="002073B4"/>
    <w:rsid w:val="0020780A"/>
    <w:rsid w:val="002079E3"/>
    <w:rsid w:val="00207B7A"/>
    <w:rsid w:val="00207C60"/>
    <w:rsid w:val="00207CDB"/>
    <w:rsid w:val="00207E60"/>
    <w:rsid w:val="00207FA3"/>
    <w:rsid w:val="00210117"/>
    <w:rsid w:val="002102F8"/>
    <w:rsid w:val="0021051B"/>
    <w:rsid w:val="0021095E"/>
    <w:rsid w:val="0021097B"/>
    <w:rsid w:val="00210A33"/>
    <w:rsid w:val="00210A94"/>
    <w:rsid w:val="00210C4B"/>
    <w:rsid w:val="00210D94"/>
    <w:rsid w:val="0021105A"/>
    <w:rsid w:val="00211116"/>
    <w:rsid w:val="00211287"/>
    <w:rsid w:val="00211394"/>
    <w:rsid w:val="0021149F"/>
    <w:rsid w:val="00211572"/>
    <w:rsid w:val="002116F4"/>
    <w:rsid w:val="00211804"/>
    <w:rsid w:val="002118CE"/>
    <w:rsid w:val="00211AFE"/>
    <w:rsid w:val="00211F0D"/>
    <w:rsid w:val="00211F42"/>
    <w:rsid w:val="00211FF6"/>
    <w:rsid w:val="002124A4"/>
    <w:rsid w:val="00212723"/>
    <w:rsid w:val="0021277B"/>
    <w:rsid w:val="00212ED5"/>
    <w:rsid w:val="00213182"/>
    <w:rsid w:val="002131E3"/>
    <w:rsid w:val="002133CF"/>
    <w:rsid w:val="00213529"/>
    <w:rsid w:val="00213DF4"/>
    <w:rsid w:val="00213F2D"/>
    <w:rsid w:val="00213F69"/>
    <w:rsid w:val="002140D7"/>
    <w:rsid w:val="002141A1"/>
    <w:rsid w:val="002141B7"/>
    <w:rsid w:val="00214803"/>
    <w:rsid w:val="00214A8B"/>
    <w:rsid w:val="00214CAD"/>
    <w:rsid w:val="00214DA8"/>
    <w:rsid w:val="00214FB8"/>
    <w:rsid w:val="00215073"/>
    <w:rsid w:val="002150A2"/>
    <w:rsid w:val="00215233"/>
    <w:rsid w:val="00215423"/>
    <w:rsid w:val="00215587"/>
    <w:rsid w:val="0021582C"/>
    <w:rsid w:val="002158FA"/>
    <w:rsid w:val="0021594D"/>
    <w:rsid w:val="00215B5B"/>
    <w:rsid w:val="002160E4"/>
    <w:rsid w:val="002162FC"/>
    <w:rsid w:val="002163E9"/>
    <w:rsid w:val="002163F0"/>
    <w:rsid w:val="00216545"/>
    <w:rsid w:val="002166E8"/>
    <w:rsid w:val="00216884"/>
    <w:rsid w:val="00216D9D"/>
    <w:rsid w:val="00216ECF"/>
    <w:rsid w:val="00216FFF"/>
    <w:rsid w:val="002170DB"/>
    <w:rsid w:val="0021710F"/>
    <w:rsid w:val="0021731A"/>
    <w:rsid w:val="00217372"/>
    <w:rsid w:val="002173CD"/>
    <w:rsid w:val="0021753D"/>
    <w:rsid w:val="002175F5"/>
    <w:rsid w:val="0021762E"/>
    <w:rsid w:val="0021762F"/>
    <w:rsid w:val="00217631"/>
    <w:rsid w:val="00217991"/>
    <w:rsid w:val="00217A82"/>
    <w:rsid w:val="00217C6D"/>
    <w:rsid w:val="0022023A"/>
    <w:rsid w:val="00220247"/>
    <w:rsid w:val="0022033A"/>
    <w:rsid w:val="002203EA"/>
    <w:rsid w:val="002204F7"/>
    <w:rsid w:val="00220600"/>
    <w:rsid w:val="00220841"/>
    <w:rsid w:val="0022094E"/>
    <w:rsid w:val="00220955"/>
    <w:rsid w:val="002209E4"/>
    <w:rsid w:val="00220A27"/>
    <w:rsid w:val="00220D63"/>
    <w:rsid w:val="00220F4A"/>
    <w:rsid w:val="00220F84"/>
    <w:rsid w:val="00220F90"/>
    <w:rsid w:val="002210E6"/>
    <w:rsid w:val="00221248"/>
    <w:rsid w:val="0022128B"/>
    <w:rsid w:val="00221398"/>
    <w:rsid w:val="002213AC"/>
    <w:rsid w:val="002214B1"/>
    <w:rsid w:val="002215E1"/>
    <w:rsid w:val="0022163D"/>
    <w:rsid w:val="0022171F"/>
    <w:rsid w:val="002218C6"/>
    <w:rsid w:val="00221CB0"/>
    <w:rsid w:val="00221D60"/>
    <w:rsid w:val="00221D75"/>
    <w:rsid w:val="00221F07"/>
    <w:rsid w:val="002221F6"/>
    <w:rsid w:val="00222385"/>
    <w:rsid w:val="002224DB"/>
    <w:rsid w:val="002225DC"/>
    <w:rsid w:val="00222811"/>
    <w:rsid w:val="00222947"/>
    <w:rsid w:val="00222C8E"/>
    <w:rsid w:val="00222CCD"/>
    <w:rsid w:val="00222D69"/>
    <w:rsid w:val="00222DC7"/>
    <w:rsid w:val="00222FEE"/>
    <w:rsid w:val="002231E5"/>
    <w:rsid w:val="00223435"/>
    <w:rsid w:val="002235AE"/>
    <w:rsid w:val="002238C6"/>
    <w:rsid w:val="00223906"/>
    <w:rsid w:val="00223A5B"/>
    <w:rsid w:val="00223BFC"/>
    <w:rsid w:val="00223D1A"/>
    <w:rsid w:val="00223D91"/>
    <w:rsid w:val="00223DA2"/>
    <w:rsid w:val="00223F2B"/>
    <w:rsid w:val="00223F53"/>
    <w:rsid w:val="00223FCB"/>
    <w:rsid w:val="00223FEA"/>
    <w:rsid w:val="00224515"/>
    <w:rsid w:val="0022455F"/>
    <w:rsid w:val="00224705"/>
    <w:rsid w:val="00224791"/>
    <w:rsid w:val="0022486B"/>
    <w:rsid w:val="002248CF"/>
    <w:rsid w:val="00224BE6"/>
    <w:rsid w:val="00224CE2"/>
    <w:rsid w:val="002250D6"/>
    <w:rsid w:val="0022513F"/>
    <w:rsid w:val="002252C3"/>
    <w:rsid w:val="0022549B"/>
    <w:rsid w:val="0022578F"/>
    <w:rsid w:val="00225950"/>
    <w:rsid w:val="00225B30"/>
    <w:rsid w:val="00225BA9"/>
    <w:rsid w:val="00225C54"/>
    <w:rsid w:val="00225CB5"/>
    <w:rsid w:val="00225F40"/>
    <w:rsid w:val="00226009"/>
    <w:rsid w:val="00226049"/>
    <w:rsid w:val="002260DA"/>
    <w:rsid w:val="00226277"/>
    <w:rsid w:val="002262F9"/>
    <w:rsid w:val="0022639C"/>
    <w:rsid w:val="00226651"/>
    <w:rsid w:val="002267FA"/>
    <w:rsid w:val="00226B54"/>
    <w:rsid w:val="00226B72"/>
    <w:rsid w:val="00226C5F"/>
    <w:rsid w:val="00226E01"/>
    <w:rsid w:val="00226FF6"/>
    <w:rsid w:val="002273BE"/>
    <w:rsid w:val="002276BF"/>
    <w:rsid w:val="0022774A"/>
    <w:rsid w:val="0022791E"/>
    <w:rsid w:val="00227B70"/>
    <w:rsid w:val="00227B7F"/>
    <w:rsid w:val="00227C0C"/>
    <w:rsid w:val="00227C16"/>
    <w:rsid w:val="002306E4"/>
    <w:rsid w:val="00230765"/>
    <w:rsid w:val="00230819"/>
    <w:rsid w:val="00230A08"/>
    <w:rsid w:val="00230D18"/>
    <w:rsid w:val="0023154F"/>
    <w:rsid w:val="00231820"/>
    <w:rsid w:val="002319E4"/>
    <w:rsid w:val="00231EBF"/>
    <w:rsid w:val="00232217"/>
    <w:rsid w:val="00232298"/>
    <w:rsid w:val="002323AA"/>
    <w:rsid w:val="00232955"/>
    <w:rsid w:val="00232A20"/>
    <w:rsid w:val="00232ABA"/>
    <w:rsid w:val="00232C0B"/>
    <w:rsid w:val="00232E49"/>
    <w:rsid w:val="00232ECD"/>
    <w:rsid w:val="00232FD7"/>
    <w:rsid w:val="002332ED"/>
    <w:rsid w:val="00233326"/>
    <w:rsid w:val="00233600"/>
    <w:rsid w:val="00233630"/>
    <w:rsid w:val="0023368D"/>
    <w:rsid w:val="002336ED"/>
    <w:rsid w:val="002337D0"/>
    <w:rsid w:val="00233A73"/>
    <w:rsid w:val="00233AE8"/>
    <w:rsid w:val="00233AF9"/>
    <w:rsid w:val="00233BCD"/>
    <w:rsid w:val="00233D62"/>
    <w:rsid w:val="00233E1A"/>
    <w:rsid w:val="00233E95"/>
    <w:rsid w:val="00233F7B"/>
    <w:rsid w:val="002340EA"/>
    <w:rsid w:val="002341AF"/>
    <w:rsid w:val="002345EB"/>
    <w:rsid w:val="00234D9D"/>
    <w:rsid w:val="002352F7"/>
    <w:rsid w:val="002354AB"/>
    <w:rsid w:val="002354E1"/>
    <w:rsid w:val="002354F5"/>
    <w:rsid w:val="00235632"/>
    <w:rsid w:val="002356A2"/>
    <w:rsid w:val="00235872"/>
    <w:rsid w:val="00235D35"/>
    <w:rsid w:val="00235DA1"/>
    <w:rsid w:val="00235F21"/>
    <w:rsid w:val="00235F7E"/>
    <w:rsid w:val="00235FFE"/>
    <w:rsid w:val="0023616D"/>
    <w:rsid w:val="0023646F"/>
    <w:rsid w:val="00236550"/>
    <w:rsid w:val="0023669B"/>
    <w:rsid w:val="00236931"/>
    <w:rsid w:val="00236D5B"/>
    <w:rsid w:val="00236E1D"/>
    <w:rsid w:val="00236E65"/>
    <w:rsid w:val="00236F5C"/>
    <w:rsid w:val="002371A0"/>
    <w:rsid w:val="00237517"/>
    <w:rsid w:val="0023760F"/>
    <w:rsid w:val="00237A6C"/>
    <w:rsid w:val="00237BB8"/>
    <w:rsid w:val="00237C82"/>
    <w:rsid w:val="00237CAD"/>
    <w:rsid w:val="00237D32"/>
    <w:rsid w:val="0024024E"/>
    <w:rsid w:val="00240334"/>
    <w:rsid w:val="00240352"/>
    <w:rsid w:val="00240396"/>
    <w:rsid w:val="0024057A"/>
    <w:rsid w:val="00240643"/>
    <w:rsid w:val="002407F4"/>
    <w:rsid w:val="00240980"/>
    <w:rsid w:val="00240BDF"/>
    <w:rsid w:val="00240F7D"/>
    <w:rsid w:val="00241016"/>
    <w:rsid w:val="00241054"/>
    <w:rsid w:val="00241370"/>
    <w:rsid w:val="0024148B"/>
    <w:rsid w:val="00241559"/>
    <w:rsid w:val="0024155C"/>
    <w:rsid w:val="00241587"/>
    <w:rsid w:val="002417DA"/>
    <w:rsid w:val="00241948"/>
    <w:rsid w:val="00241E04"/>
    <w:rsid w:val="00241F28"/>
    <w:rsid w:val="002422D4"/>
    <w:rsid w:val="0024230A"/>
    <w:rsid w:val="00242391"/>
    <w:rsid w:val="002423DA"/>
    <w:rsid w:val="00242510"/>
    <w:rsid w:val="00242911"/>
    <w:rsid w:val="00242AD7"/>
    <w:rsid w:val="00242C65"/>
    <w:rsid w:val="00242C71"/>
    <w:rsid w:val="00242F67"/>
    <w:rsid w:val="00243198"/>
    <w:rsid w:val="0024320C"/>
    <w:rsid w:val="002432CB"/>
    <w:rsid w:val="002435B3"/>
    <w:rsid w:val="00243666"/>
    <w:rsid w:val="0024391B"/>
    <w:rsid w:val="00243D7B"/>
    <w:rsid w:val="00243F1F"/>
    <w:rsid w:val="00243FB3"/>
    <w:rsid w:val="00243FB9"/>
    <w:rsid w:val="00243FFA"/>
    <w:rsid w:val="0024434B"/>
    <w:rsid w:val="002443B4"/>
    <w:rsid w:val="00244463"/>
    <w:rsid w:val="00244534"/>
    <w:rsid w:val="002448E4"/>
    <w:rsid w:val="00244918"/>
    <w:rsid w:val="00244C94"/>
    <w:rsid w:val="00244CDE"/>
    <w:rsid w:val="00244F55"/>
    <w:rsid w:val="002451B4"/>
    <w:rsid w:val="00245263"/>
    <w:rsid w:val="00245335"/>
    <w:rsid w:val="002453DE"/>
    <w:rsid w:val="00245614"/>
    <w:rsid w:val="002458EB"/>
    <w:rsid w:val="0024624F"/>
    <w:rsid w:val="0024628A"/>
    <w:rsid w:val="0024634D"/>
    <w:rsid w:val="0024666D"/>
    <w:rsid w:val="0024673E"/>
    <w:rsid w:val="00246BC6"/>
    <w:rsid w:val="002471E6"/>
    <w:rsid w:val="0024730D"/>
    <w:rsid w:val="0024740B"/>
    <w:rsid w:val="0024769A"/>
    <w:rsid w:val="002476C2"/>
    <w:rsid w:val="002478CC"/>
    <w:rsid w:val="002478EE"/>
    <w:rsid w:val="00247AAD"/>
    <w:rsid w:val="00247C3B"/>
    <w:rsid w:val="00247C76"/>
    <w:rsid w:val="00247EA9"/>
    <w:rsid w:val="00247F0C"/>
    <w:rsid w:val="002500C8"/>
    <w:rsid w:val="002505AD"/>
    <w:rsid w:val="00250773"/>
    <w:rsid w:val="002507D4"/>
    <w:rsid w:val="00250BBE"/>
    <w:rsid w:val="00250EA3"/>
    <w:rsid w:val="002513BF"/>
    <w:rsid w:val="002515B6"/>
    <w:rsid w:val="002518E1"/>
    <w:rsid w:val="002519D4"/>
    <w:rsid w:val="00251B19"/>
    <w:rsid w:val="00251B6B"/>
    <w:rsid w:val="00251D39"/>
    <w:rsid w:val="00252069"/>
    <w:rsid w:val="00252197"/>
    <w:rsid w:val="00252340"/>
    <w:rsid w:val="0025263D"/>
    <w:rsid w:val="002526DE"/>
    <w:rsid w:val="00252986"/>
    <w:rsid w:val="00252988"/>
    <w:rsid w:val="00253103"/>
    <w:rsid w:val="00253112"/>
    <w:rsid w:val="00253305"/>
    <w:rsid w:val="0025330E"/>
    <w:rsid w:val="0025345D"/>
    <w:rsid w:val="002534AD"/>
    <w:rsid w:val="0025350B"/>
    <w:rsid w:val="0025390D"/>
    <w:rsid w:val="00253BD5"/>
    <w:rsid w:val="00253E02"/>
    <w:rsid w:val="00253E1B"/>
    <w:rsid w:val="002541E9"/>
    <w:rsid w:val="0025450B"/>
    <w:rsid w:val="002545B0"/>
    <w:rsid w:val="00254645"/>
    <w:rsid w:val="002546C4"/>
    <w:rsid w:val="002547BD"/>
    <w:rsid w:val="00254994"/>
    <w:rsid w:val="00254E37"/>
    <w:rsid w:val="00255018"/>
    <w:rsid w:val="002550D1"/>
    <w:rsid w:val="0025511F"/>
    <w:rsid w:val="00255384"/>
    <w:rsid w:val="0025590A"/>
    <w:rsid w:val="00255C39"/>
    <w:rsid w:val="00255CFC"/>
    <w:rsid w:val="00255F4F"/>
    <w:rsid w:val="002561DF"/>
    <w:rsid w:val="00256287"/>
    <w:rsid w:val="0025652A"/>
    <w:rsid w:val="0025662D"/>
    <w:rsid w:val="00256658"/>
    <w:rsid w:val="0025682E"/>
    <w:rsid w:val="00256A3E"/>
    <w:rsid w:val="00256D8D"/>
    <w:rsid w:val="00256EC2"/>
    <w:rsid w:val="0025706B"/>
    <w:rsid w:val="00257543"/>
    <w:rsid w:val="00257619"/>
    <w:rsid w:val="00257671"/>
    <w:rsid w:val="00257870"/>
    <w:rsid w:val="00257C21"/>
    <w:rsid w:val="00257CDB"/>
    <w:rsid w:val="00257D6F"/>
    <w:rsid w:val="00257F7E"/>
    <w:rsid w:val="0026059A"/>
    <w:rsid w:val="002606DA"/>
    <w:rsid w:val="00260909"/>
    <w:rsid w:val="00260BF1"/>
    <w:rsid w:val="00260C50"/>
    <w:rsid w:val="00260F00"/>
    <w:rsid w:val="002613E5"/>
    <w:rsid w:val="002617E7"/>
    <w:rsid w:val="00261A27"/>
    <w:rsid w:val="00261CDB"/>
    <w:rsid w:val="00262081"/>
    <w:rsid w:val="00262222"/>
    <w:rsid w:val="0026228B"/>
    <w:rsid w:val="0026242C"/>
    <w:rsid w:val="002624C6"/>
    <w:rsid w:val="002626FE"/>
    <w:rsid w:val="0026283F"/>
    <w:rsid w:val="002629B9"/>
    <w:rsid w:val="00262A81"/>
    <w:rsid w:val="00262BDE"/>
    <w:rsid w:val="00263310"/>
    <w:rsid w:val="00263605"/>
    <w:rsid w:val="00263636"/>
    <w:rsid w:val="00263735"/>
    <w:rsid w:val="002637CA"/>
    <w:rsid w:val="00263F3D"/>
    <w:rsid w:val="00264065"/>
    <w:rsid w:val="0026420F"/>
    <w:rsid w:val="00264228"/>
    <w:rsid w:val="00264334"/>
    <w:rsid w:val="002645E1"/>
    <w:rsid w:val="0026464D"/>
    <w:rsid w:val="0026473E"/>
    <w:rsid w:val="0026478F"/>
    <w:rsid w:val="002647A7"/>
    <w:rsid w:val="002647B1"/>
    <w:rsid w:val="00264801"/>
    <w:rsid w:val="002648DF"/>
    <w:rsid w:val="00264A86"/>
    <w:rsid w:val="00264E64"/>
    <w:rsid w:val="0026549D"/>
    <w:rsid w:val="002655EA"/>
    <w:rsid w:val="002659D8"/>
    <w:rsid w:val="00265B82"/>
    <w:rsid w:val="00265C0B"/>
    <w:rsid w:val="00265CD5"/>
    <w:rsid w:val="00265EE4"/>
    <w:rsid w:val="00266214"/>
    <w:rsid w:val="0026621E"/>
    <w:rsid w:val="00266295"/>
    <w:rsid w:val="0026647B"/>
    <w:rsid w:val="00266723"/>
    <w:rsid w:val="00266A0B"/>
    <w:rsid w:val="00266C06"/>
    <w:rsid w:val="00266DF3"/>
    <w:rsid w:val="00266E69"/>
    <w:rsid w:val="00266EDD"/>
    <w:rsid w:val="00267023"/>
    <w:rsid w:val="0026710A"/>
    <w:rsid w:val="00267259"/>
    <w:rsid w:val="0026725E"/>
    <w:rsid w:val="00267324"/>
    <w:rsid w:val="00267481"/>
    <w:rsid w:val="00267540"/>
    <w:rsid w:val="00267552"/>
    <w:rsid w:val="0026798A"/>
    <w:rsid w:val="00267C83"/>
    <w:rsid w:val="0027021F"/>
    <w:rsid w:val="002704C7"/>
    <w:rsid w:val="002704E5"/>
    <w:rsid w:val="00270543"/>
    <w:rsid w:val="0027078F"/>
    <w:rsid w:val="0027080F"/>
    <w:rsid w:val="002709F8"/>
    <w:rsid w:val="00270B02"/>
    <w:rsid w:val="00270D1E"/>
    <w:rsid w:val="00270E7E"/>
    <w:rsid w:val="00270F9A"/>
    <w:rsid w:val="00270FD5"/>
    <w:rsid w:val="00270FE0"/>
    <w:rsid w:val="00271095"/>
    <w:rsid w:val="0027144F"/>
    <w:rsid w:val="00271477"/>
    <w:rsid w:val="002717A4"/>
    <w:rsid w:val="002717F0"/>
    <w:rsid w:val="00271813"/>
    <w:rsid w:val="00271C86"/>
    <w:rsid w:val="00271CDD"/>
    <w:rsid w:val="00271F3A"/>
    <w:rsid w:val="00271F9D"/>
    <w:rsid w:val="002722EF"/>
    <w:rsid w:val="00272493"/>
    <w:rsid w:val="00272790"/>
    <w:rsid w:val="00272839"/>
    <w:rsid w:val="00272B18"/>
    <w:rsid w:val="00272BAF"/>
    <w:rsid w:val="00272C6E"/>
    <w:rsid w:val="00272DC2"/>
    <w:rsid w:val="0027325D"/>
    <w:rsid w:val="00273278"/>
    <w:rsid w:val="00273390"/>
    <w:rsid w:val="002733D3"/>
    <w:rsid w:val="002737F4"/>
    <w:rsid w:val="002738A6"/>
    <w:rsid w:val="0027395A"/>
    <w:rsid w:val="00274288"/>
    <w:rsid w:val="0027444A"/>
    <w:rsid w:val="002746CF"/>
    <w:rsid w:val="0027481C"/>
    <w:rsid w:val="002748BB"/>
    <w:rsid w:val="00274A09"/>
    <w:rsid w:val="00274B28"/>
    <w:rsid w:val="00274DE8"/>
    <w:rsid w:val="00275042"/>
    <w:rsid w:val="0027504F"/>
    <w:rsid w:val="0027528F"/>
    <w:rsid w:val="00275375"/>
    <w:rsid w:val="002753A1"/>
    <w:rsid w:val="002755A5"/>
    <w:rsid w:val="002755B3"/>
    <w:rsid w:val="002756BB"/>
    <w:rsid w:val="002757B1"/>
    <w:rsid w:val="0027593D"/>
    <w:rsid w:val="002759C9"/>
    <w:rsid w:val="00275C33"/>
    <w:rsid w:val="002760AF"/>
    <w:rsid w:val="00276159"/>
    <w:rsid w:val="0027631F"/>
    <w:rsid w:val="00276426"/>
    <w:rsid w:val="002767E8"/>
    <w:rsid w:val="00276847"/>
    <w:rsid w:val="00276862"/>
    <w:rsid w:val="00276C56"/>
    <w:rsid w:val="00276F1E"/>
    <w:rsid w:val="00277268"/>
    <w:rsid w:val="002773B7"/>
    <w:rsid w:val="00277441"/>
    <w:rsid w:val="002774CA"/>
    <w:rsid w:val="002776C6"/>
    <w:rsid w:val="002777E1"/>
    <w:rsid w:val="00277AD9"/>
    <w:rsid w:val="00277B56"/>
    <w:rsid w:val="00277C1D"/>
    <w:rsid w:val="00277C80"/>
    <w:rsid w:val="002805F5"/>
    <w:rsid w:val="00280751"/>
    <w:rsid w:val="002808F3"/>
    <w:rsid w:val="00280BE7"/>
    <w:rsid w:val="00280D2C"/>
    <w:rsid w:val="00280F9E"/>
    <w:rsid w:val="00281239"/>
    <w:rsid w:val="0028148E"/>
    <w:rsid w:val="002815DE"/>
    <w:rsid w:val="0028169C"/>
    <w:rsid w:val="002819CB"/>
    <w:rsid w:val="00281BDF"/>
    <w:rsid w:val="00281D1F"/>
    <w:rsid w:val="00281F80"/>
    <w:rsid w:val="00281FC5"/>
    <w:rsid w:val="00282046"/>
    <w:rsid w:val="00282334"/>
    <w:rsid w:val="00282420"/>
    <w:rsid w:val="002825E0"/>
    <w:rsid w:val="00282628"/>
    <w:rsid w:val="00282636"/>
    <w:rsid w:val="0028280A"/>
    <w:rsid w:val="0028284C"/>
    <w:rsid w:val="0028288E"/>
    <w:rsid w:val="00282AEC"/>
    <w:rsid w:val="00282FFE"/>
    <w:rsid w:val="00283134"/>
    <w:rsid w:val="0028316B"/>
    <w:rsid w:val="002831BD"/>
    <w:rsid w:val="00283209"/>
    <w:rsid w:val="00283555"/>
    <w:rsid w:val="00283690"/>
    <w:rsid w:val="002839EF"/>
    <w:rsid w:val="00283A6B"/>
    <w:rsid w:val="00283BCD"/>
    <w:rsid w:val="00283E15"/>
    <w:rsid w:val="0028400E"/>
    <w:rsid w:val="0028419D"/>
    <w:rsid w:val="00284292"/>
    <w:rsid w:val="0028435A"/>
    <w:rsid w:val="00284695"/>
    <w:rsid w:val="002847C9"/>
    <w:rsid w:val="002849A2"/>
    <w:rsid w:val="00284D4F"/>
    <w:rsid w:val="002850E0"/>
    <w:rsid w:val="002850E5"/>
    <w:rsid w:val="002851F8"/>
    <w:rsid w:val="002853F1"/>
    <w:rsid w:val="0028564E"/>
    <w:rsid w:val="0028584F"/>
    <w:rsid w:val="00285853"/>
    <w:rsid w:val="00285855"/>
    <w:rsid w:val="00285A1C"/>
    <w:rsid w:val="00285AA2"/>
    <w:rsid w:val="00285CFB"/>
    <w:rsid w:val="00285E37"/>
    <w:rsid w:val="00285ED3"/>
    <w:rsid w:val="00286153"/>
    <w:rsid w:val="002865D2"/>
    <w:rsid w:val="00286710"/>
    <w:rsid w:val="00286770"/>
    <w:rsid w:val="002867BC"/>
    <w:rsid w:val="002868A8"/>
    <w:rsid w:val="002868B2"/>
    <w:rsid w:val="00286ACD"/>
    <w:rsid w:val="00286C29"/>
    <w:rsid w:val="00286C97"/>
    <w:rsid w:val="00286CF5"/>
    <w:rsid w:val="00287193"/>
    <w:rsid w:val="0028731E"/>
    <w:rsid w:val="002873E5"/>
    <w:rsid w:val="00287495"/>
    <w:rsid w:val="00287838"/>
    <w:rsid w:val="00287A21"/>
    <w:rsid w:val="00287B59"/>
    <w:rsid w:val="00287D23"/>
    <w:rsid w:val="00287DDC"/>
    <w:rsid w:val="00287E98"/>
    <w:rsid w:val="00287EB2"/>
    <w:rsid w:val="00287EE2"/>
    <w:rsid w:val="002900FF"/>
    <w:rsid w:val="002906EF"/>
    <w:rsid w:val="00290770"/>
    <w:rsid w:val="002907B5"/>
    <w:rsid w:val="00290A6C"/>
    <w:rsid w:val="00290ADC"/>
    <w:rsid w:val="00290C12"/>
    <w:rsid w:val="00290D43"/>
    <w:rsid w:val="00290E90"/>
    <w:rsid w:val="00291123"/>
    <w:rsid w:val="00291709"/>
    <w:rsid w:val="0029185B"/>
    <w:rsid w:val="00291C37"/>
    <w:rsid w:val="00291C89"/>
    <w:rsid w:val="00291D91"/>
    <w:rsid w:val="00291F72"/>
    <w:rsid w:val="002924DE"/>
    <w:rsid w:val="00292938"/>
    <w:rsid w:val="00292C49"/>
    <w:rsid w:val="00292DE4"/>
    <w:rsid w:val="00292EB7"/>
    <w:rsid w:val="00293226"/>
    <w:rsid w:val="0029360D"/>
    <w:rsid w:val="002938DE"/>
    <w:rsid w:val="00294168"/>
    <w:rsid w:val="00294368"/>
    <w:rsid w:val="00294413"/>
    <w:rsid w:val="00294660"/>
    <w:rsid w:val="002948A8"/>
    <w:rsid w:val="002949D3"/>
    <w:rsid w:val="00294DCF"/>
    <w:rsid w:val="00295214"/>
    <w:rsid w:val="00295350"/>
    <w:rsid w:val="002955B9"/>
    <w:rsid w:val="002957C7"/>
    <w:rsid w:val="00295ACB"/>
    <w:rsid w:val="00295D57"/>
    <w:rsid w:val="00295E8E"/>
    <w:rsid w:val="00295ED8"/>
    <w:rsid w:val="002960F1"/>
    <w:rsid w:val="00296155"/>
    <w:rsid w:val="00296227"/>
    <w:rsid w:val="002965E0"/>
    <w:rsid w:val="002966C4"/>
    <w:rsid w:val="002968AC"/>
    <w:rsid w:val="00296A85"/>
    <w:rsid w:val="00296E18"/>
    <w:rsid w:val="00296E2A"/>
    <w:rsid w:val="00296F44"/>
    <w:rsid w:val="00296F82"/>
    <w:rsid w:val="00297152"/>
    <w:rsid w:val="00297377"/>
    <w:rsid w:val="0029777D"/>
    <w:rsid w:val="002978C5"/>
    <w:rsid w:val="0029796F"/>
    <w:rsid w:val="00297C91"/>
    <w:rsid w:val="00297CDC"/>
    <w:rsid w:val="00297F0B"/>
    <w:rsid w:val="00297F8A"/>
    <w:rsid w:val="00297FBE"/>
    <w:rsid w:val="002A0089"/>
    <w:rsid w:val="002A00A1"/>
    <w:rsid w:val="002A055E"/>
    <w:rsid w:val="002A09DC"/>
    <w:rsid w:val="002A0A74"/>
    <w:rsid w:val="002A0AA3"/>
    <w:rsid w:val="002A0CD8"/>
    <w:rsid w:val="002A0E45"/>
    <w:rsid w:val="002A0EB3"/>
    <w:rsid w:val="002A1409"/>
    <w:rsid w:val="002A1516"/>
    <w:rsid w:val="002A16E4"/>
    <w:rsid w:val="002A17D3"/>
    <w:rsid w:val="002A181D"/>
    <w:rsid w:val="002A189A"/>
    <w:rsid w:val="002A18EE"/>
    <w:rsid w:val="002A1AFF"/>
    <w:rsid w:val="002A1C0D"/>
    <w:rsid w:val="002A1C50"/>
    <w:rsid w:val="002A1D4E"/>
    <w:rsid w:val="002A1DC7"/>
    <w:rsid w:val="002A1E3C"/>
    <w:rsid w:val="002A209A"/>
    <w:rsid w:val="002A215E"/>
    <w:rsid w:val="002A2294"/>
    <w:rsid w:val="002A25C7"/>
    <w:rsid w:val="002A2869"/>
    <w:rsid w:val="002A2C31"/>
    <w:rsid w:val="002A2EC1"/>
    <w:rsid w:val="002A2F9F"/>
    <w:rsid w:val="002A3008"/>
    <w:rsid w:val="002A3024"/>
    <w:rsid w:val="002A33D5"/>
    <w:rsid w:val="002A36B3"/>
    <w:rsid w:val="002A38D2"/>
    <w:rsid w:val="002A3979"/>
    <w:rsid w:val="002A3AF4"/>
    <w:rsid w:val="002A3AFC"/>
    <w:rsid w:val="002A3DE1"/>
    <w:rsid w:val="002A3EE5"/>
    <w:rsid w:val="002A41ED"/>
    <w:rsid w:val="002A43F3"/>
    <w:rsid w:val="002A4706"/>
    <w:rsid w:val="002A4986"/>
    <w:rsid w:val="002A4A1C"/>
    <w:rsid w:val="002A4A29"/>
    <w:rsid w:val="002A4A82"/>
    <w:rsid w:val="002A4AC1"/>
    <w:rsid w:val="002A4E1A"/>
    <w:rsid w:val="002A4E7E"/>
    <w:rsid w:val="002A4F63"/>
    <w:rsid w:val="002A4FC5"/>
    <w:rsid w:val="002A5007"/>
    <w:rsid w:val="002A50D1"/>
    <w:rsid w:val="002A54CF"/>
    <w:rsid w:val="002A5581"/>
    <w:rsid w:val="002A5669"/>
    <w:rsid w:val="002A5732"/>
    <w:rsid w:val="002A57C6"/>
    <w:rsid w:val="002A58D3"/>
    <w:rsid w:val="002A59C0"/>
    <w:rsid w:val="002A59D7"/>
    <w:rsid w:val="002A5AC0"/>
    <w:rsid w:val="002A5CA8"/>
    <w:rsid w:val="002A5E21"/>
    <w:rsid w:val="002A5E4F"/>
    <w:rsid w:val="002A632F"/>
    <w:rsid w:val="002A6384"/>
    <w:rsid w:val="002A65D4"/>
    <w:rsid w:val="002A6868"/>
    <w:rsid w:val="002A6D41"/>
    <w:rsid w:val="002A6E1A"/>
    <w:rsid w:val="002A6EDA"/>
    <w:rsid w:val="002A6FA0"/>
    <w:rsid w:val="002A7181"/>
    <w:rsid w:val="002A74FF"/>
    <w:rsid w:val="002A7916"/>
    <w:rsid w:val="002A7ADF"/>
    <w:rsid w:val="002A7C6C"/>
    <w:rsid w:val="002A7DE3"/>
    <w:rsid w:val="002A7E46"/>
    <w:rsid w:val="002A7E8A"/>
    <w:rsid w:val="002A7FE6"/>
    <w:rsid w:val="002A7FFC"/>
    <w:rsid w:val="002B0121"/>
    <w:rsid w:val="002B01C9"/>
    <w:rsid w:val="002B041E"/>
    <w:rsid w:val="002B04A8"/>
    <w:rsid w:val="002B04BC"/>
    <w:rsid w:val="002B0628"/>
    <w:rsid w:val="002B0964"/>
    <w:rsid w:val="002B0DF5"/>
    <w:rsid w:val="002B0DFD"/>
    <w:rsid w:val="002B0EC4"/>
    <w:rsid w:val="002B0EEF"/>
    <w:rsid w:val="002B10C3"/>
    <w:rsid w:val="002B129F"/>
    <w:rsid w:val="002B1500"/>
    <w:rsid w:val="002B1627"/>
    <w:rsid w:val="002B164A"/>
    <w:rsid w:val="002B1A9D"/>
    <w:rsid w:val="002B1AED"/>
    <w:rsid w:val="002B1B69"/>
    <w:rsid w:val="002B22DE"/>
    <w:rsid w:val="002B23B7"/>
    <w:rsid w:val="002B23D3"/>
    <w:rsid w:val="002B241F"/>
    <w:rsid w:val="002B2483"/>
    <w:rsid w:val="002B24D6"/>
    <w:rsid w:val="002B254F"/>
    <w:rsid w:val="002B27A0"/>
    <w:rsid w:val="002B285B"/>
    <w:rsid w:val="002B2A1A"/>
    <w:rsid w:val="002B2B0A"/>
    <w:rsid w:val="002B2B5B"/>
    <w:rsid w:val="002B2B96"/>
    <w:rsid w:val="002B2C56"/>
    <w:rsid w:val="002B2D33"/>
    <w:rsid w:val="002B2D96"/>
    <w:rsid w:val="002B2FCF"/>
    <w:rsid w:val="002B3129"/>
    <w:rsid w:val="002B3180"/>
    <w:rsid w:val="002B3623"/>
    <w:rsid w:val="002B3779"/>
    <w:rsid w:val="002B39AE"/>
    <w:rsid w:val="002B3AB8"/>
    <w:rsid w:val="002B3BD9"/>
    <w:rsid w:val="002B3E7B"/>
    <w:rsid w:val="002B3F98"/>
    <w:rsid w:val="002B40B2"/>
    <w:rsid w:val="002B4351"/>
    <w:rsid w:val="002B450E"/>
    <w:rsid w:val="002B4572"/>
    <w:rsid w:val="002B4747"/>
    <w:rsid w:val="002B4777"/>
    <w:rsid w:val="002B47CE"/>
    <w:rsid w:val="002B4914"/>
    <w:rsid w:val="002B4A2D"/>
    <w:rsid w:val="002B4B66"/>
    <w:rsid w:val="002B4EA2"/>
    <w:rsid w:val="002B502E"/>
    <w:rsid w:val="002B550B"/>
    <w:rsid w:val="002B57BB"/>
    <w:rsid w:val="002B58F9"/>
    <w:rsid w:val="002B5F5B"/>
    <w:rsid w:val="002B62F7"/>
    <w:rsid w:val="002B65AA"/>
    <w:rsid w:val="002B6658"/>
    <w:rsid w:val="002B66D3"/>
    <w:rsid w:val="002B6833"/>
    <w:rsid w:val="002B68E1"/>
    <w:rsid w:val="002B6929"/>
    <w:rsid w:val="002B6E74"/>
    <w:rsid w:val="002B6FC9"/>
    <w:rsid w:val="002B704A"/>
    <w:rsid w:val="002B7270"/>
    <w:rsid w:val="002B73FA"/>
    <w:rsid w:val="002B7459"/>
    <w:rsid w:val="002B7DC9"/>
    <w:rsid w:val="002B7E30"/>
    <w:rsid w:val="002B7FBC"/>
    <w:rsid w:val="002C0451"/>
    <w:rsid w:val="002C050E"/>
    <w:rsid w:val="002C05FD"/>
    <w:rsid w:val="002C0929"/>
    <w:rsid w:val="002C0A2A"/>
    <w:rsid w:val="002C0C78"/>
    <w:rsid w:val="002C0CBC"/>
    <w:rsid w:val="002C0CD5"/>
    <w:rsid w:val="002C0DC3"/>
    <w:rsid w:val="002C0F1D"/>
    <w:rsid w:val="002C0FF4"/>
    <w:rsid w:val="002C1254"/>
    <w:rsid w:val="002C1272"/>
    <w:rsid w:val="002C1445"/>
    <w:rsid w:val="002C14E6"/>
    <w:rsid w:val="002C158C"/>
    <w:rsid w:val="002C1687"/>
    <w:rsid w:val="002C181D"/>
    <w:rsid w:val="002C1993"/>
    <w:rsid w:val="002C1A6E"/>
    <w:rsid w:val="002C1DAE"/>
    <w:rsid w:val="002C1F19"/>
    <w:rsid w:val="002C2006"/>
    <w:rsid w:val="002C2031"/>
    <w:rsid w:val="002C21F0"/>
    <w:rsid w:val="002C2212"/>
    <w:rsid w:val="002C257E"/>
    <w:rsid w:val="002C25BD"/>
    <w:rsid w:val="002C278C"/>
    <w:rsid w:val="002C27F9"/>
    <w:rsid w:val="002C284A"/>
    <w:rsid w:val="002C287A"/>
    <w:rsid w:val="002C291A"/>
    <w:rsid w:val="002C2F05"/>
    <w:rsid w:val="002C2FC8"/>
    <w:rsid w:val="002C30B3"/>
    <w:rsid w:val="002C3181"/>
    <w:rsid w:val="002C33D9"/>
    <w:rsid w:val="002C34AE"/>
    <w:rsid w:val="002C36C9"/>
    <w:rsid w:val="002C3928"/>
    <w:rsid w:val="002C3B1C"/>
    <w:rsid w:val="002C3C73"/>
    <w:rsid w:val="002C3CA6"/>
    <w:rsid w:val="002C3FD6"/>
    <w:rsid w:val="002C41E6"/>
    <w:rsid w:val="002C4341"/>
    <w:rsid w:val="002C4568"/>
    <w:rsid w:val="002C4637"/>
    <w:rsid w:val="002C465D"/>
    <w:rsid w:val="002C4685"/>
    <w:rsid w:val="002C48A3"/>
    <w:rsid w:val="002C4943"/>
    <w:rsid w:val="002C495A"/>
    <w:rsid w:val="002C4A3D"/>
    <w:rsid w:val="002C4A51"/>
    <w:rsid w:val="002C4BBB"/>
    <w:rsid w:val="002C4C95"/>
    <w:rsid w:val="002C4E72"/>
    <w:rsid w:val="002C50E6"/>
    <w:rsid w:val="002C51C7"/>
    <w:rsid w:val="002C51F6"/>
    <w:rsid w:val="002C5281"/>
    <w:rsid w:val="002C52A1"/>
    <w:rsid w:val="002C55E6"/>
    <w:rsid w:val="002C571C"/>
    <w:rsid w:val="002C5D5B"/>
    <w:rsid w:val="002C6376"/>
    <w:rsid w:val="002C6501"/>
    <w:rsid w:val="002C654E"/>
    <w:rsid w:val="002C664E"/>
    <w:rsid w:val="002C66CD"/>
    <w:rsid w:val="002C688F"/>
    <w:rsid w:val="002C6AA1"/>
    <w:rsid w:val="002C6B16"/>
    <w:rsid w:val="002C6BA1"/>
    <w:rsid w:val="002C6D4A"/>
    <w:rsid w:val="002C6E01"/>
    <w:rsid w:val="002C6EB1"/>
    <w:rsid w:val="002C6EDB"/>
    <w:rsid w:val="002C729D"/>
    <w:rsid w:val="002C72C1"/>
    <w:rsid w:val="002C7531"/>
    <w:rsid w:val="002C75CA"/>
    <w:rsid w:val="002C7966"/>
    <w:rsid w:val="002D0011"/>
    <w:rsid w:val="002D0108"/>
    <w:rsid w:val="002D0223"/>
    <w:rsid w:val="002D0244"/>
    <w:rsid w:val="002D02EC"/>
    <w:rsid w:val="002D05B9"/>
    <w:rsid w:val="002D071A"/>
    <w:rsid w:val="002D0797"/>
    <w:rsid w:val="002D0BB1"/>
    <w:rsid w:val="002D0E51"/>
    <w:rsid w:val="002D0F02"/>
    <w:rsid w:val="002D1128"/>
    <w:rsid w:val="002D1142"/>
    <w:rsid w:val="002D14DA"/>
    <w:rsid w:val="002D1505"/>
    <w:rsid w:val="002D1521"/>
    <w:rsid w:val="002D1523"/>
    <w:rsid w:val="002D156C"/>
    <w:rsid w:val="002D1808"/>
    <w:rsid w:val="002D1994"/>
    <w:rsid w:val="002D19C5"/>
    <w:rsid w:val="002D1A43"/>
    <w:rsid w:val="002D1DD5"/>
    <w:rsid w:val="002D1F50"/>
    <w:rsid w:val="002D1FB0"/>
    <w:rsid w:val="002D231D"/>
    <w:rsid w:val="002D2659"/>
    <w:rsid w:val="002D266F"/>
    <w:rsid w:val="002D297C"/>
    <w:rsid w:val="002D29B0"/>
    <w:rsid w:val="002D2ACD"/>
    <w:rsid w:val="002D2D5F"/>
    <w:rsid w:val="002D2E3F"/>
    <w:rsid w:val="002D2F4A"/>
    <w:rsid w:val="002D2FA6"/>
    <w:rsid w:val="002D3091"/>
    <w:rsid w:val="002D31D8"/>
    <w:rsid w:val="002D3205"/>
    <w:rsid w:val="002D3207"/>
    <w:rsid w:val="002D34B2"/>
    <w:rsid w:val="002D3544"/>
    <w:rsid w:val="002D3645"/>
    <w:rsid w:val="002D3848"/>
    <w:rsid w:val="002D3879"/>
    <w:rsid w:val="002D3D13"/>
    <w:rsid w:val="002D3F2B"/>
    <w:rsid w:val="002D42E7"/>
    <w:rsid w:val="002D437D"/>
    <w:rsid w:val="002D4521"/>
    <w:rsid w:val="002D48B0"/>
    <w:rsid w:val="002D4DE4"/>
    <w:rsid w:val="002D51B2"/>
    <w:rsid w:val="002D52B3"/>
    <w:rsid w:val="002D52B7"/>
    <w:rsid w:val="002D52FB"/>
    <w:rsid w:val="002D5306"/>
    <w:rsid w:val="002D56D2"/>
    <w:rsid w:val="002D57D3"/>
    <w:rsid w:val="002D5912"/>
    <w:rsid w:val="002D5AC9"/>
    <w:rsid w:val="002D5B37"/>
    <w:rsid w:val="002D5C18"/>
    <w:rsid w:val="002D5C90"/>
    <w:rsid w:val="002D5F18"/>
    <w:rsid w:val="002D6078"/>
    <w:rsid w:val="002D6564"/>
    <w:rsid w:val="002D66D5"/>
    <w:rsid w:val="002D6794"/>
    <w:rsid w:val="002D68F6"/>
    <w:rsid w:val="002D696B"/>
    <w:rsid w:val="002D6B34"/>
    <w:rsid w:val="002D6CC6"/>
    <w:rsid w:val="002D6EAC"/>
    <w:rsid w:val="002D7071"/>
    <w:rsid w:val="002D7218"/>
    <w:rsid w:val="002D726E"/>
    <w:rsid w:val="002D7590"/>
    <w:rsid w:val="002D7637"/>
    <w:rsid w:val="002D78BF"/>
    <w:rsid w:val="002D7A98"/>
    <w:rsid w:val="002D7AEA"/>
    <w:rsid w:val="002D7CCF"/>
    <w:rsid w:val="002D7D0A"/>
    <w:rsid w:val="002D7D8F"/>
    <w:rsid w:val="002D7DA6"/>
    <w:rsid w:val="002E02B2"/>
    <w:rsid w:val="002E08BB"/>
    <w:rsid w:val="002E0F18"/>
    <w:rsid w:val="002E0FB5"/>
    <w:rsid w:val="002E141A"/>
    <w:rsid w:val="002E1507"/>
    <w:rsid w:val="002E17C9"/>
    <w:rsid w:val="002E17F2"/>
    <w:rsid w:val="002E1A8B"/>
    <w:rsid w:val="002E1AEB"/>
    <w:rsid w:val="002E1FAC"/>
    <w:rsid w:val="002E2054"/>
    <w:rsid w:val="002E2180"/>
    <w:rsid w:val="002E21D4"/>
    <w:rsid w:val="002E2645"/>
    <w:rsid w:val="002E2BA3"/>
    <w:rsid w:val="002E2E68"/>
    <w:rsid w:val="002E2F1B"/>
    <w:rsid w:val="002E2F95"/>
    <w:rsid w:val="002E3408"/>
    <w:rsid w:val="002E34A3"/>
    <w:rsid w:val="002E34D2"/>
    <w:rsid w:val="002E36E9"/>
    <w:rsid w:val="002E3AD6"/>
    <w:rsid w:val="002E3C45"/>
    <w:rsid w:val="002E3D12"/>
    <w:rsid w:val="002E3D8F"/>
    <w:rsid w:val="002E3DEF"/>
    <w:rsid w:val="002E3FDF"/>
    <w:rsid w:val="002E409D"/>
    <w:rsid w:val="002E4115"/>
    <w:rsid w:val="002E43B7"/>
    <w:rsid w:val="002E4406"/>
    <w:rsid w:val="002E45C7"/>
    <w:rsid w:val="002E479C"/>
    <w:rsid w:val="002E4A5E"/>
    <w:rsid w:val="002E4A89"/>
    <w:rsid w:val="002E4A93"/>
    <w:rsid w:val="002E4DC9"/>
    <w:rsid w:val="002E4E53"/>
    <w:rsid w:val="002E5195"/>
    <w:rsid w:val="002E5298"/>
    <w:rsid w:val="002E530D"/>
    <w:rsid w:val="002E5408"/>
    <w:rsid w:val="002E5508"/>
    <w:rsid w:val="002E559E"/>
    <w:rsid w:val="002E55A5"/>
    <w:rsid w:val="002E571F"/>
    <w:rsid w:val="002E5888"/>
    <w:rsid w:val="002E5900"/>
    <w:rsid w:val="002E59ED"/>
    <w:rsid w:val="002E5A67"/>
    <w:rsid w:val="002E5D04"/>
    <w:rsid w:val="002E5E97"/>
    <w:rsid w:val="002E5EEF"/>
    <w:rsid w:val="002E5F9E"/>
    <w:rsid w:val="002E6135"/>
    <w:rsid w:val="002E62F9"/>
    <w:rsid w:val="002E6351"/>
    <w:rsid w:val="002E63B6"/>
    <w:rsid w:val="002E6724"/>
    <w:rsid w:val="002E67C4"/>
    <w:rsid w:val="002E6A20"/>
    <w:rsid w:val="002E6C3C"/>
    <w:rsid w:val="002E6EB0"/>
    <w:rsid w:val="002E6F76"/>
    <w:rsid w:val="002E7036"/>
    <w:rsid w:val="002E711D"/>
    <w:rsid w:val="002E721B"/>
    <w:rsid w:val="002E7336"/>
    <w:rsid w:val="002E735F"/>
    <w:rsid w:val="002E73D2"/>
    <w:rsid w:val="002E7486"/>
    <w:rsid w:val="002E77D5"/>
    <w:rsid w:val="002E79CB"/>
    <w:rsid w:val="002E7CAE"/>
    <w:rsid w:val="002E7E2C"/>
    <w:rsid w:val="002F011B"/>
    <w:rsid w:val="002F01BF"/>
    <w:rsid w:val="002F055A"/>
    <w:rsid w:val="002F0624"/>
    <w:rsid w:val="002F06E9"/>
    <w:rsid w:val="002F0B00"/>
    <w:rsid w:val="002F0E62"/>
    <w:rsid w:val="002F1168"/>
    <w:rsid w:val="002F11AE"/>
    <w:rsid w:val="002F1236"/>
    <w:rsid w:val="002F132E"/>
    <w:rsid w:val="002F1742"/>
    <w:rsid w:val="002F1A3A"/>
    <w:rsid w:val="002F1BC9"/>
    <w:rsid w:val="002F1DC4"/>
    <w:rsid w:val="002F1F68"/>
    <w:rsid w:val="002F206E"/>
    <w:rsid w:val="002F207A"/>
    <w:rsid w:val="002F21B7"/>
    <w:rsid w:val="002F22B4"/>
    <w:rsid w:val="002F231C"/>
    <w:rsid w:val="002F23ED"/>
    <w:rsid w:val="002F248F"/>
    <w:rsid w:val="002F2771"/>
    <w:rsid w:val="002F2857"/>
    <w:rsid w:val="002F2864"/>
    <w:rsid w:val="002F28BA"/>
    <w:rsid w:val="002F29D5"/>
    <w:rsid w:val="002F2EE1"/>
    <w:rsid w:val="002F2F4E"/>
    <w:rsid w:val="002F2F61"/>
    <w:rsid w:val="002F30C4"/>
    <w:rsid w:val="002F31F3"/>
    <w:rsid w:val="002F3596"/>
    <w:rsid w:val="002F36BB"/>
    <w:rsid w:val="002F37A9"/>
    <w:rsid w:val="002F3814"/>
    <w:rsid w:val="002F3979"/>
    <w:rsid w:val="002F3CA7"/>
    <w:rsid w:val="002F3DE6"/>
    <w:rsid w:val="002F3EBB"/>
    <w:rsid w:val="002F431D"/>
    <w:rsid w:val="002F435E"/>
    <w:rsid w:val="002F48EE"/>
    <w:rsid w:val="002F4ACA"/>
    <w:rsid w:val="002F4D5D"/>
    <w:rsid w:val="002F4EF0"/>
    <w:rsid w:val="002F524E"/>
    <w:rsid w:val="002F5444"/>
    <w:rsid w:val="002F5445"/>
    <w:rsid w:val="002F5651"/>
    <w:rsid w:val="002F5701"/>
    <w:rsid w:val="002F5999"/>
    <w:rsid w:val="002F5BE8"/>
    <w:rsid w:val="002F5FF3"/>
    <w:rsid w:val="002F60B4"/>
    <w:rsid w:val="002F6140"/>
    <w:rsid w:val="002F62DC"/>
    <w:rsid w:val="002F67A7"/>
    <w:rsid w:val="002F6B6F"/>
    <w:rsid w:val="002F6F66"/>
    <w:rsid w:val="002F79AE"/>
    <w:rsid w:val="002F7AD7"/>
    <w:rsid w:val="002F7DD6"/>
    <w:rsid w:val="00300205"/>
    <w:rsid w:val="003002A8"/>
    <w:rsid w:val="00300794"/>
    <w:rsid w:val="003008FC"/>
    <w:rsid w:val="0030093C"/>
    <w:rsid w:val="00300C42"/>
    <w:rsid w:val="00300D86"/>
    <w:rsid w:val="00300DEF"/>
    <w:rsid w:val="00301015"/>
    <w:rsid w:val="003011E1"/>
    <w:rsid w:val="00301259"/>
    <w:rsid w:val="0030169D"/>
    <w:rsid w:val="00301B57"/>
    <w:rsid w:val="00301CE6"/>
    <w:rsid w:val="00301CF6"/>
    <w:rsid w:val="00301DCD"/>
    <w:rsid w:val="00301DFD"/>
    <w:rsid w:val="0030211B"/>
    <w:rsid w:val="003022CC"/>
    <w:rsid w:val="0030256B"/>
    <w:rsid w:val="00302638"/>
    <w:rsid w:val="003026AA"/>
    <w:rsid w:val="003028E2"/>
    <w:rsid w:val="00302959"/>
    <w:rsid w:val="003029FB"/>
    <w:rsid w:val="00302A36"/>
    <w:rsid w:val="00302AF4"/>
    <w:rsid w:val="00302B9F"/>
    <w:rsid w:val="00302BA3"/>
    <w:rsid w:val="00302DA9"/>
    <w:rsid w:val="00302EBE"/>
    <w:rsid w:val="00302F65"/>
    <w:rsid w:val="0030305B"/>
    <w:rsid w:val="0030334C"/>
    <w:rsid w:val="00303353"/>
    <w:rsid w:val="00303551"/>
    <w:rsid w:val="00303704"/>
    <w:rsid w:val="00303740"/>
    <w:rsid w:val="003039C9"/>
    <w:rsid w:val="00303A93"/>
    <w:rsid w:val="00303B61"/>
    <w:rsid w:val="00303CAD"/>
    <w:rsid w:val="0030474F"/>
    <w:rsid w:val="003047D6"/>
    <w:rsid w:val="00304957"/>
    <w:rsid w:val="00304A49"/>
    <w:rsid w:val="00304A53"/>
    <w:rsid w:val="0030501F"/>
    <w:rsid w:val="003051C0"/>
    <w:rsid w:val="003051DB"/>
    <w:rsid w:val="0030561B"/>
    <w:rsid w:val="0030569A"/>
    <w:rsid w:val="003056DE"/>
    <w:rsid w:val="00305864"/>
    <w:rsid w:val="00305BD4"/>
    <w:rsid w:val="00305EF9"/>
    <w:rsid w:val="00305EFC"/>
    <w:rsid w:val="00305F7A"/>
    <w:rsid w:val="00305FEC"/>
    <w:rsid w:val="00306013"/>
    <w:rsid w:val="003063C5"/>
    <w:rsid w:val="0030648C"/>
    <w:rsid w:val="003068D6"/>
    <w:rsid w:val="00306980"/>
    <w:rsid w:val="00306A4F"/>
    <w:rsid w:val="00306B9F"/>
    <w:rsid w:val="00306BC2"/>
    <w:rsid w:val="00306DC1"/>
    <w:rsid w:val="00306DE7"/>
    <w:rsid w:val="00306F0D"/>
    <w:rsid w:val="00306F79"/>
    <w:rsid w:val="003071C9"/>
    <w:rsid w:val="00307384"/>
    <w:rsid w:val="003074CA"/>
    <w:rsid w:val="00307502"/>
    <w:rsid w:val="0030769E"/>
    <w:rsid w:val="00307735"/>
    <w:rsid w:val="003077D3"/>
    <w:rsid w:val="003079DB"/>
    <w:rsid w:val="00307A0B"/>
    <w:rsid w:val="00307BA1"/>
    <w:rsid w:val="00307FD2"/>
    <w:rsid w:val="003101B3"/>
    <w:rsid w:val="003101F6"/>
    <w:rsid w:val="00310317"/>
    <w:rsid w:val="003108CB"/>
    <w:rsid w:val="00310AA0"/>
    <w:rsid w:val="00310B2D"/>
    <w:rsid w:val="00310FEA"/>
    <w:rsid w:val="00311280"/>
    <w:rsid w:val="003112C0"/>
    <w:rsid w:val="0031134A"/>
    <w:rsid w:val="003113A4"/>
    <w:rsid w:val="00311702"/>
    <w:rsid w:val="00311A00"/>
    <w:rsid w:val="00311C48"/>
    <w:rsid w:val="00311D69"/>
    <w:rsid w:val="00311E82"/>
    <w:rsid w:val="00311F80"/>
    <w:rsid w:val="00311FE8"/>
    <w:rsid w:val="003124A7"/>
    <w:rsid w:val="003126A1"/>
    <w:rsid w:val="00312748"/>
    <w:rsid w:val="0031288B"/>
    <w:rsid w:val="003129B3"/>
    <w:rsid w:val="00312D00"/>
    <w:rsid w:val="00313040"/>
    <w:rsid w:val="003131A8"/>
    <w:rsid w:val="003134A5"/>
    <w:rsid w:val="0031359F"/>
    <w:rsid w:val="0031374E"/>
    <w:rsid w:val="00313922"/>
    <w:rsid w:val="00313EB0"/>
    <w:rsid w:val="00313F30"/>
    <w:rsid w:val="00313FD6"/>
    <w:rsid w:val="003140C9"/>
    <w:rsid w:val="003141A8"/>
    <w:rsid w:val="00314215"/>
    <w:rsid w:val="003143BD"/>
    <w:rsid w:val="0031459B"/>
    <w:rsid w:val="00314958"/>
    <w:rsid w:val="003149AB"/>
    <w:rsid w:val="00314AA4"/>
    <w:rsid w:val="00314B75"/>
    <w:rsid w:val="00314D80"/>
    <w:rsid w:val="00314E74"/>
    <w:rsid w:val="003152CA"/>
    <w:rsid w:val="00315363"/>
    <w:rsid w:val="00315411"/>
    <w:rsid w:val="003154B9"/>
    <w:rsid w:val="0031558E"/>
    <w:rsid w:val="0031581C"/>
    <w:rsid w:val="0031594E"/>
    <w:rsid w:val="00315CBB"/>
    <w:rsid w:val="00315D77"/>
    <w:rsid w:val="00315DA7"/>
    <w:rsid w:val="00316000"/>
    <w:rsid w:val="00316113"/>
    <w:rsid w:val="00316293"/>
    <w:rsid w:val="0031674C"/>
    <w:rsid w:val="00316852"/>
    <w:rsid w:val="00316863"/>
    <w:rsid w:val="0031686A"/>
    <w:rsid w:val="00316AC6"/>
    <w:rsid w:val="00316E42"/>
    <w:rsid w:val="003170A9"/>
    <w:rsid w:val="00317256"/>
    <w:rsid w:val="003175C2"/>
    <w:rsid w:val="003175DC"/>
    <w:rsid w:val="00317A33"/>
    <w:rsid w:val="00317B94"/>
    <w:rsid w:val="00317B96"/>
    <w:rsid w:val="00317DFA"/>
    <w:rsid w:val="00317FF4"/>
    <w:rsid w:val="00320050"/>
    <w:rsid w:val="00320062"/>
    <w:rsid w:val="0032007D"/>
    <w:rsid w:val="00320096"/>
    <w:rsid w:val="0032016F"/>
    <w:rsid w:val="003203ED"/>
    <w:rsid w:val="003204D3"/>
    <w:rsid w:val="00320804"/>
    <w:rsid w:val="003208E4"/>
    <w:rsid w:val="00320C3D"/>
    <w:rsid w:val="00320D91"/>
    <w:rsid w:val="00321217"/>
    <w:rsid w:val="003213A0"/>
    <w:rsid w:val="003214F9"/>
    <w:rsid w:val="00321576"/>
    <w:rsid w:val="003215B3"/>
    <w:rsid w:val="003216C2"/>
    <w:rsid w:val="003217C5"/>
    <w:rsid w:val="003217F2"/>
    <w:rsid w:val="0032184F"/>
    <w:rsid w:val="00321A03"/>
    <w:rsid w:val="00321BB3"/>
    <w:rsid w:val="00321C16"/>
    <w:rsid w:val="00321C5A"/>
    <w:rsid w:val="00321DBF"/>
    <w:rsid w:val="00321DE4"/>
    <w:rsid w:val="00321EA0"/>
    <w:rsid w:val="003220D9"/>
    <w:rsid w:val="00322311"/>
    <w:rsid w:val="00322428"/>
    <w:rsid w:val="00322635"/>
    <w:rsid w:val="003226FA"/>
    <w:rsid w:val="00322C9F"/>
    <w:rsid w:val="00322D61"/>
    <w:rsid w:val="00322E06"/>
    <w:rsid w:val="00322E45"/>
    <w:rsid w:val="00322E63"/>
    <w:rsid w:val="00322F16"/>
    <w:rsid w:val="0032324F"/>
    <w:rsid w:val="00323254"/>
    <w:rsid w:val="003234B2"/>
    <w:rsid w:val="003234E8"/>
    <w:rsid w:val="0032355F"/>
    <w:rsid w:val="0032360B"/>
    <w:rsid w:val="00323704"/>
    <w:rsid w:val="0032386F"/>
    <w:rsid w:val="00323C8B"/>
    <w:rsid w:val="00323D87"/>
    <w:rsid w:val="003240C4"/>
    <w:rsid w:val="003240C6"/>
    <w:rsid w:val="003244E2"/>
    <w:rsid w:val="00324626"/>
    <w:rsid w:val="0032489D"/>
    <w:rsid w:val="003249C1"/>
    <w:rsid w:val="00324ADA"/>
    <w:rsid w:val="00324CC2"/>
    <w:rsid w:val="00324D23"/>
    <w:rsid w:val="00324DF2"/>
    <w:rsid w:val="00324EB9"/>
    <w:rsid w:val="00324F29"/>
    <w:rsid w:val="003252D4"/>
    <w:rsid w:val="0032554F"/>
    <w:rsid w:val="003255AE"/>
    <w:rsid w:val="003257D3"/>
    <w:rsid w:val="0032584F"/>
    <w:rsid w:val="00325CCB"/>
    <w:rsid w:val="00325E6C"/>
    <w:rsid w:val="00325E6F"/>
    <w:rsid w:val="0032606A"/>
    <w:rsid w:val="00326917"/>
    <w:rsid w:val="00326951"/>
    <w:rsid w:val="00326AF6"/>
    <w:rsid w:val="00326C25"/>
    <w:rsid w:val="00326D79"/>
    <w:rsid w:val="0032708E"/>
    <w:rsid w:val="0032775F"/>
    <w:rsid w:val="00327873"/>
    <w:rsid w:val="003279C5"/>
    <w:rsid w:val="00327A54"/>
    <w:rsid w:val="00327A7D"/>
    <w:rsid w:val="00327E2B"/>
    <w:rsid w:val="00327E5B"/>
    <w:rsid w:val="00327ED6"/>
    <w:rsid w:val="00327F1D"/>
    <w:rsid w:val="003302CB"/>
    <w:rsid w:val="0033064A"/>
    <w:rsid w:val="003306B4"/>
    <w:rsid w:val="003309A2"/>
    <w:rsid w:val="00331002"/>
    <w:rsid w:val="00331115"/>
    <w:rsid w:val="00331325"/>
    <w:rsid w:val="003313F8"/>
    <w:rsid w:val="00331458"/>
    <w:rsid w:val="00331495"/>
    <w:rsid w:val="00331666"/>
    <w:rsid w:val="003316D7"/>
    <w:rsid w:val="00331751"/>
    <w:rsid w:val="003318A5"/>
    <w:rsid w:val="003319D5"/>
    <w:rsid w:val="00331C0A"/>
    <w:rsid w:val="00331C98"/>
    <w:rsid w:val="00331F37"/>
    <w:rsid w:val="003324CE"/>
    <w:rsid w:val="0033259C"/>
    <w:rsid w:val="003326E4"/>
    <w:rsid w:val="00332775"/>
    <w:rsid w:val="003327FE"/>
    <w:rsid w:val="00332865"/>
    <w:rsid w:val="00332CE5"/>
    <w:rsid w:val="003333EF"/>
    <w:rsid w:val="003334BF"/>
    <w:rsid w:val="003334EB"/>
    <w:rsid w:val="0033361D"/>
    <w:rsid w:val="003337AB"/>
    <w:rsid w:val="00333925"/>
    <w:rsid w:val="00333A69"/>
    <w:rsid w:val="00333AA1"/>
    <w:rsid w:val="00333D77"/>
    <w:rsid w:val="00334421"/>
    <w:rsid w:val="00334433"/>
    <w:rsid w:val="00334579"/>
    <w:rsid w:val="00334A63"/>
    <w:rsid w:val="00334B86"/>
    <w:rsid w:val="00334C29"/>
    <w:rsid w:val="00334DC8"/>
    <w:rsid w:val="00334E63"/>
    <w:rsid w:val="00335094"/>
    <w:rsid w:val="00335410"/>
    <w:rsid w:val="0033543A"/>
    <w:rsid w:val="00335484"/>
    <w:rsid w:val="00335554"/>
    <w:rsid w:val="0033574B"/>
    <w:rsid w:val="00335858"/>
    <w:rsid w:val="00335D76"/>
    <w:rsid w:val="00335DDC"/>
    <w:rsid w:val="00335E26"/>
    <w:rsid w:val="00335F5F"/>
    <w:rsid w:val="00335FB5"/>
    <w:rsid w:val="00336087"/>
    <w:rsid w:val="003363FD"/>
    <w:rsid w:val="003365D2"/>
    <w:rsid w:val="00336883"/>
    <w:rsid w:val="00336BDA"/>
    <w:rsid w:val="00336CC2"/>
    <w:rsid w:val="00336E56"/>
    <w:rsid w:val="00336EAB"/>
    <w:rsid w:val="00337373"/>
    <w:rsid w:val="00337478"/>
    <w:rsid w:val="003374DC"/>
    <w:rsid w:val="00337775"/>
    <w:rsid w:val="00337778"/>
    <w:rsid w:val="003377A8"/>
    <w:rsid w:val="003378A8"/>
    <w:rsid w:val="00337A38"/>
    <w:rsid w:val="00337C3E"/>
    <w:rsid w:val="00337D21"/>
    <w:rsid w:val="00337DE6"/>
    <w:rsid w:val="00337F3F"/>
    <w:rsid w:val="00340014"/>
    <w:rsid w:val="00340103"/>
    <w:rsid w:val="00340174"/>
    <w:rsid w:val="00340347"/>
    <w:rsid w:val="0034037F"/>
    <w:rsid w:val="00340575"/>
    <w:rsid w:val="003405D1"/>
    <w:rsid w:val="0034076A"/>
    <w:rsid w:val="00340833"/>
    <w:rsid w:val="0034088C"/>
    <w:rsid w:val="00340BE6"/>
    <w:rsid w:val="00340E85"/>
    <w:rsid w:val="00341265"/>
    <w:rsid w:val="00341377"/>
    <w:rsid w:val="003415DF"/>
    <w:rsid w:val="0034172D"/>
    <w:rsid w:val="003418B9"/>
    <w:rsid w:val="00341B65"/>
    <w:rsid w:val="00341B98"/>
    <w:rsid w:val="00341C96"/>
    <w:rsid w:val="00341DA3"/>
    <w:rsid w:val="00341E6A"/>
    <w:rsid w:val="00341EE1"/>
    <w:rsid w:val="00341FB4"/>
    <w:rsid w:val="003424F4"/>
    <w:rsid w:val="003426DF"/>
    <w:rsid w:val="00342828"/>
    <w:rsid w:val="003429D8"/>
    <w:rsid w:val="00342AFE"/>
    <w:rsid w:val="00342B91"/>
    <w:rsid w:val="00342BD7"/>
    <w:rsid w:val="00342CEB"/>
    <w:rsid w:val="00342D27"/>
    <w:rsid w:val="00342F06"/>
    <w:rsid w:val="00343346"/>
    <w:rsid w:val="00343814"/>
    <w:rsid w:val="003438B7"/>
    <w:rsid w:val="00343CEC"/>
    <w:rsid w:val="00344522"/>
    <w:rsid w:val="00344762"/>
    <w:rsid w:val="00344A0A"/>
    <w:rsid w:val="00344DE9"/>
    <w:rsid w:val="00344EC1"/>
    <w:rsid w:val="00345062"/>
    <w:rsid w:val="00345070"/>
    <w:rsid w:val="003453D5"/>
    <w:rsid w:val="0034560B"/>
    <w:rsid w:val="003456CC"/>
    <w:rsid w:val="003458AF"/>
    <w:rsid w:val="00345924"/>
    <w:rsid w:val="00345981"/>
    <w:rsid w:val="00345BE5"/>
    <w:rsid w:val="00345CC4"/>
    <w:rsid w:val="00346221"/>
    <w:rsid w:val="00346424"/>
    <w:rsid w:val="00346976"/>
    <w:rsid w:val="00346DB5"/>
    <w:rsid w:val="00346F67"/>
    <w:rsid w:val="003470D6"/>
    <w:rsid w:val="003470E8"/>
    <w:rsid w:val="00347104"/>
    <w:rsid w:val="00347617"/>
    <w:rsid w:val="00347683"/>
    <w:rsid w:val="003476CC"/>
    <w:rsid w:val="0034778D"/>
    <w:rsid w:val="003477B1"/>
    <w:rsid w:val="0034787A"/>
    <w:rsid w:val="003478F9"/>
    <w:rsid w:val="00347AE6"/>
    <w:rsid w:val="00347C7C"/>
    <w:rsid w:val="00347DC3"/>
    <w:rsid w:val="00347EE6"/>
    <w:rsid w:val="00347FE0"/>
    <w:rsid w:val="00350144"/>
    <w:rsid w:val="003501D4"/>
    <w:rsid w:val="0035031F"/>
    <w:rsid w:val="00350936"/>
    <w:rsid w:val="00350AAE"/>
    <w:rsid w:val="00350AEC"/>
    <w:rsid w:val="00350B33"/>
    <w:rsid w:val="00350C15"/>
    <w:rsid w:val="00350E26"/>
    <w:rsid w:val="00350EA0"/>
    <w:rsid w:val="00350F24"/>
    <w:rsid w:val="00350FC3"/>
    <w:rsid w:val="00351104"/>
    <w:rsid w:val="00351170"/>
    <w:rsid w:val="003511D5"/>
    <w:rsid w:val="0035129C"/>
    <w:rsid w:val="00351800"/>
    <w:rsid w:val="00352422"/>
    <w:rsid w:val="0035246F"/>
    <w:rsid w:val="0035282C"/>
    <w:rsid w:val="00352B6C"/>
    <w:rsid w:val="00352C87"/>
    <w:rsid w:val="00352F97"/>
    <w:rsid w:val="00352FA3"/>
    <w:rsid w:val="003531A4"/>
    <w:rsid w:val="003531A7"/>
    <w:rsid w:val="00353495"/>
    <w:rsid w:val="003537B5"/>
    <w:rsid w:val="00353B08"/>
    <w:rsid w:val="00353D97"/>
    <w:rsid w:val="00353FA4"/>
    <w:rsid w:val="00353FBA"/>
    <w:rsid w:val="00354085"/>
    <w:rsid w:val="0035415D"/>
    <w:rsid w:val="003542F3"/>
    <w:rsid w:val="003546FE"/>
    <w:rsid w:val="00354B31"/>
    <w:rsid w:val="00354EC7"/>
    <w:rsid w:val="00354F51"/>
    <w:rsid w:val="003551AC"/>
    <w:rsid w:val="0035529B"/>
    <w:rsid w:val="003552AA"/>
    <w:rsid w:val="003553F6"/>
    <w:rsid w:val="003554DD"/>
    <w:rsid w:val="0035560F"/>
    <w:rsid w:val="003557CA"/>
    <w:rsid w:val="0035588E"/>
    <w:rsid w:val="003558E8"/>
    <w:rsid w:val="00355B88"/>
    <w:rsid w:val="00355E2D"/>
    <w:rsid w:val="00356103"/>
    <w:rsid w:val="00356160"/>
    <w:rsid w:val="003562B1"/>
    <w:rsid w:val="0035675A"/>
    <w:rsid w:val="003567DA"/>
    <w:rsid w:val="0035689E"/>
    <w:rsid w:val="0035692A"/>
    <w:rsid w:val="00356948"/>
    <w:rsid w:val="00356964"/>
    <w:rsid w:val="0035698B"/>
    <w:rsid w:val="00356A85"/>
    <w:rsid w:val="00356B47"/>
    <w:rsid w:val="00356CEC"/>
    <w:rsid w:val="00356F4E"/>
    <w:rsid w:val="00357380"/>
    <w:rsid w:val="00357396"/>
    <w:rsid w:val="00357833"/>
    <w:rsid w:val="00357C0B"/>
    <w:rsid w:val="00357C13"/>
    <w:rsid w:val="00357C92"/>
    <w:rsid w:val="00357DE1"/>
    <w:rsid w:val="00360256"/>
    <w:rsid w:val="003602C9"/>
    <w:rsid w:val="003602D9"/>
    <w:rsid w:val="003604CE"/>
    <w:rsid w:val="00360528"/>
    <w:rsid w:val="00360599"/>
    <w:rsid w:val="003605CA"/>
    <w:rsid w:val="003605F8"/>
    <w:rsid w:val="00360698"/>
    <w:rsid w:val="0036078A"/>
    <w:rsid w:val="00360810"/>
    <w:rsid w:val="003608A7"/>
    <w:rsid w:val="0036094E"/>
    <w:rsid w:val="00360BB7"/>
    <w:rsid w:val="00360C6C"/>
    <w:rsid w:val="003611DD"/>
    <w:rsid w:val="003611FF"/>
    <w:rsid w:val="003612F4"/>
    <w:rsid w:val="003613B1"/>
    <w:rsid w:val="003618DD"/>
    <w:rsid w:val="00361A5E"/>
    <w:rsid w:val="00361ADF"/>
    <w:rsid w:val="00361D1E"/>
    <w:rsid w:val="00361D75"/>
    <w:rsid w:val="00361DBF"/>
    <w:rsid w:val="0036206E"/>
    <w:rsid w:val="0036250F"/>
    <w:rsid w:val="00362752"/>
    <w:rsid w:val="00362C1E"/>
    <w:rsid w:val="00362F09"/>
    <w:rsid w:val="00362FB2"/>
    <w:rsid w:val="003630A4"/>
    <w:rsid w:val="0036335F"/>
    <w:rsid w:val="0036352A"/>
    <w:rsid w:val="00363552"/>
    <w:rsid w:val="0036364D"/>
    <w:rsid w:val="003637A5"/>
    <w:rsid w:val="003637D8"/>
    <w:rsid w:val="00363A13"/>
    <w:rsid w:val="00363B9A"/>
    <w:rsid w:val="00363CC4"/>
    <w:rsid w:val="00363D30"/>
    <w:rsid w:val="00363EA7"/>
    <w:rsid w:val="00363F8C"/>
    <w:rsid w:val="003641B4"/>
    <w:rsid w:val="003643D4"/>
    <w:rsid w:val="00364605"/>
    <w:rsid w:val="003646F4"/>
    <w:rsid w:val="00364BB0"/>
    <w:rsid w:val="00364EF9"/>
    <w:rsid w:val="00364F42"/>
    <w:rsid w:val="00364F9A"/>
    <w:rsid w:val="0036532A"/>
    <w:rsid w:val="003653E0"/>
    <w:rsid w:val="0036544F"/>
    <w:rsid w:val="00365680"/>
    <w:rsid w:val="00365696"/>
    <w:rsid w:val="003658CF"/>
    <w:rsid w:val="00365A2B"/>
    <w:rsid w:val="00365B4D"/>
    <w:rsid w:val="00365B95"/>
    <w:rsid w:val="00365D01"/>
    <w:rsid w:val="00365DFB"/>
    <w:rsid w:val="00365EC1"/>
    <w:rsid w:val="00366144"/>
    <w:rsid w:val="003663CC"/>
    <w:rsid w:val="003663F4"/>
    <w:rsid w:val="00366598"/>
    <w:rsid w:val="003665BB"/>
    <w:rsid w:val="00366887"/>
    <w:rsid w:val="00366A06"/>
    <w:rsid w:val="00366D21"/>
    <w:rsid w:val="00366EB4"/>
    <w:rsid w:val="00366FE5"/>
    <w:rsid w:val="00367130"/>
    <w:rsid w:val="0036714A"/>
    <w:rsid w:val="00367303"/>
    <w:rsid w:val="0036744A"/>
    <w:rsid w:val="00367536"/>
    <w:rsid w:val="0036774D"/>
    <w:rsid w:val="00367A5D"/>
    <w:rsid w:val="00367B0D"/>
    <w:rsid w:val="00367BDB"/>
    <w:rsid w:val="00367C65"/>
    <w:rsid w:val="00367F75"/>
    <w:rsid w:val="00370065"/>
    <w:rsid w:val="00370068"/>
    <w:rsid w:val="0037006E"/>
    <w:rsid w:val="00370399"/>
    <w:rsid w:val="0037048F"/>
    <w:rsid w:val="003704EA"/>
    <w:rsid w:val="00370767"/>
    <w:rsid w:val="00370A63"/>
    <w:rsid w:val="00370BF1"/>
    <w:rsid w:val="00370D6F"/>
    <w:rsid w:val="00370E47"/>
    <w:rsid w:val="00371378"/>
    <w:rsid w:val="003713EC"/>
    <w:rsid w:val="0037183E"/>
    <w:rsid w:val="003718C5"/>
    <w:rsid w:val="00371A90"/>
    <w:rsid w:val="00371EC0"/>
    <w:rsid w:val="0037209C"/>
    <w:rsid w:val="003720CA"/>
    <w:rsid w:val="003723B7"/>
    <w:rsid w:val="003728F7"/>
    <w:rsid w:val="0037298B"/>
    <w:rsid w:val="00372BA2"/>
    <w:rsid w:val="00372D01"/>
    <w:rsid w:val="00372F97"/>
    <w:rsid w:val="0037333A"/>
    <w:rsid w:val="00373428"/>
    <w:rsid w:val="00373430"/>
    <w:rsid w:val="0037365E"/>
    <w:rsid w:val="00373705"/>
    <w:rsid w:val="003737A7"/>
    <w:rsid w:val="00373C0E"/>
    <w:rsid w:val="00373E53"/>
    <w:rsid w:val="00373E9B"/>
    <w:rsid w:val="00374034"/>
    <w:rsid w:val="00374161"/>
    <w:rsid w:val="003742AC"/>
    <w:rsid w:val="00374389"/>
    <w:rsid w:val="00374522"/>
    <w:rsid w:val="003746AA"/>
    <w:rsid w:val="003749B1"/>
    <w:rsid w:val="00374B12"/>
    <w:rsid w:val="00374BC4"/>
    <w:rsid w:val="00374E34"/>
    <w:rsid w:val="00375193"/>
    <w:rsid w:val="00375736"/>
    <w:rsid w:val="003758BA"/>
    <w:rsid w:val="003758CB"/>
    <w:rsid w:val="0037590B"/>
    <w:rsid w:val="00375910"/>
    <w:rsid w:val="003759A0"/>
    <w:rsid w:val="00375CE8"/>
    <w:rsid w:val="00375E9E"/>
    <w:rsid w:val="00375FD3"/>
    <w:rsid w:val="0037616E"/>
    <w:rsid w:val="0037656D"/>
    <w:rsid w:val="00376843"/>
    <w:rsid w:val="00376846"/>
    <w:rsid w:val="00376B76"/>
    <w:rsid w:val="00376BEA"/>
    <w:rsid w:val="00376C6A"/>
    <w:rsid w:val="00376F43"/>
    <w:rsid w:val="003770E2"/>
    <w:rsid w:val="00377372"/>
    <w:rsid w:val="0037773B"/>
    <w:rsid w:val="003777D2"/>
    <w:rsid w:val="00377C6C"/>
    <w:rsid w:val="00377CE1"/>
    <w:rsid w:val="00377D22"/>
    <w:rsid w:val="00377E7C"/>
    <w:rsid w:val="003802FC"/>
    <w:rsid w:val="00380314"/>
    <w:rsid w:val="00380341"/>
    <w:rsid w:val="00380409"/>
    <w:rsid w:val="00380782"/>
    <w:rsid w:val="0038084F"/>
    <w:rsid w:val="0038088B"/>
    <w:rsid w:val="00380EE5"/>
    <w:rsid w:val="00380F15"/>
    <w:rsid w:val="00380F93"/>
    <w:rsid w:val="00381020"/>
    <w:rsid w:val="003811DF"/>
    <w:rsid w:val="003813AD"/>
    <w:rsid w:val="003814E3"/>
    <w:rsid w:val="003814F5"/>
    <w:rsid w:val="00381505"/>
    <w:rsid w:val="0038156E"/>
    <w:rsid w:val="003819C2"/>
    <w:rsid w:val="00381A60"/>
    <w:rsid w:val="00381AEA"/>
    <w:rsid w:val="00381B77"/>
    <w:rsid w:val="00381BA9"/>
    <w:rsid w:val="00381BBA"/>
    <w:rsid w:val="00381FEB"/>
    <w:rsid w:val="00382028"/>
    <w:rsid w:val="003820CE"/>
    <w:rsid w:val="0038211B"/>
    <w:rsid w:val="00382386"/>
    <w:rsid w:val="00382929"/>
    <w:rsid w:val="003829DB"/>
    <w:rsid w:val="00382A23"/>
    <w:rsid w:val="00382A26"/>
    <w:rsid w:val="00382A32"/>
    <w:rsid w:val="00382C52"/>
    <w:rsid w:val="00382D16"/>
    <w:rsid w:val="00382E75"/>
    <w:rsid w:val="00382FA5"/>
    <w:rsid w:val="003831DE"/>
    <w:rsid w:val="00383257"/>
    <w:rsid w:val="003833CA"/>
    <w:rsid w:val="00383E62"/>
    <w:rsid w:val="00383FE7"/>
    <w:rsid w:val="00384020"/>
    <w:rsid w:val="0038419B"/>
    <w:rsid w:val="003843D9"/>
    <w:rsid w:val="00384413"/>
    <w:rsid w:val="003844A0"/>
    <w:rsid w:val="00384523"/>
    <w:rsid w:val="00384589"/>
    <w:rsid w:val="00384B1D"/>
    <w:rsid w:val="00384B9D"/>
    <w:rsid w:val="00384D77"/>
    <w:rsid w:val="00385286"/>
    <w:rsid w:val="0038529E"/>
    <w:rsid w:val="00385539"/>
    <w:rsid w:val="00385995"/>
    <w:rsid w:val="003859DE"/>
    <w:rsid w:val="00385B7B"/>
    <w:rsid w:val="00385BF0"/>
    <w:rsid w:val="00385D2C"/>
    <w:rsid w:val="00385D91"/>
    <w:rsid w:val="003861C7"/>
    <w:rsid w:val="0038625A"/>
    <w:rsid w:val="00386371"/>
    <w:rsid w:val="003864CB"/>
    <w:rsid w:val="00386628"/>
    <w:rsid w:val="0038686F"/>
    <w:rsid w:val="003868A5"/>
    <w:rsid w:val="00386A4A"/>
    <w:rsid w:val="00386BD4"/>
    <w:rsid w:val="00386C10"/>
    <w:rsid w:val="00386D33"/>
    <w:rsid w:val="00386EE7"/>
    <w:rsid w:val="00386FFB"/>
    <w:rsid w:val="00387050"/>
    <w:rsid w:val="00387222"/>
    <w:rsid w:val="00387507"/>
    <w:rsid w:val="0038762F"/>
    <w:rsid w:val="0038765B"/>
    <w:rsid w:val="00387697"/>
    <w:rsid w:val="0038775F"/>
    <w:rsid w:val="00387888"/>
    <w:rsid w:val="0038799A"/>
    <w:rsid w:val="003879B3"/>
    <w:rsid w:val="00387A0A"/>
    <w:rsid w:val="00387A8B"/>
    <w:rsid w:val="00387D17"/>
    <w:rsid w:val="00387DE8"/>
    <w:rsid w:val="00390075"/>
    <w:rsid w:val="003900BB"/>
    <w:rsid w:val="00390226"/>
    <w:rsid w:val="00390303"/>
    <w:rsid w:val="0039039D"/>
    <w:rsid w:val="0039057A"/>
    <w:rsid w:val="003908D9"/>
    <w:rsid w:val="00390A16"/>
    <w:rsid w:val="00390A79"/>
    <w:rsid w:val="00390AD8"/>
    <w:rsid w:val="00390C82"/>
    <w:rsid w:val="00390E41"/>
    <w:rsid w:val="00391322"/>
    <w:rsid w:val="00391505"/>
    <w:rsid w:val="00391509"/>
    <w:rsid w:val="00391536"/>
    <w:rsid w:val="00391960"/>
    <w:rsid w:val="00391CD4"/>
    <w:rsid w:val="00391D1E"/>
    <w:rsid w:val="00391E86"/>
    <w:rsid w:val="00391F80"/>
    <w:rsid w:val="00392009"/>
    <w:rsid w:val="003920C9"/>
    <w:rsid w:val="003921BB"/>
    <w:rsid w:val="003923C4"/>
    <w:rsid w:val="00392458"/>
    <w:rsid w:val="0039272B"/>
    <w:rsid w:val="003927FB"/>
    <w:rsid w:val="00392878"/>
    <w:rsid w:val="00392C0C"/>
    <w:rsid w:val="00392CAE"/>
    <w:rsid w:val="00392D7B"/>
    <w:rsid w:val="00393297"/>
    <w:rsid w:val="0039336E"/>
    <w:rsid w:val="003933F8"/>
    <w:rsid w:val="0039357C"/>
    <w:rsid w:val="00393999"/>
    <w:rsid w:val="003939FF"/>
    <w:rsid w:val="00393BD0"/>
    <w:rsid w:val="00393C12"/>
    <w:rsid w:val="0039418B"/>
    <w:rsid w:val="0039422D"/>
    <w:rsid w:val="00394268"/>
    <w:rsid w:val="0039428B"/>
    <w:rsid w:val="003942CF"/>
    <w:rsid w:val="003946F6"/>
    <w:rsid w:val="00394926"/>
    <w:rsid w:val="00394B9D"/>
    <w:rsid w:val="00394BED"/>
    <w:rsid w:val="00394C3E"/>
    <w:rsid w:val="00394E63"/>
    <w:rsid w:val="0039507A"/>
    <w:rsid w:val="00395203"/>
    <w:rsid w:val="00395214"/>
    <w:rsid w:val="0039567D"/>
    <w:rsid w:val="003957FB"/>
    <w:rsid w:val="0039593A"/>
    <w:rsid w:val="00395964"/>
    <w:rsid w:val="0039599A"/>
    <w:rsid w:val="00395C75"/>
    <w:rsid w:val="00395CAD"/>
    <w:rsid w:val="00395F44"/>
    <w:rsid w:val="00396217"/>
    <w:rsid w:val="0039632D"/>
    <w:rsid w:val="0039653E"/>
    <w:rsid w:val="00396753"/>
    <w:rsid w:val="00396BAB"/>
    <w:rsid w:val="00396DA9"/>
    <w:rsid w:val="00396DC1"/>
    <w:rsid w:val="003970FA"/>
    <w:rsid w:val="0039712C"/>
    <w:rsid w:val="003971F8"/>
    <w:rsid w:val="003972AD"/>
    <w:rsid w:val="0039734B"/>
    <w:rsid w:val="00397642"/>
    <w:rsid w:val="00397678"/>
    <w:rsid w:val="00397828"/>
    <w:rsid w:val="00397885"/>
    <w:rsid w:val="00397B8F"/>
    <w:rsid w:val="00397BA1"/>
    <w:rsid w:val="00397CA4"/>
    <w:rsid w:val="00397D02"/>
    <w:rsid w:val="00397E2C"/>
    <w:rsid w:val="00397E43"/>
    <w:rsid w:val="00397EDD"/>
    <w:rsid w:val="003A044C"/>
    <w:rsid w:val="003A087B"/>
    <w:rsid w:val="003A08BF"/>
    <w:rsid w:val="003A0B3E"/>
    <w:rsid w:val="003A0BA8"/>
    <w:rsid w:val="003A0D8E"/>
    <w:rsid w:val="003A0DB3"/>
    <w:rsid w:val="003A1423"/>
    <w:rsid w:val="003A174D"/>
    <w:rsid w:val="003A1932"/>
    <w:rsid w:val="003A1AC8"/>
    <w:rsid w:val="003A1BA5"/>
    <w:rsid w:val="003A214E"/>
    <w:rsid w:val="003A21F9"/>
    <w:rsid w:val="003A2208"/>
    <w:rsid w:val="003A2223"/>
    <w:rsid w:val="003A27EA"/>
    <w:rsid w:val="003A2A0F"/>
    <w:rsid w:val="003A2AEB"/>
    <w:rsid w:val="003A2B2A"/>
    <w:rsid w:val="003A2B63"/>
    <w:rsid w:val="003A2D9E"/>
    <w:rsid w:val="003A3076"/>
    <w:rsid w:val="003A30AF"/>
    <w:rsid w:val="003A3344"/>
    <w:rsid w:val="003A3487"/>
    <w:rsid w:val="003A35D2"/>
    <w:rsid w:val="003A3694"/>
    <w:rsid w:val="003A39B2"/>
    <w:rsid w:val="003A3A01"/>
    <w:rsid w:val="003A3A4D"/>
    <w:rsid w:val="003A3F0A"/>
    <w:rsid w:val="003A4121"/>
    <w:rsid w:val="003A42EF"/>
    <w:rsid w:val="003A44CF"/>
    <w:rsid w:val="003A45A1"/>
    <w:rsid w:val="003A45D0"/>
    <w:rsid w:val="003A466C"/>
    <w:rsid w:val="003A48B5"/>
    <w:rsid w:val="003A4A59"/>
    <w:rsid w:val="003A4C0F"/>
    <w:rsid w:val="003A4D09"/>
    <w:rsid w:val="003A4E9A"/>
    <w:rsid w:val="003A500A"/>
    <w:rsid w:val="003A512C"/>
    <w:rsid w:val="003A5272"/>
    <w:rsid w:val="003A5293"/>
    <w:rsid w:val="003A5318"/>
    <w:rsid w:val="003A560C"/>
    <w:rsid w:val="003A583A"/>
    <w:rsid w:val="003A5B0A"/>
    <w:rsid w:val="003A5BA3"/>
    <w:rsid w:val="003A5D3C"/>
    <w:rsid w:val="003A601B"/>
    <w:rsid w:val="003A6055"/>
    <w:rsid w:val="003A6073"/>
    <w:rsid w:val="003A60E3"/>
    <w:rsid w:val="003A61AE"/>
    <w:rsid w:val="003A6491"/>
    <w:rsid w:val="003A66B3"/>
    <w:rsid w:val="003A66BE"/>
    <w:rsid w:val="003A672F"/>
    <w:rsid w:val="003A6735"/>
    <w:rsid w:val="003A6987"/>
    <w:rsid w:val="003A69F2"/>
    <w:rsid w:val="003A6A91"/>
    <w:rsid w:val="003A6B75"/>
    <w:rsid w:val="003A6BAC"/>
    <w:rsid w:val="003A6D79"/>
    <w:rsid w:val="003A7092"/>
    <w:rsid w:val="003A70A4"/>
    <w:rsid w:val="003A70DB"/>
    <w:rsid w:val="003A71EE"/>
    <w:rsid w:val="003A7272"/>
    <w:rsid w:val="003A72C5"/>
    <w:rsid w:val="003A73CA"/>
    <w:rsid w:val="003A757F"/>
    <w:rsid w:val="003A7580"/>
    <w:rsid w:val="003A781A"/>
    <w:rsid w:val="003A78E2"/>
    <w:rsid w:val="003A7B9D"/>
    <w:rsid w:val="003A7C0F"/>
    <w:rsid w:val="003A7D3A"/>
    <w:rsid w:val="003A7D8E"/>
    <w:rsid w:val="003A7EF3"/>
    <w:rsid w:val="003A7F95"/>
    <w:rsid w:val="003A7FC5"/>
    <w:rsid w:val="003B00B1"/>
    <w:rsid w:val="003B0187"/>
    <w:rsid w:val="003B038D"/>
    <w:rsid w:val="003B038F"/>
    <w:rsid w:val="003B0761"/>
    <w:rsid w:val="003B0AE0"/>
    <w:rsid w:val="003B0D71"/>
    <w:rsid w:val="003B0DD9"/>
    <w:rsid w:val="003B0DFF"/>
    <w:rsid w:val="003B10AF"/>
    <w:rsid w:val="003B1159"/>
    <w:rsid w:val="003B127B"/>
    <w:rsid w:val="003B1318"/>
    <w:rsid w:val="003B1507"/>
    <w:rsid w:val="003B159C"/>
    <w:rsid w:val="003B19F4"/>
    <w:rsid w:val="003B1D57"/>
    <w:rsid w:val="003B2805"/>
    <w:rsid w:val="003B2F8D"/>
    <w:rsid w:val="003B301E"/>
    <w:rsid w:val="003B369F"/>
    <w:rsid w:val="003B36A3"/>
    <w:rsid w:val="003B3A18"/>
    <w:rsid w:val="003B3C75"/>
    <w:rsid w:val="003B3C9F"/>
    <w:rsid w:val="003B3D11"/>
    <w:rsid w:val="003B3D2D"/>
    <w:rsid w:val="003B3DB6"/>
    <w:rsid w:val="003B43C1"/>
    <w:rsid w:val="003B4726"/>
    <w:rsid w:val="003B4747"/>
    <w:rsid w:val="003B4849"/>
    <w:rsid w:val="003B4874"/>
    <w:rsid w:val="003B4A14"/>
    <w:rsid w:val="003B4C26"/>
    <w:rsid w:val="003B4F98"/>
    <w:rsid w:val="003B5180"/>
    <w:rsid w:val="003B521B"/>
    <w:rsid w:val="003B5288"/>
    <w:rsid w:val="003B5344"/>
    <w:rsid w:val="003B5895"/>
    <w:rsid w:val="003B5979"/>
    <w:rsid w:val="003B5A76"/>
    <w:rsid w:val="003B5D62"/>
    <w:rsid w:val="003B5DC1"/>
    <w:rsid w:val="003B5E68"/>
    <w:rsid w:val="003B624B"/>
    <w:rsid w:val="003B6414"/>
    <w:rsid w:val="003B64BB"/>
    <w:rsid w:val="003B660C"/>
    <w:rsid w:val="003B6960"/>
    <w:rsid w:val="003B6A5D"/>
    <w:rsid w:val="003B6D76"/>
    <w:rsid w:val="003B6E8F"/>
    <w:rsid w:val="003B6EAE"/>
    <w:rsid w:val="003B76D2"/>
    <w:rsid w:val="003B79AA"/>
    <w:rsid w:val="003B7C95"/>
    <w:rsid w:val="003B7DF3"/>
    <w:rsid w:val="003B7EAE"/>
    <w:rsid w:val="003B7FC9"/>
    <w:rsid w:val="003B7FE5"/>
    <w:rsid w:val="003C039E"/>
    <w:rsid w:val="003C06DC"/>
    <w:rsid w:val="003C094B"/>
    <w:rsid w:val="003C0ADF"/>
    <w:rsid w:val="003C0C5E"/>
    <w:rsid w:val="003C0DB0"/>
    <w:rsid w:val="003C0E9B"/>
    <w:rsid w:val="003C0FD5"/>
    <w:rsid w:val="003C1093"/>
    <w:rsid w:val="003C11C8"/>
    <w:rsid w:val="003C1244"/>
    <w:rsid w:val="003C13A9"/>
    <w:rsid w:val="003C1455"/>
    <w:rsid w:val="003C14B5"/>
    <w:rsid w:val="003C172F"/>
    <w:rsid w:val="003C18FA"/>
    <w:rsid w:val="003C1A79"/>
    <w:rsid w:val="003C222E"/>
    <w:rsid w:val="003C249D"/>
    <w:rsid w:val="003C24F2"/>
    <w:rsid w:val="003C253A"/>
    <w:rsid w:val="003C2702"/>
    <w:rsid w:val="003C2761"/>
    <w:rsid w:val="003C27FD"/>
    <w:rsid w:val="003C2836"/>
    <w:rsid w:val="003C28AF"/>
    <w:rsid w:val="003C2A33"/>
    <w:rsid w:val="003C2EB2"/>
    <w:rsid w:val="003C3791"/>
    <w:rsid w:val="003C37A5"/>
    <w:rsid w:val="003C37D7"/>
    <w:rsid w:val="003C3E83"/>
    <w:rsid w:val="003C3F72"/>
    <w:rsid w:val="003C453E"/>
    <w:rsid w:val="003C483E"/>
    <w:rsid w:val="003C4A77"/>
    <w:rsid w:val="003C4E4E"/>
    <w:rsid w:val="003C4ECE"/>
    <w:rsid w:val="003C4F64"/>
    <w:rsid w:val="003C4FF7"/>
    <w:rsid w:val="003C53B1"/>
    <w:rsid w:val="003C58F5"/>
    <w:rsid w:val="003C5A86"/>
    <w:rsid w:val="003C5E1E"/>
    <w:rsid w:val="003C5E85"/>
    <w:rsid w:val="003C62CF"/>
    <w:rsid w:val="003C6338"/>
    <w:rsid w:val="003C65FC"/>
    <w:rsid w:val="003C6605"/>
    <w:rsid w:val="003C662D"/>
    <w:rsid w:val="003C6927"/>
    <w:rsid w:val="003C6979"/>
    <w:rsid w:val="003C6C3D"/>
    <w:rsid w:val="003C6C4D"/>
    <w:rsid w:val="003C6D81"/>
    <w:rsid w:val="003C6D8B"/>
    <w:rsid w:val="003C6E31"/>
    <w:rsid w:val="003C6E9D"/>
    <w:rsid w:val="003C739F"/>
    <w:rsid w:val="003C74F1"/>
    <w:rsid w:val="003C74F3"/>
    <w:rsid w:val="003C777E"/>
    <w:rsid w:val="003C7806"/>
    <w:rsid w:val="003C790D"/>
    <w:rsid w:val="003C7BE9"/>
    <w:rsid w:val="003C7DA8"/>
    <w:rsid w:val="003C7E98"/>
    <w:rsid w:val="003C7F34"/>
    <w:rsid w:val="003D00A8"/>
    <w:rsid w:val="003D019B"/>
    <w:rsid w:val="003D0307"/>
    <w:rsid w:val="003D0488"/>
    <w:rsid w:val="003D0D3A"/>
    <w:rsid w:val="003D0D51"/>
    <w:rsid w:val="003D109F"/>
    <w:rsid w:val="003D12C2"/>
    <w:rsid w:val="003D154A"/>
    <w:rsid w:val="003D15EC"/>
    <w:rsid w:val="003D1DB4"/>
    <w:rsid w:val="003D2094"/>
    <w:rsid w:val="003D2183"/>
    <w:rsid w:val="003D2353"/>
    <w:rsid w:val="003D2478"/>
    <w:rsid w:val="003D24B6"/>
    <w:rsid w:val="003D2638"/>
    <w:rsid w:val="003D271B"/>
    <w:rsid w:val="003D2764"/>
    <w:rsid w:val="003D2BE8"/>
    <w:rsid w:val="003D2C93"/>
    <w:rsid w:val="003D2E38"/>
    <w:rsid w:val="003D2E5D"/>
    <w:rsid w:val="003D308A"/>
    <w:rsid w:val="003D30BB"/>
    <w:rsid w:val="003D3186"/>
    <w:rsid w:val="003D3398"/>
    <w:rsid w:val="003D34B6"/>
    <w:rsid w:val="003D3520"/>
    <w:rsid w:val="003D368A"/>
    <w:rsid w:val="003D37A3"/>
    <w:rsid w:val="003D396D"/>
    <w:rsid w:val="003D3B66"/>
    <w:rsid w:val="003D3C45"/>
    <w:rsid w:val="003D3CAF"/>
    <w:rsid w:val="003D3E7C"/>
    <w:rsid w:val="003D40D5"/>
    <w:rsid w:val="003D40E9"/>
    <w:rsid w:val="003D40F2"/>
    <w:rsid w:val="003D41B1"/>
    <w:rsid w:val="003D44CB"/>
    <w:rsid w:val="003D4819"/>
    <w:rsid w:val="003D4932"/>
    <w:rsid w:val="003D4C46"/>
    <w:rsid w:val="003D4E7D"/>
    <w:rsid w:val="003D5067"/>
    <w:rsid w:val="003D5268"/>
    <w:rsid w:val="003D56EC"/>
    <w:rsid w:val="003D5858"/>
    <w:rsid w:val="003D5B1F"/>
    <w:rsid w:val="003D5B42"/>
    <w:rsid w:val="003D5B60"/>
    <w:rsid w:val="003D5C73"/>
    <w:rsid w:val="003D5E31"/>
    <w:rsid w:val="003D6149"/>
    <w:rsid w:val="003D62E5"/>
    <w:rsid w:val="003D6589"/>
    <w:rsid w:val="003D676F"/>
    <w:rsid w:val="003D6A02"/>
    <w:rsid w:val="003D6B94"/>
    <w:rsid w:val="003D7055"/>
    <w:rsid w:val="003D706B"/>
    <w:rsid w:val="003D70E2"/>
    <w:rsid w:val="003D7111"/>
    <w:rsid w:val="003D7225"/>
    <w:rsid w:val="003D729A"/>
    <w:rsid w:val="003D741F"/>
    <w:rsid w:val="003D75BA"/>
    <w:rsid w:val="003D75C8"/>
    <w:rsid w:val="003D75D2"/>
    <w:rsid w:val="003D7892"/>
    <w:rsid w:val="003D7904"/>
    <w:rsid w:val="003D7911"/>
    <w:rsid w:val="003D7B22"/>
    <w:rsid w:val="003D7B91"/>
    <w:rsid w:val="003D7C58"/>
    <w:rsid w:val="003D7D5D"/>
    <w:rsid w:val="003D7F35"/>
    <w:rsid w:val="003D7F36"/>
    <w:rsid w:val="003D7F3B"/>
    <w:rsid w:val="003E0276"/>
    <w:rsid w:val="003E02AD"/>
    <w:rsid w:val="003E054B"/>
    <w:rsid w:val="003E09F8"/>
    <w:rsid w:val="003E0E21"/>
    <w:rsid w:val="003E0E40"/>
    <w:rsid w:val="003E0ED1"/>
    <w:rsid w:val="003E0F10"/>
    <w:rsid w:val="003E10BF"/>
    <w:rsid w:val="003E111D"/>
    <w:rsid w:val="003E121C"/>
    <w:rsid w:val="003E12AF"/>
    <w:rsid w:val="003E12ED"/>
    <w:rsid w:val="003E1377"/>
    <w:rsid w:val="003E13EB"/>
    <w:rsid w:val="003E15FA"/>
    <w:rsid w:val="003E17A1"/>
    <w:rsid w:val="003E1AFC"/>
    <w:rsid w:val="003E1B6C"/>
    <w:rsid w:val="003E1BA4"/>
    <w:rsid w:val="003E209F"/>
    <w:rsid w:val="003E231B"/>
    <w:rsid w:val="003E274A"/>
    <w:rsid w:val="003E27D8"/>
    <w:rsid w:val="003E2837"/>
    <w:rsid w:val="003E2920"/>
    <w:rsid w:val="003E2B14"/>
    <w:rsid w:val="003E2C05"/>
    <w:rsid w:val="003E2E2A"/>
    <w:rsid w:val="003E3290"/>
    <w:rsid w:val="003E3817"/>
    <w:rsid w:val="003E3977"/>
    <w:rsid w:val="003E3C0B"/>
    <w:rsid w:val="003E3CA0"/>
    <w:rsid w:val="003E3EBC"/>
    <w:rsid w:val="003E3F45"/>
    <w:rsid w:val="003E4078"/>
    <w:rsid w:val="003E4205"/>
    <w:rsid w:val="003E428D"/>
    <w:rsid w:val="003E485D"/>
    <w:rsid w:val="003E4A2A"/>
    <w:rsid w:val="003E4CE5"/>
    <w:rsid w:val="003E4DDC"/>
    <w:rsid w:val="003E4F4C"/>
    <w:rsid w:val="003E4F59"/>
    <w:rsid w:val="003E4FEE"/>
    <w:rsid w:val="003E513B"/>
    <w:rsid w:val="003E51F6"/>
    <w:rsid w:val="003E5282"/>
    <w:rsid w:val="003E5591"/>
    <w:rsid w:val="003E55E4"/>
    <w:rsid w:val="003E561A"/>
    <w:rsid w:val="003E607E"/>
    <w:rsid w:val="003E6102"/>
    <w:rsid w:val="003E6185"/>
    <w:rsid w:val="003E61A2"/>
    <w:rsid w:val="003E61AD"/>
    <w:rsid w:val="003E66F2"/>
    <w:rsid w:val="003E6887"/>
    <w:rsid w:val="003E6956"/>
    <w:rsid w:val="003E6D77"/>
    <w:rsid w:val="003E6DFC"/>
    <w:rsid w:val="003E6F05"/>
    <w:rsid w:val="003E74E3"/>
    <w:rsid w:val="003E7692"/>
    <w:rsid w:val="003E76FC"/>
    <w:rsid w:val="003E7A63"/>
    <w:rsid w:val="003E7CCE"/>
    <w:rsid w:val="003E7D4D"/>
    <w:rsid w:val="003E7D8B"/>
    <w:rsid w:val="003E7DEF"/>
    <w:rsid w:val="003E7EDE"/>
    <w:rsid w:val="003F0084"/>
    <w:rsid w:val="003F0149"/>
    <w:rsid w:val="003F020E"/>
    <w:rsid w:val="003F02AA"/>
    <w:rsid w:val="003F0370"/>
    <w:rsid w:val="003F0379"/>
    <w:rsid w:val="003F05C7"/>
    <w:rsid w:val="003F11AD"/>
    <w:rsid w:val="003F148E"/>
    <w:rsid w:val="003F14C6"/>
    <w:rsid w:val="003F14F2"/>
    <w:rsid w:val="003F15CD"/>
    <w:rsid w:val="003F16EA"/>
    <w:rsid w:val="003F1853"/>
    <w:rsid w:val="003F1898"/>
    <w:rsid w:val="003F198C"/>
    <w:rsid w:val="003F1B81"/>
    <w:rsid w:val="003F1CA6"/>
    <w:rsid w:val="003F20DC"/>
    <w:rsid w:val="003F26A3"/>
    <w:rsid w:val="003F26B9"/>
    <w:rsid w:val="003F2743"/>
    <w:rsid w:val="003F27F4"/>
    <w:rsid w:val="003F290D"/>
    <w:rsid w:val="003F2AA9"/>
    <w:rsid w:val="003F2B96"/>
    <w:rsid w:val="003F2CD4"/>
    <w:rsid w:val="003F2D3D"/>
    <w:rsid w:val="003F33D8"/>
    <w:rsid w:val="003F35AD"/>
    <w:rsid w:val="003F35FD"/>
    <w:rsid w:val="003F3610"/>
    <w:rsid w:val="003F383D"/>
    <w:rsid w:val="003F387A"/>
    <w:rsid w:val="003F3D3A"/>
    <w:rsid w:val="003F41B7"/>
    <w:rsid w:val="003F42ED"/>
    <w:rsid w:val="003F4425"/>
    <w:rsid w:val="003F468E"/>
    <w:rsid w:val="003F475F"/>
    <w:rsid w:val="003F4914"/>
    <w:rsid w:val="003F4B1E"/>
    <w:rsid w:val="003F4B69"/>
    <w:rsid w:val="003F4DF3"/>
    <w:rsid w:val="003F5331"/>
    <w:rsid w:val="003F5538"/>
    <w:rsid w:val="003F573A"/>
    <w:rsid w:val="003F59FE"/>
    <w:rsid w:val="003F5CB0"/>
    <w:rsid w:val="003F5D51"/>
    <w:rsid w:val="003F5DC6"/>
    <w:rsid w:val="003F5DFA"/>
    <w:rsid w:val="003F5F76"/>
    <w:rsid w:val="003F6264"/>
    <w:rsid w:val="003F64B7"/>
    <w:rsid w:val="003F6621"/>
    <w:rsid w:val="003F69EB"/>
    <w:rsid w:val="003F6BBE"/>
    <w:rsid w:val="003F6C7E"/>
    <w:rsid w:val="003F6E34"/>
    <w:rsid w:val="003F6E68"/>
    <w:rsid w:val="003F7010"/>
    <w:rsid w:val="003F70B4"/>
    <w:rsid w:val="003F73C2"/>
    <w:rsid w:val="003F75D1"/>
    <w:rsid w:val="003F75D7"/>
    <w:rsid w:val="003F7670"/>
    <w:rsid w:val="003F78FE"/>
    <w:rsid w:val="003F7A9C"/>
    <w:rsid w:val="003F7B7A"/>
    <w:rsid w:val="003F7BD8"/>
    <w:rsid w:val="003F7DFE"/>
    <w:rsid w:val="003F7E98"/>
    <w:rsid w:val="004000E6"/>
    <w:rsid w:val="004000E8"/>
    <w:rsid w:val="00400494"/>
    <w:rsid w:val="004005AA"/>
    <w:rsid w:val="004005CC"/>
    <w:rsid w:val="00400882"/>
    <w:rsid w:val="004008AC"/>
    <w:rsid w:val="00400B93"/>
    <w:rsid w:val="00400CCA"/>
    <w:rsid w:val="00400E07"/>
    <w:rsid w:val="00401049"/>
    <w:rsid w:val="0040106F"/>
    <w:rsid w:val="004011AA"/>
    <w:rsid w:val="00401297"/>
    <w:rsid w:val="00401384"/>
    <w:rsid w:val="00401561"/>
    <w:rsid w:val="00401639"/>
    <w:rsid w:val="004016AB"/>
    <w:rsid w:val="00401905"/>
    <w:rsid w:val="004019CD"/>
    <w:rsid w:val="00401BA7"/>
    <w:rsid w:val="00401FBC"/>
    <w:rsid w:val="00402022"/>
    <w:rsid w:val="00402198"/>
    <w:rsid w:val="00402378"/>
    <w:rsid w:val="004023DA"/>
    <w:rsid w:val="004028DF"/>
    <w:rsid w:val="00402CCC"/>
    <w:rsid w:val="00402E2B"/>
    <w:rsid w:val="00402FE9"/>
    <w:rsid w:val="0040317B"/>
    <w:rsid w:val="004031A0"/>
    <w:rsid w:val="0040343B"/>
    <w:rsid w:val="004034A7"/>
    <w:rsid w:val="004034D3"/>
    <w:rsid w:val="00403786"/>
    <w:rsid w:val="0040381D"/>
    <w:rsid w:val="00403B4F"/>
    <w:rsid w:val="00403DDD"/>
    <w:rsid w:val="00403E92"/>
    <w:rsid w:val="0040426D"/>
    <w:rsid w:val="00404468"/>
    <w:rsid w:val="004045AB"/>
    <w:rsid w:val="004047E7"/>
    <w:rsid w:val="00404B36"/>
    <w:rsid w:val="00404DF0"/>
    <w:rsid w:val="00404EAB"/>
    <w:rsid w:val="00405013"/>
    <w:rsid w:val="004050F4"/>
    <w:rsid w:val="00405120"/>
    <w:rsid w:val="0040512B"/>
    <w:rsid w:val="00405249"/>
    <w:rsid w:val="0040530F"/>
    <w:rsid w:val="0040540B"/>
    <w:rsid w:val="004058DB"/>
    <w:rsid w:val="00405CA5"/>
    <w:rsid w:val="00405D08"/>
    <w:rsid w:val="00405DFF"/>
    <w:rsid w:val="00406059"/>
    <w:rsid w:val="00406177"/>
    <w:rsid w:val="0040617F"/>
    <w:rsid w:val="00406250"/>
    <w:rsid w:val="004062F3"/>
    <w:rsid w:val="0040645F"/>
    <w:rsid w:val="00406586"/>
    <w:rsid w:val="004065C0"/>
    <w:rsid w:val="0040665E"/>
    <w:rsid w:val="004068CE"/>
    <w:rsid w:val="00406DC7"/>
    <w:rsid w:val="00406F02"/>
    <w:rsid w:val="00407112"/>
    <w:rsid w:val="0040742E"/>
    <w:rsid w:val="004079B7"/>
    <w:rsid w:val="00407BCC"/>
    <w:rsid w:val="00407C1A"/>
    <w:rsid w:val="00407C84"/>
    <w:rsid w:val="00407CD3"/>
    <w:rsid w:val="00407D5F"/>
    <w:rsid w:val="00407D69"/>
    <w:rsid w:val="00407DBF"/>
    <w:rsid w:val="00407DCE"/>
    <w:rsid w:val="00407FA8"/>
    <w:rsid w:val="00407FD7"/>
    <w:rsid w:val="00410134"/>
    <w:rsid w:val="00410164"/>
    <w:rsid w:val="004103B5"/>
    <w:rsid w:val="00410655"/>
    <w:rsid w:val="00410666"/>
    <w:rsid w:val="004106A2"/>
    <w:rsid w:val="00410710"/>
    <w:rsid w:val="004107B3"/>
    <w:rsid w:val="004108BB"/>
    <w:rsid w:val="00410A49"/>
    <w:rsid w:val="00410B72"/>
    <w:rsid w:val="00410BDA"/>
    <w:rsid w:val="00410DD7"/>
    <w:rsid w:val="00410F18"/>
    <w:rsid w:val="00410F42"/>
    <w:rsid w:val="004110B6"/>
    <w:rsid w:val="0041122C"/>
    <w:rsid w:val="0041133F"/>
    <w:rsid w:val="004115A0"/>
    <w:rsid w:val="004116EA"/>
    <w:rsid w:val="00411927"/>
    <w:rsid w:val="004119A2"/>
    <w:rsid w:val="00411D44"/>
    <w:rsid w:val="00411E97"/>
    <w:rsid w:val="00411EFF"/>
    <w:rsid w:val="00411F89"/>
    <w:rsid w:val="00412478"/>
    <w:rsid w:val="00412485"/>
    <w:rsid w:val="00412491"/>
    <w:rsid w:val="004124FC"/>
    <w:rsid w:val="004124FF"/>
    <w:rsid w:val="00412555"/>
    <w:rsid w:val="00412630"/>
    <w:rsid w:val="0041263E"/>
    <w:rsid w:val="00412821"/>
    <w:rsid w:val="00412871"/>
    <w:rsid w:val="00412AA8"/>
    <w:rsid w:val="00412C1E"/>
    <w:rsid w:val="00412D20"/>
    <w:rsid w:val="004130CB"/>
    <w:rsid w:val="00413197"/>
    <w:rsid w:val="00413AAC"/>
    <w:rsid w:val="00413CE8"/>
    <w:rsid w:val="00413DDD"/>
    <w:rsid w:val="00413DF3"/>
    <w:rsid w:val="00413E92"/>
    <w:rsid w:val="00413F1D"/>
    <w:rsid w:val="00413F3B"/>
    <w:rsid w:val="004145D4"/>
    <w:rsid w:val="00414638"/>
    <w:rsid w:val="00414649"/>
    <w:rsid w:val="004147F7"/>
    <w:rsid w:val="004149D8"/>
    <w:rsid w:val="00414D31"/>
    <w:rsid w:val="00414DDB"/>
    <w:rsid w:val="004150E6"/>
    <w:rsid w:val="004151D0"/>
    <w:rsid w:val="00415434"/>
    <w:rsid w:val="00415723"/>
    <w:rsid w:val="004157FD"/>
    <w:rsid w:val="00415836"/>
    <w:rsid w:val="004159FC"/>
    <w:rsid w:val="00415D7E"/>
    <w:rsid w:val="00415E45"/>
    <w:rsid w:val="004160AB"/>
    <w:rsid w:val="00416849"/>
    <w:rsid w:val="00416A17"/>
    <w:rsid w:val="00416AED"/>
    <w:rsid w:val="00416C2F"/>
    <w:rsid w:val="00416D1C"/>
    <w:rsid w:val="00416DE2"/>
    <w:rsid w:val="0041703F"/>
    <w:rsid w:val="00417099"/>
    <w:rsid w:val="004170E1"/>
    <w:rsid w:val="0041733B"/>
    <w:rsid w:val="00417787"/>
    <w:rsid w:val="004177F9"/>
    <w:rsid w:val="004179C8"/>
    <w:rsid w:val="004179CC"/>
    <w:rsid w:val="00417B7D"/>
    <w:rsid w:val="00417FD7"/>
    <w:rsid w:val="004201B2"/>
    <w:rsid w:val="004204A8"/>
    <w:rsid w:val="004204C8"/>
    <w:rsid w:val="004204DE"/>
    <w:rsid w:val="004206C7"/>
    <w:rsid w:val="00420CA0"/>
    <w:rsid w:val="00420E60"/>
    <w:rsid w:val="0042109F"/>
    <w:rsid w:val="004210A2"/>
    <w:rsid w:val="00421105"/>
    <w:rsid w:val="00421526"/>
    <w:rsid w:val="004219BF"/>
    <w:rsid w:val="00421BA7"/>
    <w:rsid w:val="00421C16"/>
    <w:rsid w:val="00421C94"/>
    <w:rsid w:val="00421E1E"/>
    <w:rsid w:val="00421F01"/>
    <w:rsid w:val="0042227E"/>
    <w:rsid w:val="0042229B"/>
    <w:rsid w:val="004222AA"/>
    <w:rsid w:val="00422358"/>
    <w:rsid w:val="004223FF"/>
    <w:rsid w:val="00422AA4"/>
    <w:rsid w:val="00422B99"/>
    <w:rsid w:val="00422C1F"/>
    <w:rsid w:val="00422CDD"/>
    <w:rsid w:val="00422F4F"/>
    <w:rsid w:val="00423054"/>
    <w:rsid w:val="004235A0"/>
    <w:rsid w:val="00423984"/>
    <w:rsid w:val="004239F1"/>
    <w:rsid w:val="00423A52"/>
    <w:rsid w:val="00423B52"/>
    <w:rsid w:val="00423B66"/>
    <w:rsid w:val="00423CE1"/>
    <w:rsid w:val="00423FDE"/>
    <w:rsid w:val="004242F4"/>
    <w:rsid w:val="004242FA"/>
    <w:rsid w:val="004243FF"/>
    <w:rsid w:val="004244BC"/>
    <w:rsid w:val="00424A37"/>
    <w:rsid w:val="00424B50"/>
    <w:rsid w:val="00424BB6"/>
    <w:rsid w:val="00424CB8"/>
    <w:rsid w:val="00424E3B"/>
    <w:rsid w:val="00424FE8"/>
    <w:rsid w:val="00425748"/>
    <w:rsid w:val="0042593E"/>
    <w:rsid w:val="00425C08"/>
    <w:rsid w:val="00425CEA"/>
    <w:rsid w:val="00425D14"/>
    <w:rsid w:val="00425D76"/>
    <w:rsid w:val="00426035"/>
    <w:rsid w:val="00426158"/>
    <w:rsid w:val="0042634A"/>
    <w:rsid w:val="00426765"/>
    <w:rsid w:val="004267D5"/>
    <w:rsid w:val="00426891"/>
    <w:rsid w:val="00426AB2"/>
    <w:rsid w:val="00426BEC"/>
    <w:rsid w:val="00426F24"/>
    <w:rsid w:val="00427248"/>
    <w:rsid w:val="00427260"/>
    <w:rsid w:val="004272BE"/>
    <w:rsid w:val="004272D4"/>
    <w:rsid w:val="004275F5"/>
    <w:rsid w:val="00427736"/>
    <w:rsid w:val="0042773D"/>
    <w:rsid w:val="004278A1"/>
    <w:rsid w:val="00427C66"/>
    <w:rsid w:val="00427F79"/>
    <w:rsid w:val="0043004E"/>
    <w:rsid w:val="0043032D"/>
    <w:rsid w:val="00430378"/>
    <w:rsid w:val="004304F3"/>
    <w:rsid w:val="00430896"/>
    <w:rsid w:val="00430962"/>
    <w:rsid w:val="00430C0F"/>
    <w:rsid w:val="00430E54"/>
    <w:rsid w:val="00431005"/>
    <w:rsid w:val="00431044"/>
    <w:rsid w:val="004312AB"/>
    <w:rsid w:val="00431342"/>
    <w:rsid w:val="0043138B"/>
    <w:rsid w:val="0043156A"/>
    <w:rsid w:val="004315A8"/>
    <w:rsid w:val="00431731"/>
    <w:rsid w:val="0043188C"/>
    <w:rsid w:val="00431942"/>
    <w:rsid w:val="00431AC7"/>
    <w:rsid w:val="00431BEF"/>
    <w:rsid w:val="0043277D"/>
    <w:rsid w:val="004328B3"/>
    <w:rsid w:val="00432AD8"/>
    <w:rsid w:val="00433080"/>
    <w:rsid w:val="0043330E"/>
    <w:rsid w:val="004334A5"/>
    <w:rsid w:val="004334D6"/>
    <w:rsid w:val="0043354A"/>
    <w:rsid w:val="004336A9"/>
    <w:rsid w:val="0043373E"/>
    <w:rsid w:val="00433952"/>
    <w:rsid w:val="00433983"/>
    <w:rsid w:val="00433AE2"/>
    <w:rsid w:val="00433F3F"/>
    <w:rsid w:val="0043401A"/>
    <w:rsid w:val="00434679"/>
    <w:rsid w:val="004347AF"/>
    <w:rsid w:val="0043498A"/>
    <w:rsid w:val="00434A1B"/>
    <w:rsid w:val="00434C0F"/>
    <w:rsid w:val="00434E70"/>
    <w:rsid w:val="00435549"/>
    <w:rsid w:val="0043555E"/>
    <w:rsid w:val="004355CE"/>
    <w:rsid w:val="00435660"/>
    <w:rsid w:val="004359FC"/>
    <w:rsid w:val="00435BE7"/>
    <w:rsid w:val="00436019"/>
    <w:rsid w:val="0043602D"/>
    <w:rsid w:val="004360D5"/>
    <w:rsid w:val="004361E7"/>
    <w:rsid w:val="004363D7"/>
    <w:rsid w:val="004363E9"/>
    <w:rsid w:val="00436493"/>
    <w:rsid w:val="004364DA"/>
    <w:rsid w:val="0043680A"/>
    <w:rsid w:val="00436917"/>
    <w:rsid w:val="00436D30"/>
    <w:rsid w:val="00436DCC"/>
    <w:rsid w:val="00436E4E"/>
    <w:rsid w:val="00436F14"/>
    <w:rsid w:val="00436FF8"/>
    <w:rsid w:val="0043713A"/>
    <w:rsid w:val="00437447"/>
    <w:rsid w:val="00437550"/>
    <w:rsid w:val="0043773B"/>
    <w:rsid w:val="00437837"/>
    <w:rsid w:val="00437CAD"/>
    <w:rsid w:val="00437DFF"/>
    <w:rsid w:val="00437EC1"/>
    <w:rsid w:val="00440026"/>
    <w:rsid w:val="004403AE"/>
    <w:rsid w:val="0044041A"/>
    <w:rsid w:val="0044066B"/>
    <w:rsid w:val="00440869"/>
    <w:rsid w:val="004408E4"/>
    <w:rsid w:val="004409B8"/>
    <w:rsid w:val="00440C0F"/>
    <w:rsid w:val="00440D0E"/>
    <w:rsid w:val="00440E3D"/>
    <w:rsid w:val="00441055"/>
    <w:rsid w:val="00441697"/>
    <w:rsid w:val="00441A82"/>
    <w:rsid w:val="00441A92"/>
    <w:rsid w:val="00442259"/>
    <w:rsid w:val="004426A5"/>
    <w:rsid w:val="00442AE7"/>
    <w:rsid w:val="00442C5B"/>
    <w:rsid w:val="00442D32"/>
    <w:rsid w:val="00443020"/>
    <w:rsid w:val="004431DC"/>
    <w:rsid w:val="0044334C"/>
    <w:rsid w:val="0044335E"/>
    <w:rsid w:val="00443811"/>
    <w:rsid w:val="004438D0"/>
    <w:rsid w:val="00443B07"/>
    <w:rsid w:val="00443DF6"/>
    <w:rsid w:val="00443FAA"/>
    <w:rsid w:val="004440E5"/>
    <w:rsid w:val="0044423C"/>
    <w:rsid w:val="00444249"/>
    <w:rsid w:val="004445B3"/>
    <w:rsid w:val="00444631"/>
    <w:rsid w:val="00444A3E"/>
    <w:rsid w:val="00444A55"/>
    <w:rsid w:val="00444B08"/>
    <w:rsid w:val="00444CFD"/>
    <w:rsid w:val="00444F56"/>
    <w:rsid w:val="00445244"/>
    <w:rsid w:val="00445267"/>
    <w:rsid w:val="0044564F"/>
    <w:rsid w:val="0044580F"/>
    <w:rsid w:val="00445BAE"/>
    <w:rsid w:val="00445D90"/>
    <w:rsid w:val="00445EBE"/>
    <w:rsid w:val="00445F50"/>
    <w:rsid w:val="004460C2"/>
    <w:rsid w:val="00446488"/>
    <w:rsid w:val="004465AD"/>
    <w:rsid w:val="00446750"/>
    <w:rsid w:val="00446A4D"/>
    <w:rsid w:val="00446B81"/>
    <w:rsid w:val="00446D47"/>
    <w:rsid w:val="00446D54"/>
    <w:rsid w:val="00446DF9"/>
    <w:rsid w:val="00447023"/>
    <w:rsid w:val="0044705B"/>
    <w:rsid w:val="004470A6"/>
    <w:rsid w:val="004470AB"/>
    <w:rsid w:val="004470B5"/>
    <w:rsid w:val="004470D6"/>
    <w:rsid w:val="00447210"/>
    <w:rsid w:val="0044737A"/>
    <w:rsid w:val="0044753C"/>
    <w:rsid w:val="004476A7"/>
    <w:rsid w:val="0044781D"/>
    <w:rsid w:val="0044784F"/>
    <w:rsid w:val="004478B8"/>
    <w:rsid w:val="004479AE"/>
    <w:rsid w:val="00447B69"/>
    <w:rsid w:val="00447BE9"/>
    <w:rsid w:val="00447C15"/>
    <w:rsid w:val="00447D46"/>
    <w:rsid w:val="00447D4A"/>
    <w:rsid w:val="00447D4F"/>
    <w:rsid w:val="00447EA6"/>
    <w:rsid w:val="00447F3A"/>
    <w:rsid w:val="004501FD"/>
    <w:rsid w:val="004503E3"/>
    <w:rsid w:val="00450970"/>
    <w:rsid w:val="004509A1"/>
    <w:rsid w:val="00450B84"/>
    <w:rsid w:val="00450F8C"/>
    <w:rsid w:val="00451085"/>
    <w:rsid w:val="004510AA"/>
    <w:rsid w:val="004510F9"/>
    <w:rsid w:val="00451289"/>
    <w:rsid w:val="00451691"/>
    <w:rsid w:val="004517AA"/>
    <w:rsid w:val="00451AC3"/>
    <w:rsid w:val="00451CCD"/>
    <w:rsid w:val="00452009"/>
    <w:rsid w:val="004521AC"/>
    <w:rsid w:val="004521CE"/>
    <w:rsid w:val="004522AB"/>
    <w:rsid w:val="004522F0"/>
    <w:rsid w:val="004525F0"/>
    <w:rsid w:val="004526B8"/>
    <w:rsid w:val="00452753"/>
    <w:rsid w:val="00452B98"/>
    <w:rsid w:val="00452C05"/>
    <w:rsid w:val="00452C31"/>
    <w:rsid w:val="00452CAC"/>
    <w:rsid w:val="00452D37"/>
    <w:rsid w:val="004530E9"/>
    <w:rsid w:val="00453243"/>
    <w:rsid w:val="004532BD"/>
    <w:rsid w:val="00453359"/>
    <w:rsid w:val="004534AE"/>
    <w:rsid w:val="004534BF"/>
    <w:rsid w:val="00453697"/>
    <w:rsid w:val="00453698"/>
    <w:rsid w:val="0045378C"/>
    <w:rsid w:val="00453834"/>
    <w:rsid w:val="00453968"/>
    <w:rsid w:val="00453D50"/>
    <w:rsid w:val="00453E18"/>
    <w:rsid w:val="0045405D"/>
    <w:rsid w:val="00454118"/>
    <w:rsid w:val="00454394"/>
    <w:rsid w:val="0045450B"/>
    <w:rsid w:val="004547D7"/>
    <w:rsid w:val="00454C5F"/>
    <w:rsid w:val="00455014"/>
    <w:rsid w:val="00455019"/>
    <w:rsid w:val="004550CB"/>
    <w:rsid w:val="00455166"/>
    <w:rsid w:val="004556D8"/>
    <w:rsid w:val="00455809"/>
    <w:rsid w:val="00455D0D"/>
    <w:rsid w:val="00455F0B"/>
    <w:rsid w:val="004561FC"/>
    <w:rsid w:val="004562D0"/>
    <w:rsid w:val="00456309"/>
    <w:rsid w:val="00456311"/>
    <w:rsid w:val="004565D9"/>
    <w:rsid w:val="004568AD"/>
    <w:rsid w:val="00456BB6"/>
    <w:rsid w:val="00456CCA"/>
    <w:rsid w:val="00456EE4"/>
    <w:rsid w:val="00456FAF"/>
    <w:rsid w:val="00456FD8"/>
    <w:rsid w:val="00457103"/>
    <w:rsid w:val="00457206"/>
    <w:rsid w:val="00457216"/>
    <w:rsid w:val="004573FB"/>
    <w:rsid w:val="0045744E"/>
    <w:rsid w:val="00457462"/>
    <w:rsid w:val="00457509"/>
    <w:rsid w:val="00457565"/>
    <w:rsid w:val="004576B9"/>
    <w:rsid w:val="00457778"/>
    <w:rsid w:val="00457B71"/>
    <w:rsid w:val="00457C37"/>
    <w:rsid w:val="00457CFF"/>
    <w:rsid w:val="00457F0B"/>
    <w:rsid w:val="004606E6"/>
    <w:rsid w:val="00460A87"/>
    <w:rsid w:val="00460B96"/>
    <w:rsid w:val="00460BFF"/>
    <w:rsid w:val="00460C14"/>
    <w:rsid w:val="00460D07"/>
    <w:rsid w:val="00460F48"/>
    <w:rsid w:val="0046101E"/>
    <w:rsid w:val="0046128A"/>
    <w:rsid w:val="004618B3"/>
    <w:rsid w:val="00461EC4"/>
    <w:rsid w:val="0046215F"/>
    <w:rsid w:val="00462174"/>
    <w:rsid w:val="00462231"/>
    <w:rsid w:val="0046224D"/>
    <w:rsid w:val="00462314"/>
    <w:rsid w:val="0046248E"/>
    <w:rsid w:val="00462605"/>
    <w:rsid w:val="00462A1B"/>
    <w:rsid w:val="00462AC2"/>
    <w:rsid w:val="00462B14"/>
    <w:rsid w:val="00462D61"/>
    <w:rsid w:val="0046315C"/>
    <w:rsid w:val="0046329B"/>
    <w:rsid w:val="004633EB"/>
    <w:rsid w:val="004634C3"/>
    <w:rsid w:val="004635D8"/>
    <w:rsid w:val="0046364F"/>
    <w:rsid w:val="0046377B"/>
    <w:rsid w:val="00463B7A"/>
    <w:rsid w:val="00463C2E"/>
    <w:rsid w:val="00463D73"/>
    <w:rsid w:val="00463D74"/>
    <w:rsid w:val="00464564"/>
    <w:rsid w:val="0046492C"/>
    <w:rsid w:val="004649D5"/>
    <w:rsid w:val="004650BD"/>
    <w:rsid w:val="00465185"/>
    <w:rsid w:val="004651B5"/>
    <w:rsid w:val="0046558C"/>
    <w:rsid w:val="0046577B"/>
    <w:rsid w:val="0046591C"/>
    <w:rsid w:val="00465A3A"/>
    <w:rsid w:val="00465B25"/>
    <w:rsid w:val="00465FB4"/>
    <w:rsid w:val="0046616F"/>
    <w:rsid w:val="00466475"/>
    <w:rsid w:val="00466480"/>
    <w:rsid w:val="0046672A"/>
    <w:rsid w:val="0046672D"/>
    <w:rsid w:val="004669E2"/>
    <w:rsid w:val="00466B6F"/>
    <w:rsid w:val="00467045"/>
    <w:rsid w:val="00467132"/>
    <w:rsid w:val="0046718D"/>
    <w:rsid w:val="0046738D"/>
    <w:rsid w:val="00467519"/>
    <w:rsid w:val="004677B3"/>
    <w:rsid w:val="00467A67"/>
    <w:rsid w:val="00467ABD"/>
    <w:rsid w:val="00467B6D"/>
    <w:rsid w:val="00467BCE"/>
    <w:rsid w:val="00467BD2"/>
    <w:rsid w:val="00467C4B"/>
    <w:rsid w:val="00467D40"/>
    <w:rsid w:val="00467DF2"/>
    <w:rsid w:val="00467DFD"/>
    <w:rsid w:val="00467E59"/>
    <w:rsid w:val="00467F49"/>
    <w:rsid w:val="00470267"/>
    <w:rsid w:val="00470348"/>
    <w:rsid w:val="004705B9"/>
    <w:rsid w:val="00470655"/>
    <w:rsid w:val="00470705"/>
    <w:rsid w:val="004707F3"/>
    <w:rsid w:val="0047093C"/>
    <w:rsid w:val="0047099A"/>
    <w:rsid w:val="00470AF7"/>
    <w:rsid w:val="00470C31"/>
    <w:rsid w:val="00470C51"/>
    <w:rsid w:val="00471078"/>
    <w:rsid w:val="004710EC"/>
    <w:rsid w:val="004714E8"/>
    <w:rsid w:val="00471DB8"/>
    <w:rsid w:val="00471DE0"/>
    <w:rsid w:val="00471E46"/>
    <w:rsid w:val="00471EF7"/>
    <w:rsid w:val="00471FA3"/>
    <w:rsid w:val="00472127"/>
    <w:rsid w:val="0047213E"/>
    <w:rsid w:val="00472236"/>
    <w:rsid w:val="0047226E"/>
    <w:rsid w:val="00472767"/>
    <w:rsid w:val="00472905"/>
    <w:rsid w:val="00472980"/>
    <w:rsid w:val="00472B24"/>
    <w:rsid w:val="00472BF6"/>
    <w:rsid w:val="00472CC4"/>
    <w:rsid w:val="00472D11"/>
    <w:rsid w:val="00472DA7"/>
    <w:rsid w:val="00472FE9"/>
    <w:rsid w:val="004732E6"/>
    <w:rsid w:val="0047332A"/>
    <w:rsid w:val="004734D0"/>
    <w:rsid w:val="00473520"/>
    <w:rsid w:val="0047381A"/>
    <w:rsid w:val="00473957"/>
    <w:rsid w:val="00473B21"/>
    <w:rsid w:val="00473BC5"/>
    <w:rsid w:val="00473F27"/>
    <w:rsid w:val="00474098"/>
    <w:rsid w:val="0047412F"/>
    <w:rsid w:val="004747D3"/>
    <w:rsid w:val="00474957"/>
    <w:rsid w:val="00474D89"/>
    <w:rsid w:val="00474FD7"/>
    <w:rsid w:val="004750A2"/>
    <w:rsid w:val="004750CD"/>
    <w:rsid w:val="00475216"/>
    <w:rsid w:val="0047532F"/>
    <w:rsid w:val="004753C8"/>
    <w:rsid w:val="004753D4"/>
    <w:rsid w:val="0047556B"/>
    <w:rsid w:val="0047560A"/>
    <w:rsid w:val="00475639"/>
    <w:rsid w:val="0047574A"/>
    <w:rsid w:val="004757B6"/>
    <w:rsid w:val="00475B44"/>
    <w:rsid w:val="00475C0D"/>
    <w:rsid w:val="00475C78"/>
    <w:rsid w:val="00475F6F"/>
    <w:rsid w:val="00476114"/>
    <w:rsid w:val="00476156"/>
    <w:rsid w:val="0047624F"/>
    <w:rsid w:val="00476493"/>
    <w:rsid w:val="0047678A"/>
    <w:rsid w:val="004768AF"/>
    <w:rsid w:val="00476C30"/>
    <w:rsid w:val="00476F00"/>
    <w:rsid w:val="00477075"/>
    <w:rsid w:val="0047717E"/>
    <w:rsid w:val="004771C2"/>
    <w:rsid w:val="004771CA"/>
    <w:rsid w:val="004772FD"/>
    <w:rsid w:val="00477470"/>
    <w:rsid w:val="00477538"/>
    <w:rsid w:val="00477694"/>
    <w:rsid w:val="00477768"/>
    <w:rsid w:val="004777AF"/>
    <w:rsid w:val="00477B79"/>
    <w:rsid w:val="00477D31"/>
    <w:rsid w:val="00477E80"/>
    <w:rsid w:val="00480141"/>
    <w:rsid w:val="0048027C"/>
    <w:rsid w:val="004803DD"/>
    <w:rsid w:val="004804BD"/>
    <w:rsid w:val="004807B8"/>
    <w:rsid w:val="004807D4"/>
    <w:rsid w:val="004808CC"/>
    <w:rsid w:val="00480A07"/>
    <w:rsid w:val="00480E80"/>
    <w:rsid w:val="00480EE9"/>
    <w:rsid w:val="004812ED"/>
    <w:rsid w:val="00481656"/>
    <w:rsid w:val="00481AAA"/>
    <w:rsid w:val="00481D06"/>
    <w:rsid w:val="00482105"/>
    <w:rsid w:val="00482445"/>
    <w:rsid w:val="00482514"/>
    <w:rsid w:val="00482845"/>
    <w:rsid w:val="00482A96"/>
    <w:rsid w:val="00482AB1"/>
    <w:rsid w:val="00482C82"/>
    <w:rsid w:val="00483208"/>
    <w:rsid w:val="004834CD"/>
    <w:rsid w:val="00483677"/>
    <w:rsid w:val="004839A1"/>
    <w:rsid w:val="00483CD0"/>
    <w:rsid w:val="004840D9"/>
    <w:rsid w:val="004841A6"/>
    <w:rsid w:val="00484416"/>
    <w:rsid w:val="004845D0"/>
    <w:rsid w:val="004846CB"/>
    <w:rsid w:val="004848E5"/>
    <w:rsid w:val="00484932"/>
    <w:rsid w:val="00484A72"/>
    <w:rsid w:val="00484D2D"/>
    <w:rsid w:val="00484D67"/>
    <w:rsid w:val="00484D91"/>
    <w:rsid w:val="0048502A"/>
    <w:rsid w:val="00485183"/>
    <w:rsid w:val="004851B5"/>
    <w:rsid w:val="004853D5"/>
    <w:rsid w:val="00485603"/>
    <w:rsid w:val="00485782"/>
    <w:rsid w:val="004858E6"/>
    <w:rsid w:val="00485AC3"/>
    <w:rsid w:val="00485C53"/>
    <w:rsid w:val="0048661F"/>
    <w:rsid w:val="0048691D"/>
    <w:rsid w:val="00486C41"/>
    <w:rsid w:val="00486D7D"/>
    <w:rsid w:val="00486E10"/>
    <w:rsid w:val="004870B2"/>
    <w:rsid w:val="004872E5"/>
    <w:rsid w:val="0048776C"/>
    <w:rsid w:val="00487924"/>
    <w:rsid w:val="00487A1B"/>
    <w:rsid w:val="00487A98"/>
    <w:rsid w:val="00487CAF"/>
    <w:rsid w:val="00487D1D"/>
    <w:rsid w:val="00490024"/>
    <w:rsid w:val="00490463"/>
    <w:rsid w:val="00490610"/>
    <w:rsid w:val="00490691"/>
    <w:rsid w:val="0049083A"/>
    <w:rsid w:val="00490A22"/>
    <w:rsid w:val="00490E3E"/>
    <w:rsid w:val="00490F40"/>
    <w:rsid w:val="004912F4"/>
    <w:rsid w:val="00491818"/>
    <w:rsid w:val="004918AD"/>
    <w:rsid w:val="004919D7"/>
    <w:rsid w:val="00491BF9"/>
    <w:rsid w:val="00491D7A"/>
    <w:rsid w:val="00491ED6"/>
    <w:rsid w:val="00491FB3"/>
    <w:rsid w:val="004923FB"/>
    <w:rsid w:val="00492B22"/>
    <w:rsid w:val="00492BC5"/>
    <w:rsid w:val="00492CA7"/>
    <w:rsid w:val="00492F2B"/>
    <w:rsid w:val="004935D2"/>
    <w:rsid w:val="004937CB"/>
    <w:rsid w:val="00493903"/>
    <w:rsid w:val="00493AA0"/>
    <w:rsid w:val="00493C08"/>
    <w:rsid w:val="004941A1"/>
    <w:rsid w:val="004941CE"/>
    <w:rsid w:val="0049421F"/>
    <w:rsid w:val="004942A4"/>
    <w:rsid w:val="0049463C"/>
    <w:rsid w:val="0049466D"/>
    <w:rsid w:val="00494AEA"/>
    <w:rsid w:val="00494B56"/>
    <w:rsid w:val="00494BF5"/>
    <w:rsid w:val="00494C03"/>
    <w:rsid w:val="00494D43"/>
    <w:rsid w:val="00494EC4"/>
    <w:rsid w:val="00495138"/>
    <w:rsid w:val="004951A8"/>
    <w:rsid w:val="00495530"/>
    <w:rsid w:val="00495866"/>
    <w:rsid w:val="00495907"/>
    <w:rsid w:val="00495BA2"/>
    <w:rsid w:val="00495C8F"/>
    <w:rsid w:val="0049626A"/>
    <w:rsid w:val="004963FD"/>
    <w:rsid w:val="004964F1"/>
    <w:rsid w:val="00496535"/>
    <w:rsid w:val="004965E4"/>
    <w:rsid w:val="00496693"/>
    <w:rsid w:val="004967BD"/>
    <w:rsid w:val="0049691A"/>
    <w:rsid w:val="004969B7"/>
    <w:rsid w:val="00496C9C"/>
    <w:rsid w:val="00496DB6"/>
    <w:rsid w:val="00496DDC"/>
    <w:rsid w:val="00496F31"/>
    <w:rsid w:val="00497008"/>
    <w:rsid w:val="00497234"/>
    <w:rsid w:val="004974B5"/>
    <w:rsid w:val="0049778C"/>
    <w:rsid w:val="00497E86"/>
    <w:rsid w:val="00497F33"/>
    <w:rsid w:val="004A02C1"/>
    <w:rsid w:val="004A031D"/>
    <w:rsid w:val="004A059F"/>
    <w:rsid w:val="004A0622"/>
    <w:rsid w:val="004A0A20"/>
    <w:rsid w:val="004A0A5C"/>
    <w:rsid w:val="004A0D64"/>
    <w:rsid w:val="004A0DDA"/>
    <w:rsid w:val="004A10DF"/>
    <w:rsid w:val="004A129F"/>
    <w:rsid w:val="004A160A"/>
    <w:rsid w:val="004A16BC"/>
    <w:rsid w:val="004A16FF"/>
    <w:rsid w:val="004A1727"/>
    <w:rsid w:val="004A1B57"/>
    <w:rsid w:val="004A1CCC"/>
    <w:rsid w:val="004A22EF"/>
    <w:rsid w:val="004A2535"/>
    <w:rsid w:val="004A2577"/>
    <w:rsid w:val="004A2652"/>
    <w:rsid w:val="004A27E3"/>
    <w:rsid w:val="004A2B94"/>
    <w:rsid w:val="004A2DBA"/>
    <w:rsid w:val="004A2DC0"/>
    <w:rsid w:val="004A2E15"/>
    <w:rsid w:val="004A2ED5"/>
    <w:rsid w:val="004A2FAC"/>
    <w:rsid w:val="004A3274"/>
    <w:rsid w:val="004A3459"/>
    <w:rsid w:val="004A3682"/>
    <w:rsid w:val="004A380B"/>
    <w:rsid w:val="004A3F77"/>
    <w:rsid w:val="004A4208"/>
    <w:rsid w:val="004A42CF"/>
    <w:rsid w:val="004A4602"/>
    <w:rsid w:val="004A4868"/>
    <w:rsid w:val="004A49D5"/>
    <w:rsid w:val="004A4B66"/>
    <w:rsid w:val="004A4F7E"/>
    <w:rsid w:val="004A5237"/>
    <w:rsid w:val="004A52D5"/>
    <w:rsid w:val="004A52E3"/>
    <w:rsid w:val="004A5718"/>
    <w:rsid w:val="004A5937"/>
    <w:rsid w:val="004A5B79"/>
    <w:rsid w:val="004A6013"/>
    <w:rsid w:val="004A61BE"/>
    <w:rsid w:val="004A67FC"/>
    <w:rsid w:val="004A6907"/>
    <w:rsid w:val="004A6B14"/>
    <w:rsid w:val="004A6B1D"/>
    <w:rsid w:val="004A6CB9"/>
    <w:rsid w:val="004A6D7C"/>
    <w:rsid w:val="004A704A"/>
    <w:rsid w:val="004A7202"/>
    <w:rsid w:val="004A72DC"/>
    <w:rsid w:val="004A7364"/>
    <w:rsid w:val="004A790B"/>
    <w:rsid w:val="004A7B15"/>
    <w:rsid w:val="004A7B46"/>
    <w:rsid w:val="004A7F30"/>
    <w:rsid w:val="004B048F"/>
    <w:rsid w:val="004B06F8"/>
    <w:rsid w:val="004B07AE"/>
    <w:rsid w:val="004B07E7"/>
    <w:rsid w:val="004B0B03"/>
    <w:rsid w:val="004B103E"/>
    <w:rsid w:val="004B1120"/>
    <w:rsid w:val="004B168C"/>
    <w:rsid w:val="004B19B2"/>
    <w:rsid w:val="004B1A83"/>
    <w:rsid w:val="004B1CC6"/>
    <w:rsid w:val="004B1F15"/>
    <w:rsid w:val="004B1F86"/>
    <w:rsid w:val="004B2144"/>
    <w:rsid w:val="004B250D"/>
    <w:rsid w:val="004B2547"/>
    <w:rsid w:val="004B286B"/>
    <w:rsid w:val="004B29D0"/>
    <w:rsid w:val="004B2D12"/>
    <w:rsid w:val="004B31F8"/>
    <w:rsid w:val="004B31FD"/>
    <w:rsid w:val="004B373A"/>
    <w:rsid w:val="004B3752"/>
    <w:rsid w:val="004B3779"/>
    <w:rsid w:val="004B3901"/>
    <w:rsid w:val="004B3A79"/>
    <w:rsid w:val="004B3AD0"/>
    <w:rsid w:val="004B3B7E"/>
    <w:rsid w:val="004B3E89"/>
    <w:rsid w:val="004B3EAD"/>
    <w:rsid w:val="004B3EE5"/>
    <w:rsid w:val="004B40BD"/>
    <w:rsid w:val="004B40F8"/>
    <w:rsid w:val="004B40FB"/>
    <w:rsid w:val="004B42C5"/>
    <w:rsid w:val="004B45CF"/>
    <w:rsid w:val="004B45F0"/>
    <w:rsid w:val="004B46B6"/>
    <w:rsid w:val="004B4819"/>
    <w:rsid w:val="004B4EE1"/>
    <w:rsid w:val="004B4EF9"/>
    <w:rsid w:val="004B5158"/>
    <w:rsid w:val="004B52E3"/>
    <w:rsid w:val="004B538B"/>
    <w:rsid w:val="004B5393"/>
    <w:rsid w:val="004B5580"/>
    <w:rsid w:val="004B575D"/>
    <w:rsid w:val="004B5835"/>
    <w:rsid w:val="004B58F9"/>
    <w:rsid w:val="004B59F9"/>
    <w:rsid w:val="004B5DBB"/>
    <w:rsid w:val="004B63E5"/>
    <w:rsid w:val="004B679F"/>
    <w:rsid w:val="004B69C9"/>
    <w:rsid w:val="004B6F6A"/>
    <w:rsid w:val="004B75A1"/>
    <w:rsid w:val="004B76C6"/>
    <w:rsid w:val="004B775F"/>
    <w:rsid w:val="004B777A"/>
    <w:rsid w:val="004B785A"/>
    <w:rsid w:val="004B7966"/>
    <w:rsid w:val="004B7C0C"/>
    <w:rsid w:val="004B7C7D"/>
    <w:rsid w:val="004B7E99"/>
    <w:rsid w:val="004C021A"/>
    <w:rsid w:val="004C0351"/>
    <w:rsid w:val="004C04B6"/>
    <w:rsid w:val="004C0ADD"/>
    <w:rsid w:val="004C12CA"/>
    <w:rsid w:val="004C1310"/>
    <w:rsid w:val="004C13D9"/>
    <w:rsid w:val="004C184D"/>
    <w:rsid w:val="004C1916"/>
    <w:rsid w:val="004C1B1D"/>
    <w:rsid w:val="004C2319"/>
    <w:rsid w:val="004C23A9"/>
    <w:rsid w:val="004C23F9"/>
    <w:rsid w:val="004C2432"/>
    <w:rsid w:val="004C2735"/>
    <w:rsid w:val="004C277C"/>
    <w:rsid w:val="004C29FD"/>
    <w:rsid w:val="004C2A57"/>
    <w:rsid w:val="004C2A6C"/>
    <w:rsid w:val="004C2C8D"/>
    <w:rsid w:val="004C2FE8"/>
    <w:rsid w:val="004C30DB"/>
    <w:rsid w:val="004C3382"/>
    <w:rsid w:val="004C34F5"/>
    <w:rsid w:val="004C372F"/>
    <w:rsid w:val="004C3898"/>
    <w:rsid w:val="004C3959"/>
    <w:rsid w:val="004C4117"/>
    <w:rsid w:val="004C41CE"/>
    <w:rsid w:val="004C42AD"/>
    <w:rsid w:val="004C46E6"/>
    <w:rsid w:val="004C4BB9"/>
    <w:rsid w:val="004C4C45"/>
    <w:rsid w:val="004C4ECD"/>
    <w:rsid w:val="004C50AC"/>
    <w:rsid w:val="004C56DF"/>
    <w:rsid w:val="004C5901"/>
    <w:rsid w:val="004C5930"/>
    <w:rsid w:val="004C5956"/>
    <w:rsid w:val="004C5A31"/>
    <w:rsid w:val="004C5AB1"/>
    <w:rsid w:val="004C5AFE"/>
    <w:rsid w:val="004C5B60"/>
    <w:rsid w:val="004C5DD8"/>
    <w:rsid w:val="004C6234"/>
    <w:rsid w:val="004C6287"/>
    <w:rsid w:val="004C629A"/>
    <w:rsid w:val="004C6580"/>
    <w:rsid w:val="004C6863"/>
    <w:rsid w:val="004C6CCC"/>
    <w:rsid w:val="004C6E92"/>
    <w:rsid w:val="004C7164"/>
    <w:rsid w:val="004C72DA"/>
    <w:rsid w:val="004C75CB"/>
    <w:rsid w:val="004C78C0"/>
    <w:rsid w:val="004C794B"/>
    <w:rsid w:val="004C7AC3"/>
    <w:rsid w:val="004D0011"/>
    <w:rsid w:val="004D00C5"/>
    <w:rsid w:val="004D025A"/>
    <w:rsid w:val="004D02F5"/>
    <w:rsid w:val="004D05EB"/>
    <w:rsid w:val="004D086E"/>
    <w:rsid w:val="004D0F15"/>
    <w:rsid w:val="004D0F85"/>
    <w:rsid w:val="004D1229"/>
    <w:rsid w:val="004D131D"/>
    <w:rsid w:val="004D13AB"/>
    <w:rsid w:val="004D185D"/>
    <w:rsid w:val="004D186E"/>
    <w:rsid w:val="004D1FB9"/>
    <w:rsid w:val="004D20C3"/>
    <w:rsid w:val="004D23DC"/>
    <w:rsid w:val="004D2474"/>
    <w:rsid w:val="004D26B3"/>
    <w:rsid w:val="004D28E4"/>
    <w:rsid w:val="004D2910"/>
    <w:rsid w:val="004D2BB6"/>
    <w:rsid w:val="004D2CCF"/>
    <w:rsid w:val="004D316D"/>
    <w:rsid w:val="004D36B1"/>
    <w:rsid w:val="004D3798"/>
    <w:rsid w:val="004D3A9D"/>
    <w:rsid w:val="004D3B70"/>
    <w:rsid w:val="004D3C0D"/>
    <w:rsid w:val="004D3C42"/>
    <w:rsid w:val="004D3E98"/>
    <w:rsid w:val="004D3F33"/>
    <w:rsid w:val="004D3F8E"/>
    <w:rsid w:val="004D4353"/>
    <w:rsid w:val="004D4368"/>
    <w:rsid w:val="004D43D7"/>
    <w:rsid w:val="004D4548"/>
    <w:rsid w:val="004D4729"/>
    <w:rsid w:val="004D4747"/>
    <w:rsid w:val="004D4769"/>
    <w:rsid w:val="004D48B3"/>
    <w:rsid w:val="004D49BA"/>
    <w:rsid w:val="004D4B47"/>
    <w:rsid w:val="004D4BE1"/>
    <w:rsid w:val="004D4E62"/>
    <w:rsid w:val="004D4F4F"/>
    <w:rsid w:val="004D54ED"/>
    <w:rsid w:val="004D5548"/>
    <w:rsid w:val="004D582F"/>
    <w:rsid w:val="004D5C71"/>
    <w:rsid w:val="004D5EA6"/>
    <w:rsid w:val="004D5F0D"/>
    <w:rsid w:val="004D6306"/>
    <w:rsid w:val="004D63CA"/>
    <w:rsid w:val="004D6527"/>
    <w:rsid w:val="004D6730"/>
    <w:rsid w:val="004D67CA"/>
    <w:rsid w:val="004D6810"/>
    <w:rsid w:val="004D6880"/>
    <w:rsid w:val="004D6963"/>
    <w:rsid w:val="004D6CB1"/>
    <w:rsid w:val="004D6CE4"/>
    <w:rsid w:val="004D6D39"/>
    <w:rsid w:val="004D6E89"/>
    <w:rsid w:val="004D7086"/>
    <w:rsid w:val="004D70D8"/>
    <w:rsid w:val="004D710F"/>
    <w:rsid w:val="004D7258"/>
    <w:rsid w:val="004D73E0"/>
    <w:rsid w:val="004D7465"/>
    <w:rsid w:val="004D74D6"/>
    <w:rsid w:val="004D76E3"/>
    <w:rsid w:val="004D7772"/>
    <w:rsid w:val="004D7DA6"/>
    <w:rsid w:val="004D7EBD"/>
    <w:rsid w:val="004E0024"/>
    <w:rsid w:val="004E0210"/>
    <w:rsid w:val="004E02FA"/>
    <w:rsid w:val="004E0937"/>
    <w:rsid w:val="004E0A5E"/>
    <w:rsid w:val="004E0EE1"/>
    <w:rsid w:val="004E0F41"/>
    <w:rsid w:val="004E0FCC"/>
    <w:rsid w:val="004E126A"/>
    <w:rsid w:val="004E12D5"/>
    <w:rsid w:val="004E15F7"/>
    <w:rsid w:val="004E1640"/>
    <w:rsid w:val="004E1775"/>
    <w:rsid w:val="004E1CBC"/>
    <w:rsid w:val="004E1DDC"/>
    <w:rsid w:val="004E1FC5"/>
    <w:rsid w:val="004E216B"/>
    <w:rsid w:val="004E2310"/>
    <w:rsid w:val="004E2680"/>
    <w:rsid w:val="004E28F9"/>
    <w:rsid w:val="004E29EA"/>
    <w:rsid w:val="004E2A04"/>
    <w:rsid w:val="004E2CA6"/>
    <w:rsid w:val="004E2D37"/>
    <w:rsid w:val="004E2EA5"/>
    <w:rsid w:val="004E305D"/>
    <w:rsid w:val="004E30A4"/>
    <w:rsid w:val="004E3309"/>
    <w:rsid w:val="004E3588"/>
    <w:rsid w:val="004E369E"/>
    <w:rsid w:val="004E37B3"/>
    <w:rsid w:val="004E3C7E"/>
    <w:rsid w:val="004E4457"/>
    <w:rsid w:val="004E462E"/>
    <w:rsid w:val="004E4A5A"/>
    <w:rsid w:val="004E4B64"/>
    <w:rsid w:val="004E4C19"/>
    <w:rsid w:val="004E4DE1"/>
    <w:rsid w:val="004E4F4B"/>
    <w:rsid w:val="004E4FC0"/>
    <w:rsid w:val="004E5425"/>
    <w:rsid w:val="004E5462"/>
    <w:rsid w:val="004E5536"/>
    <w:rsid w:val="004E56DC"/>
    <w:rsid w:val="004E573C"/>
    <w:rsid w:val="004E57EE"/>
    <w:rsid w:val="004E5AED"/>
    <w:rsid w:val="004E5C8A"/>
    <w:rsid w:val="004E5F87"/>
    <w:rsid w:val="004E6CA2"/>
    <w:rsid w:val="004E6D2F"/>
    <w:rsid w:val="004E7006"/>
    <w:rsid w:val="004E7332"/>
    <w:rsid w:val="004E7570"/>
    <w:rsid w:val="004E7687"/>
    <w:rsid w:val="004E76F4"/>
    <w:rsid w:val="004E792B"/>
    <w:rsid w:val="004E7B5F"/>
    <w:rsid w:val="004E7F5E"/>
    <w:rsid w:val="004F0394"/>
    <w:rsid w:val="004F03A0"/>
    <w:rsid w:val="004F03C8"/>
    <w:rsid w:val="004F0A2B"/>
    <w:rsid w:val="004F0ABE"/>
    <w:rsid w:val="004F0B1C"/>
    <w:rsid w:val="004F0B4E"/>
    <w:rsid w:val="004F0B6C"/>
    <w:rsid w:val="004F114F"/>
    <w:rsid w:val="004F11BD"/>
    <w:rsid w:val="004F1653"/>
    <w:rsid w:val="004F16A8"/>
    <w:rsid w:val="004F16F6"/>
    <w:rsid w:val="004F17D8"/>
    <w:rsid w:val="004F182A"/>
    <w:rsid w:val="004F1852"/>
    <w:rsid w:val="004F185C"/>
    <w:rsid w:val="004F1EFE"/>
    <w:rsid w:val="004F2078"/>
    <w:rsid w:val="004F21A6"/>
    <w:rsid w:val="004F246F"/>
    <w:rsid w:val="004F25BF"/>
    <w:rsid w:val="004F271D"/>
    <w:rsid w:val="004F2791"/>
    <w:rsid w:val="004F28F1"/>
    <w:rsid w:val="004F29B9"/>
    <w:rsid w:val="004F2A1F"/>
    <w:rsid w:val="004F2D0B"/>
    <w:rsid w:val="004F2E18"/>
    <w:rsid w:val="004F2E98"/>
    <w:rsid w:val="004F3035"/>
    <w:rsid w:val="004F3068"/>
    <w:rsid w:val="004F3453"/>
    <w:rsid w:val="004F37CC"/>
    <w:rsid w:val="004F3882"/>
    <w:rsid w:val="004F3938"/>
    <w:rsid w:val="004F4AE5"/>
    <w:rsid w:val="004F4B99"/>
    <w:rsid w:val="004F4D15"/>
    <w:rsid w:val="004F4D2C"/>
    <w:rsid w:val="004F4DA3"/>
    <w:rsid w:val="004F4E2A"/>
    <w:rsid w:val="004F4F05"/>
    <w:rsid w:val="004F4F94"/>
    <w:rsid w:val="004F50BC"/>
    <w:rsid w:val="004F5290"/>
    <w:rsid w:val="004F52D3"/>
    <w:rsid w:val="004F53C1"/>
    <w:rsid w:val="004F563C"/>
    <w:rsid w:val="004F56B3"/>
    <w:rsid w:val="004F580A"/>
    <w:rsid w:val="004F5A95"/>
    <w:rsid w:val="004F5B35"/>
    <w:rsid w:val="004F5BE0"/>
    <w:rsid w:val="004F5C17"/>
    <w:rsid w:val="004F5E65"/>
    <w:rsid w:val="004F60A2"/>
    <w:rsid w:val="004F62F3"/>
    <w:rsid w:val="004F6565"/>
    <w:rsid w:val="004F6AF1"/>
    <w:rsid w:val="004F6B11"/>
    <w:rsid w:val="004F6D93"/>
    <w:rsid w:val="004F6EDC"/>
    <w:rsid w:val="004F6F04"/>
    <w:rsid w:val="004F71D7"/>
    <w:rsid w:val="004F730E"/>
    <w:rsid w:val="004F7354"/>
    <w:rsid w:val="004F73B5"/>
    <w:rsid w:val="004F7660"/>
    <w:rsid w:val="004F76DE"/>
    <w:rsid w:val="004F76F2"/>
    <w:rsid w:val="004F7878"/>
    <w:rsid w:val="004F7A59"/>
    <w:rsid w:val="004F7FA6"/>
    <w:rsid w:val="00500110"/>
    <w:rsid w:val="005002A4"/>
    <w:rsid w:val="0050033E"/>
    <w:rsid w:val="00500691"/>
    <w:rsid w:val="00500813"/>
    <w:rsid w:val="005008D8"/>
    <w:rsid w:val="00500B25"/>
    <w:rsid w:val="005010B1"/>
    <w:rsid w:val="005012AA"/>
    <w:rsid w:val="005015E2"/>
    <w:rsid w:val="00501636"/>
    <w:rsid w:val="0050166C"/>
    <w:rsid w:val="005016B6"/>
    <w:rsid w:val="005016BD"/>
    <w:rsid w:val="005016C8"/>
    <w:rsid w:val="005018F2"/>
    <w:rsid w:val="00501949"/>
    <w:rsid w:val="00501AEF"/>
    <w:rsid w:val="00501CD4"/>
    <w:rsid w:val="00501D40"/>
    <w:rsid w:val="0050208F"/>
    <w:rsid w:val="0050220C"/>
    <w:rsid w:val="005027AA"/>
    <w:rsid w:val="0050280A"/>
    <w:rsid w:val="00502CA2"/>
    <w:rsid w:val="00502DF3"/>
    <w:rsid w:val="00502E5A"/>
    <w:rsid w:val="0050306A"/>
    <w:rsid w:val="005030F7"/>
    <w:rsid w:val="005032A0"/>
    <w:rsid w:val="00503E8A"/>
    <w:rsid w:val="00504122"/>
    <w:rsid w:val="0050420A"/>
    <w:rsid w:val="00504530"/>
    <w:rsid w:val="0050454C"/>
    <w:rsid w:val="00504564"/>
    <w:rsid w:val="00504633"/>
    <w:rsid w:val="00504B21"/>
    <w:rsid w:val="00504EAB"/>
    <w:rsid w:val="00505370"/>
    <w:rsid w:val="005055B7"/>
    <w:rsid w:val="00505862"/>
    <w:rsid w:val="00505A5B"/>
    <w:rsid w:val="00505B2B"/>
    <w:rsid w:val="00505BCC"/>
    <w:rsid w:val="00505C80"/>
    <w:rsid w:val="00505CEC"/>
    <w:rsid w:val="0050620B"/>
    <w:rsid w:val="0050624B"/>
    <w:rsid w:val="005062AF"/>
    <w:rsid w:val="0050632E"/>
    <w:rsid w:val="00506557"/>
    <w:rsid w:val="005065E2"/>
    <w:rsid w:val="005066F3"/>
    <w:rsid w:val="0050677A"/>
    <w:rsid w:val="0050680A"/>
    <w:rsid w:val="00506870"/>
    <w:rsid w:val="00506989"/>
    <w:rsid w:val="00506DC1"/>
    <w:rsid w:val="00506ED0"/>
    <w:rsid w:val="00507058"/>
    <w:rsid w:val="005070F8"/>
    <w:rsid w:val="005073D4"/>
    <w:rsid w:val="00507461"/>
    <w:rsid w:val="0050747A"/>
    <w:rsid w:val="00507549"/>
    <w:rsid w:val="005076CC"/>
    <w:rsid w:val="00507CFF"/>
    <w:rsid w:val="00507F50"/>
    <w:rsid w:val="00507F94"/>
    <w:rsid w:val="005102DF"/>
    <w:rsid w:val="0051047F"/>
    <w:rsid w:val="005104F1"/>
    <w:rsid w:val="005107EA"/>
    <w:rsid w:val="005108D8"/>
    <w:rsid w:val="00510903"/>
    <w:rsid w:val="00510C69"/>
    <w:rsid w:val="00510C95"/>
    <w:rsid w:val="00510CFD"/>
    <w:rsid w:val="00510E59"/>
    <w:rsid w:val="00510EF8"/>
    <w:rsid w:val="00510FD2"/>
    <w:rsid w:val="00510FF2"/>
    <w:rsid w:val="005110D3"/>
    <w:rsid w:val="00511187"/>
    <w:rsid w:val="0051127B"/>
    <w:rsid w:val="00511292"/>
    <w:rsid w:val="00511535"/>
    <w:rsid w:val="005116F9"/>
    <w:rsid w:val="00511755"/>
    <w:rsid w:val="00511ACD"/>
    <w:rsid w:val="00511B98"/>
    <w:rsid w:val="00511D40"/>
    <w:rsid w:val="00511D60"/>
    <w:rsid w:val="005120D0"/>
    <w:rsid w:val="00512120"/>
    <w:rsid w:val="005124CF"/>
    <w:rsid w:val="00512511"/>
    <w:rsid w:val="00512528"/>
    <w:rsid w:val="005126E1"/>
    <w:rsid w:val="005126EE"/>
    <w:rsid w:val="00512951"/>
    <w:rsid w:val="00512B45"/>
    <w:rsid w:val="00512C53"/>
    <w:rsid w:val="0051334E"/>
    <w:rsid w:val="005137D4"/>
    <w:rsid w:val="0051394C"/>
    <w:rsid w:val="00513B54"/>
    <w:rsid w:val="00513CB6"/>
    <w:rsid w:val="00513EA7"/>
    <w:rsid w:val="00514083"/>
    <w:rsid w:val="005140A9"/>
    <w:rsid w:val="00514197"/>
    <w:rsid w:val="005145D9"/>
    <w:rsid w:val="005147AC"/>
    <w:rsid w:val="0051485B"/>
    <w:rsid w:val="00514900"/>
    <w:rsid w:val="00514932"/>
    <w:rsid w:val="00514D0B"/>
    <w:rsid w:val="00514FD3"/>
    <w:rsid w:val="00515187"/>
    <w:rsid w:val="00515269"/>
    <w:rsid w:val="005152A1"/>
    <w:rsid w:val="005153A7"/>
    <w:rsid w:val="0051543B"/>
    <w:rsid w:val="005157EC"/>
    <w:rsid w:val="00515957"/>
    <w:rsid w:val="00515A54"/>
    <w:rsid w:val="00515D73"/>
    <w:rsid w:val="00515DBC"/>
    <w:rsid w:val="00515E43"/>
    <w:rsid w:val="005162F9"/>
    <w:rsid w:val="00516468"/>
    <w:rsid w:val="00516557"/>
    <w:rsid w:val="00516823"/>
    <w:rsid w:val="00516856"/>
    <w:rsid w:val="00516EC2"/>
    <w:rsid w:val="00516EE4"/>
    <w:rsid w:val="005170D1"/>
    <w:rsid w:val="0051732C"/>
    <w:rsid w:val="00517691"/>
    <w:rsid w:val="005176D8"/>
    <w:rsid w:val="00517AF0"/>
    <w:rsid w:val="00517D2D"/>
    <w:rsid w:val="00517D3F"/>
    <w:rsid w:val="00517DFF"/>
    <w:rsid w:val="00517E57"/>
    <w:rsid w:val="005200C0"/>
    <w:rsid w:val="0052036D"/>
    <w:rsid w:val="005204C0"/>
    <w:rsid w:val="0052056E"/>
    <w:rsid w:val="005207C8"/>
    <w:rsid w:val="005209EB"/>
    <w:rsid w:val="00520D77"/>
    <w:rsid w:val="00520DD0"/>
    <w:rsid w:val="00520F46"/>
    <w:rsid w:val="00520FB1"/>
    <w:rsid w:val="00520FEB"/>
    <w:rsid w:val="0052101B"/>
    <w:rsid w:val="00521029"/>
    <w:rsid w:val="005210FE"/>
    <w:rsid w:val="0052125D"/>
    <w:rsid w:val="00521301"/>
    <w:rsid w:val="00521410"/>
    <w:rsid w:val="005215A0"/>
    <w:rsid w:val="005215E6"/>
    <w:rsid w:val="00521631"/>
    <w:rsid w:val="00521876"/>
    <w:rsid w:val="00521970"/>
    <w:rsid w:val="005219CF"/>
    <w:rsid w:val="00521A8C"/>
    <w:rsid w:val="00521AE1"/>
    <w:rsid w:val="00521B8C"/>
    <w:rsid w:val="00521CFE"/>
    <w:rsid w:val="00521D8A"/>
    <w:rsid w:val="00521EC7"/>
    <w:rsid w:val="00522605"/>
    <w:rsid w:val="00522731"/>
    <w:rsid w:val="00522931"/>
    <w:rsid w:val="00522E72"/>
    <w:rsid w:val="00523142"/>
    <w:rsid w:val="0052361C"/>
    <w:rsid w:val="00523985"/>
    <w:rsid w:val="00523B2F"/>
    <w:rsid w:val="00523B84"/>
    <w:rsid w:val="00523C59"/>
    <w:rsid w:val="00523E1B"/>
    <w:rsid w:val="00523EE1"/>
    <w:rsid w:val="00523EEF"/>
    <w:rsid w:val="00523FD8"/>
    <w:rsid w:val="005246FC"/>
    <w:rsid w:val="005249D1"/>
    <w:rsid w:val="00524C64"/>
    <w:rsid w:val="00524CD9"/>
    <w:rsid w:val="00524CFE"/>
    <w:rsid w:val="00524D9D"/>
    <w:rsid w:val="00524E6E"/>
    <w:rsid w:val="00524EDE"/>
    <w:rsid w:val="00525175"/>
    <w:rsid w:val="00525490"/>
    <w:rsid w:val="0052549F"/>
    <w:rsid w:val="005254BA"/>
    <w:rsid w:val="005255E7"/>
    <w:rsid w:val="0052583E"/>
    <w:rsid w:val="00525AD7"/>
    <w:rsid w:val="00525B16"/>
    <w:rsid w:val="00525D47"/>
    <w:rsid w:val="00525EE0"/>
    <w:rsid w:val="00525F50"/>
    <w:rsid w:val="0052620A"/>
    <w:rsid w:val="0052627E"/>
    <w:rsid w:val="00526582"/>
    <w:rsid w:val="005266AF"/>
    <w:rsid w:val="005267A6"/>
    <w:rsid w:val="00526B6B"/>
    <w:rsid w:val="00526CA1"/>
    <w:rsid w:val="0052703A"/>
    <w:rsid w:val="005272F1"/>
    <w:rsid w:val="005273C1"/>
    <w:rsid w:val="0052741F"/>
    <w:rsid w:val="00527693"/>
    <w:rsid w:val="00527745"/>
    <w:rsid w:val="0052778C"/>
    <w:rsid w:val="005278F1"/>
    <w:rsid w:val="005279F4"/>
    <w:rsid w:val="00527C56"/>
    <w:rsid w:val="00527C6E"/>
    <w:rsid w:val="00527C87"/>
    <w:rsid w:val="00527F3E"/>
    <w:rsid w:val="00527F56"/>
    <w:rsid w:val="0053019F"/>
    <w:rsid w:val="005302A7"/>
    <w:rsid w:val="0053037B"/>
    <w:rsid w:val="005303AF"/>
    <w:rsid w:val="00530451"/>
    <w:rsid w:val="00530479"/>
    <w:rsid w:val="005309C9"/>
    <w:rsid w:val="005313A0"/>
    <w:rsid w:val="0053179B"/>
    <w:rsid w:val="00531854"/>
    <w:rsid w:val="0053198A"/>
    <w:rsid w:val="00531D27"/>
    <w:rsid w:val="00532642"/>
    <w:rsid w:val="0053268D"/>
    <w:rsid w:val="00532808"/>
    <w:rsid w:val="00532913"/>
    <w:rsid w:val="00532A40"/>
    <w:rsid w:val="00532D34"/>
    <w:rsid w:val="00533227"/>
    <w:rsid w:val="00533601"/>
    <w:rsid w:val="00533962"/>
    <w:rsid w:val="00533A15"/>
    <w:rsid w:val="00533A9B"/>
    <w:rsid w:val="00533C6F"/>
    <w:rsid w:val="00533CE1"/>
    <w:rsid w:val="00533D55"/>
    <w:rsid w:val="00533E66"/>
    <w:rsid w:val="005341CA"/>
    <w:rsid w:val="00534573"/>
    <w:rsid w:val="00534915"/>
    <w:rsid w:val="005349BC"/>
    <w:rsid w:val="005349D2"/>
    <w:rsid w:val="00534A84"/>
    <w:rsid w:val="00534B59"/>
    <w:rsid w:val="00534BB2"/>
    <w:rsid w:val="00534CB2"/>
    <w:rsid w:val="00534E25"/>
    <w:rsid w:val="00534EDC"/>
    <w:rsid w:val="00534F37"/>
    <w:rsid w:val="00534F96"/>
    <w:rsid w:val="0053506A"/>
    <w:rsid w:val="005350CD"/>
    <w:rsid w:val="00535182"/>
    <w:rsid w:val="00535338"/>
    <w:rsid w:val="00535343"/>
    <w:rsid w:val="00535511"/>
    <w:rsid w:val="00535636"/>
    <w:rsid w:val="00535679"/>
    <w:rsid w:val="00535693"/>
    <w:rsid w:val="005357C0"/>
    <w:rsid w:val="00535818"/>
    <w:rsid w:val="00535AA3"/>
    <w:rsid w:val="00535D01"/>
    <w:rsid w:val="00535FBA"/>
    <w:rsid w:val="0053641E"/>
    <w:rsid w:val="0053653C"/>
    <w:rsid w:val="00536586"/>
    <w:rsid w:val="005365C8"/>
    <w:rsid w:val="0053665A"/>
    <w:rsid w:val="00536663"/>
    <w:rsid w:val="00536759"/>
    <w:rsid w:val="00536B28"/>
    <w:rsid w:val="00536BCC"/>
    <w:rsid w:val="00536D72"/>
    <w:rsid w:val="00536F79"/>
    <w:rsid w:val="005370FB"/>
    <w:rsid w:val="00537197"/>
    <w:rsid w:val="005374CD"/>
    <w:rsid w:val="00537809"/>
    <w:rsid w:val="00537C62"/>
    <w:rsid w:val="00537D66"/>
    <w:rsid w:val="0054044D"/>
    <w:rsid w:val="005405AE"/>
    <w:rsid w:val="00540741"/>
    <w:rsid w:val="005409AB"/>
    <w:rsid w:val="00540BE0"/>
    <w:rsid w:val="00540C30"/>
    <w:rsid w:val="00540E92"/>
    <w:rsid w:val="0054109A"/>
    <w:rsid w:val="00541130"/>
    <w:rsid w:val="005412CD"/>
    <w:rsid w:val="00541311"/>
    <w:rsid w:val="00541538"/>
    <w:rsid w:val="005415F4"/>
    <w:rsid w:val="00541928"/>
    <w:rsid w:val="00541957"/>
    <w:rsid w:val="005419FA"/>
    <w:rsid w:val="00541B2E"/>
    <w:rsid w:val="00541DB6"/>
    <w:rsid w:val="00541E02"/>
    <w:rsid w:val="00541E5B"/>
    <w:rsid w:val="00541EE0"/>
    <w:rsid w:val="00542076"/>
    <w:rsid w:val="005425DA"/>
    <w:rsid w:val="00542842"/>
    <w:rsid w:val="00542932"/>
    <w:rsid w:val="00542AF2"/>
    <w:rsid w:val="00542B40"/>
    <w:rsid w:val="00542C46"/>
    <w:rsid w:val="00542C7A"/>
    <w:rsid w:val="00542C82"/>
    <w:rsid w:val="00542D26"/>
    <w:rsid w:val="00542F36"/>
    <w:rsid w:val="00543155"/>
    <w:rsid w:val="00543247"/>
    <w:rsid w:val="00543268"/>
    <w:rsid w:val="00543330"/>
    <w:rsid w:val="0054340D"/>
    <w:rsid w:val="00543437"/>
    <w:rsid w:val="00543464"/>
    <w:rsid w:val="00543573"/>
    <w:rsid w:val="005437E4"/>
    <w:rsid w:val="00543AA4"/>
    <w:rsid w:val="00543BDE"/>
    <w:rsid w:val="00543C7C"/>
    <w:rsid w:val="00543D97"/>
    <w:rsid w:val="005440F3"/>
    <w:rsid w:val="005442EF"/>
    <w:rsid w:val="0054442E"/>
    <w:rsid w:val="00544590"/>
    <w:rsid w:val="005445E5"/>
    <w:rsid w:val="00544678"/>
    <w:rsid w:val="005448E2"/>
    <w:rsid w:val="00544B35"/>
    <w:rsid w:val="00544D7E"/>
    <w:rsid w:val="00544DF7"/>
    <w:rsid w:val="00544EBE"/>
    <w:rsid w:val="00544F5F"/>
    <w:rsid w:val="0054500D"/>
    <w:rsid w:val="0054504D"/>
    <w:rsid w:val="005451DE"/>
    <w:rsid w:val="00545310"/>
    <w:rsid w:val="005454DF"/>
    <w:rsid w:val="0054589B"/>
    <w:rsid w:val="0054601B"/>
    <w:rsid w:val="00546114"/>
    <w:rsid w:val="0054614C"/>
    <w:rsid w:val="00546348"/>
    <w:rsid w:val="00546521"/>
    <w:rsid w:val="005468AA"/>
    <w:rsid w:val="00546917"/>
    <w:rsid w:val="00546970"/>
    <w:rsid w:val="005469C4"/>
    <w:rsid w:val="00546AE5"/>
    <w:rsid w:val="00546C17"/>
    <w:rsid w:val="00546D26"/>
    <w:rsid w:val="0054765B"/>
    <w:rsid w:val="005476CF"/>
    <w:rsid w:val="00547907"/>
    <w:rsid w:val="0054799D"/>
    <w:rsid w:val="005479DC"/>
    <w:rsid w:val="00547A62"/>
    <w:rsid w:val="00547CC0"/>
    <w:rsid w:val="00547E25"/>
    <w:rsid w:val="00547F85"/>
    <w:rsid w:val="00550177"/>
    <w:rsid w:val="00550229"/>
    <w:rsid w:val="00550232"/>
    <w:rsid w:val="0055037A"/>
    <w:rsid w:val="005505F8"/>
    <w:rsid w:val="00550801"/>
    <w:rsid w:val="005508EC"/>
    <w:rsid w:val="005509A2"/>
    <w:rsid w:val="00550A8B"/>
    <w:rsid w:val="00550B0E"/>
    <w:rsid w:val="00550BF8"/>
    <w:rsid w:val="00551126"/>
    <w:rsid w:val="0055113D"/>
    <w:rsid w:val="0055122B"/>
    <w:rsid w:val="0055159C"/>
    <w:rsid w:val="005516B7"/>
    <w:rsid w:val="0055189D"/>
    <w:rsid w:val="00551951"/>
    <w:rsid w:val="00551DD4"/>
    <w:rsid w:val="00552016"/>
    <w:rsid w:val="005522B5"/>
    <w:rsid w:val="0055245A"/>
    <w:rsid w:val="005524BF"/>
    <w:rsid w:val="005527D2"/>
    <w:rsid w:val="00552C0A"/>
    <w:rsid w:val="005530B7"/>
    <w:rsid w:val="00553226"/>
    <w:rsid w:val="0055366F"/>
    <w:rsid w:val="00553B5D"/>
    <w:rsid w:val="00553E61"/>
    <w:rsid w:val="005543AF"/>
    <w:rsid w:val="005545ED"/>
    <w:rsid w:val="005546AD"/>
    <w:rsid w:val="00554701"/>
    <w:rsid w:val="00554933"/>
    <w:rsid w:val="00554A1D"/>
    <w:rsid w:val="00554D6E"/>
    <w:rsid w:val="00554E19"/>
    <w:rsid w:val="00554F56"/>
    <w:rsid w:val="00554FE1"/>
    <w:rsid w:val="005554F0"/>
    <w:rsid w:val="00555579"/>
    <w:rsid w:val="0055557F"/>
    <w:rsid w:val="00555958"/>
    <w:rsid w:val="00555BB6"/>
    <w:rsid w:val="00555C06"/>
    <w:rsid w:val="00555DFE"/>
    <w:rsid w:val="00556177"/>
    <w:rsid w:val="0055664E"/>
    <w:rsid w:val="005566D9"/>
    <w:rsid w:val="00556850"/>
    <w:rsid w:val="00556A6C"/>
    <w:rsid w:val="0055713C"/>
    <w:rsid w:val="00557508"/>
    <w:rsid w:val="00557980"/>
    <w:rsid w:val="00557B57"/>
    <w:rsid w:val="00557BEE"/>
    <w:rsid w:val="00557C8D"/>
    <w:rsid w:val="00557CC8"/>
    <w:rsid w:val="005600D8"/>
    <w:rsid w:val="0056010F"/>
    <w:rsid w:val="0056043D"/>
    <w:rsid w:val="005604E2"/>
    <w:rsid w:val="005604E9"/>
    <w:rsid w:val="0056051A"/>
    <w:rsid w:val="005607CA"/>
    <w:rsid w:val="005608AB"/>
    <w:rsid w:val="00560E55"/>
    <w:rsid w:val="00560F38"/>
    <w:rsid w:val="00560FA1"/>
    <w:rsid w:val="00561218"/>
    <w:rsid w:val="0056121F"/>
    <w:rsid w:val="00561472"/>
    <w:rsid w:val="0056153A"/>
    <w:rsid w:val="0056175D"/>
    <w:rsid w:val="005618E8"/>
    <w:rsid w:val="00561A3B"/>
    <w:rsid w:val="00561B84"/>
    <w:rsid w:val="00561CC0"/>
    <w:rsid w:val="00561EAD"/>
    <w:rsid w:val="00561F0A"/>
    <w:rsid w:val="00562001"/>
    <w:rsid w:val="00562351"/>
    <w:rsid w:val="005623A8"/>
    <w:rsid w:val="005626A4"/>
    <w:rsid w:val="00562B29"/>
    <w:rsid w:val="00562BB9"/>
    <w:rsid w:val="00562E43"/>
    <w:rsid w:val="00562ED3"/>
    <w:rsid w:val="00562F8B"/>
    <w:rsid w:val="00563090"/>
    <w:rsid w:val="0056312F"/>
    <w:rsid w:val="005633DC"/>
    <w:rsid w:val="00563C5C"/>
    <w:rsid w:val="00563CF8"/>
    <w:rsid w:val="00563D8C"/>
    <w:rsid w:val="00563E94"/>
    <w:rsid w:val="00563F70"/>
    <w:rsid w:val="00563F9F"/>
    <w:rsid w:val="005641EC"/>
    <w:rsid w:val="0056435A"/>
    <w:rsid w:val="005643AA"/>
    <w:rsid w:val="00564445"/>
    <w:rsid w:val="005644D0"/>
    <w:rsid w:val="00564543"/>
    <w:rsid w:val="00564589"/>
    <w:rsid w:val="00564BDE"/>
    <w:rsid w:val="00564BFD"/>
    <w:rsid w:val="00564C24"/>
    <w:rsid w:val="00564ED5"/>
    <w:rsid w:val="00564F57"/>
    <w:rsid w:val="00564F6D"/>
    <w:rsid w:val="00565011"/>
    <w:rsid w:val="00565189"/>
    <w:rsid w:val="0056537D"/>
    <w:rsid w:val="005653B4"/>
    <w:rsid w:val="005656AA"/>
    <w:rsid w:val="005658D6"/>
    <w:rsid w:val="00565AEB"/>
    <w:rsid w:val="00565BCA"/>
    <w:rsid w:val="00565DC9"/>
    <w:rsid w:val="00566053"/>
    <w:rsid w:val="0056666B"/>
    <w:rsid w:val="005666C0"/>
    <w:rsid w:val="0056692D"/>
    <w:rsid w:val="005669D2"/>
    <w:rsid w:val="00566BB3"/>
    <w:rsid w:val="00566BE2"/>
    <w:rsid w:val="00566E1C"/>
    <w:rsid w:val="00566E60"/>
    <w:rsid w:val="0056707E"/>
    <w:rsid w:val="00567168"/>
    <w:rsid w:val="0056716F"/>
    <w:rsid w:val="00567170"/>
    <w:rsid w:val="0056733D"/>
    <w:rsid w:val="005676D1"/>
    <w:rsid w:val="005677AF"/>
    <w:rsid w:val="0056794D"/>
    <w:rsid w:val="005679E8"/>
    <w:rsid w:val="00567A6D"/>
    <w:rsid w:val="00567B64"/>
    <w:rsid w:val="005704D4"/>
    <w:rsid w:val="005705D2"/>
    <w:rsid w:val="00570AD6"/>
    <w:rsid w:val="00570CB1"/>
    <w:rsid w:val="0057105C"/>
    <w:rsid w:val="005711B3"/>
    <w:rsid w:val="00571458"/>
    <w:rsid w:val="005714DF"/>
    <w:rsid w:val="00571656"/>
    <w:rsid w:val="005717C3"/>
    <w:rsid w:val="005719CC"/>
    <w:rsid w:val="00571A41"/>
    <w:rsid w:val="00571D1B"/>
    <w:rsid w:val="00572098"/>
    <w:rsid w:val="005720FB"/>
    <w:rsid w:val="0057219A"/>
    <w:rsid w:val="005721DF"/>
    <w:rsid w:val="005722AC"/>
    <w:rsid w:val="00572505"/>
    <w:rsid w:val="00572CEC"/>
    <w:rsid w:val="00572DB9"/>
    <w:rsid w:val="00572F0A"/>
    <w:rsid w:val="00573052"/>
    <w:rsid w:val="0057314B"/>
    <w:rsid w:val="00573273"/>
    <w:rsid w:val="0057327A"/>
    <w:rsid w:val="005734A7"/>
    <w:rsid w:val="00573787"/>
    <w:rsid w:val="00574033"/>
    <w:rsid w:val="0057419D"/>
    <w:rsid w:val="0057423C"/>
    <w:rsid w:val="00574487"/>
    <w:rsid w:val="0057454F"/>
    <w:rsid w:val="00574628"/>
    <w:rsid w:val="005746C0"/>
    <w:rsid w:val="00574701"/>
    <w:rsid w:val="00574714"/>
    <w:rsid w:val="0057474C"/>
    <w:rsid w:val="005747E3"/>
    <w:rsid w:val="0057480F"/>
    <w:rsid w:val="00574825"/>
    <w:rsid w:val="00574853"/>
    <w:rsid w:val="00574865"/>
    <w:rsid w:val="005749B1"/>
    <w:rsid w:val="00574A54"/>
    <w:rsid w:val="00574DDB"/>
    <w:rsid w:val="005752E1"/>
    <w:rsid w:val="00575328"/>
    <w:rsid w:val="00575380"/>
    <w:rsid w:val="00575A03"/>
    <w:rsid w:val="00575B1A"/>
    <w:rsid w:val="00575B8D"/>
    <w:rsid w:val="00575EA2"/>
    <w:rsid w:val="0057604D"/>
    <w:rsid w:val="005762E2"/>
    <w:rsid w:val="005763D6"/>
    <w:rsid w:val="005766C8"/>
    <w:rsid w:val="005766F2"/>
    <w:rsid w:val="0057672E"/>
    <w:rsid w:val="00576961"/>
    <w:rsid w:val="00576A2E"/>
    <w:rsid w:val="00576B0F"/>
    <w:rsid w:val="005776E3"/>
    <w:rsid w:val="00577749"/>
    <w:rsid w:val="005777A8"/>
    <w:rsid w:val="00577855"/>
    <w:rsid w:val="005778CD"/>
    <w:rsid w:val="00577BB5"/>
    <w:rsid w:val="00577DBA"/>
    <w:rsid w:val="00577E93"/>
    <w:rsid w:val="00577F97"/>
    <w:rsid w:val="00577F9D"/>
    <w:rsid w:val="005805DA"/>
    <w:rsid w:val="00580712"/>
    <w:rsid w:val="005807B3"/>
    <w:rsid w:val="00580860"/>
    <w:rsid w:val="00580C4E"/>
    <w:rsid w:val="00580F16"/>
    <w:rsid w:val="00580FF8"/>
    <w:rsid w:val="00581135"/>
    <w:rsid w:val="005811E2"/>
    <w:rsid w:val="00581204"/>
    <w:rsid w:val="005812F7"/>
    <w:rsid w:val="0058141B"/>
    <w:rsid w:val="005815A0"/>
    <w:rsid w:val="00581827"/>
    <w:rsid w:val="00581935"/>
    <w:rsid w:val="00581A29"/>
    <w:rsid w:val="00581A44"/>
    <w:rsid w:val="00581B69"/>
    <w:rsid w:val="00581BD4"/>
    <w:rsid w:val="00581BFA"/>
    <w:rsid w:val="00581CA4"/>
    <w:rsid w:val="00581D9F"/>
    <w:rsid w:val="00581EE3"/>
    <w:rsid w:val="00581F5E"/>
    <w:rsid w:val="00582177"/>
    <w:rsid w:val="0058220C"/>
    <w:rsid w:val="0058250D"/>
    <w:rsid w:val="0058252E"/>
    <w:rsid w:val="005826C2"/>
    <w:rsid w:val="00582809"/>
    <w:rsid w:val="005828C3"/>
    <w:rsid w:val="005828CA"/>
    <w:rsid w:val="00582969"/>
    <w:rsid w:val="0058299F"/>
    <w:rsid w:val="00582E28"/>
    <w:rsid w:val="005830A5"/>
    <w:rsid w:val="00583101"/>
    <w:rsid w:val="00583417"/>
    <w:rsid w:val="005835C7"/>
    <w:rsid w:val="00583666"/>
    <w:rsid w:val="00583B10"/>
    <w:rsid w:val="00583C0B"/>
    <w:rsid w:val="00583DB8"/>
    <w:rsid w:val="00583ECF"/>
    <w:rsid w:val="00583EFA"/>
    <w:rsid w:val="005842B2"/>
    <w:rsid w:val="00584485"/>
    <w:rsid w:val="005844CA"/>
    <w:rsid w:val="0058493C"/>
    <w:rsid w:val="00584943"/>
    <w:rsid w:val="005849A9"/>
    <w:rsid w:val="00584A41"/>
    <w:rsid w:val="00584B39"/>
    <w:rsid w:val="00584F57"/>
    <w:rsid w:val="005852E1"/>
    <w:rsid w:val="00585389"/>
    <w:rsid w:val="0058539A"/>
    <w:rsid w:val="00585408"/>
    <w:rsid w:val="00585767"/>
    <w:rsid w:val="0058588E"/>
    <w:rsid w:val="00585ACD"/>
    <w:rsid w:val="005860DF"/>
    <w:rsid w:val="00586291"/>
    <w:rsid w:val="0058630E"/>
    <w:rsid w:val="005864A7"/>
    <w:rsid w:val="005864C8"/>
    <w:rsid w:val="00586615"/>
    <w:rsid w:val="00586616"/>
    <w:rsid w:val="005866C7"/>
    <w:rsid w:val="005868E4"/>
    <w:rsid w:val="0058694D"/>
    <w:rsid w:val="00586B8A"/>
    <w:rsid w:val="00586C09"/>
    <w:rsid w:val="00586D1D"/>
    <w:rsid w:val="00586F6D"/>
    <w:rsid w:val="00587141"/>
    <w:rsid w:val="005874C9"/>
    <w:rsid w:val="00587714"/>
    <w:rsid w:val="005877E3"/>
    <w:rsid w:val="0058781A"/>
    <w:rsid w:val="0058798C"/>
    <w:rsid w:val="00587AF3"/>
    <w:rsid w:val="00587B04"/>
    <w:rsid w:val="00587BD8"/>
    <w:rsid w:val="00587DE8"/>
    <w:rsid w:val="005900FA"/>
    <w:rsid w:val="00590115"/>
    <w:rsid w:val="005902EA"/>
    <w:rsid w:val="005903DF"/>
    <w:rsid w:val="00590424"/>
    <w:rsid w:val="00590827"/>
    <w:rsid w:val="00590AE4"/>
    <w:rsid w:val="00590B0E"/>
    <w:rsid w:val="00590BF1"/>
    <w:rsid w:val="00590F30"/>
    <w:rsid w:val="005910D6"/>
    <w:rsid w:val="005910E0"/>
    <w:rsid w:val="00591154"/>
    <w:rsid w:val="0059173B"/>
    <w:rsid w:val="005918C5"/>
    <w:rsid w:val="005918E1"/>
    <w:rsid w:val="0059211E"/>
    <w:rsid w:val="00592308"/>
    <w:rsid w:val="00592402"/>
    <w:rsid w:val="0059259B"/>
    <w:rsid w:val="005925D5"/>
    <w:rsid w:val="005926A0"/>
    <w:rsid w:val="005926C7"/>
    <w:rsid w:val="005929DF"/>
    <w:rsid w:val="00592AAD"/>
    <w:rsid w:val="00592ADF"/>
    <w:rsid w:val="00592B15"/>
    <w:rsid w:val="00592C16"/>
    <w:rsid w:val="00592D41"/>
    <w:rsid w:val="00592ED0"/>
    <w:rsid w:val="00592F1F"/>
    <w:rsid w:val="00593096"/>
    <w:rsid w:val="0059309D"/>
    <w:rsid w:val="00593314"/>
    <w:rsid w:val="0059336F"/>
    <w:rsid w:val="005934DD"/>
    <w:rsid w:val="005935A4"/>
    <w:rsid w:val="005936DD"/>
    <w:rsid w:val="0059381B"/>
    <w:rsid w:val="00593A27"/>
    <w:rsid w:val="00593D24"/>
    <w:rsid w:val="00593DBF"/>
    <w:rsid w:val="00593EC2"/>
    <w:rsid w:val="005941A3"/>
    <w:rsid w:val="005941BD"/>
    <w:rsid w:val="0059431B"/>
    <w:rsid w:val="00594447"/>
    <w:rsid w:val="00594464"/>
    <w:rsid w:val="00594500"/>
    <w:rsid w:val="00594678"/>
    <w:rsid w:val="00594698"/>
    <w:rsid w:val="0059476B"/>
    <w:rsid w:val="005948C2"/>
    <w:rsid w:val="005949EB"/>
    <w:rsid w:val="00594A19"/>
    <w:rsid w:val="00594BFB"/>
    <w:rsid w:val="00594D03"/>
    <w:rsid w:val="00595109"/>
    <w:rsid w:val="00595127"/>
    <w:rsid w:val="0059512A"/>
    <w:rsid w:val="005951BC"/>
    <w:rsid w:val="00595315"/>
    <w:rsid w:val="005953DA"/>
    <w:rsid w:val="00595496"/>
    <w:rsid w:val="00595586"/>
    <w:rsid w:val="00595661"/>
    <w:rsid w:val="005956FB"/>
    <w:rsid w:val="005959B6"/>
    <w:rsid w:val="00595B1C"/>
    <w:rsid w:val="00595B41"/>
    <w:rsid w:val="00595B50"/>
    <w:rsid w:val="00595C20"/>
    <w:rsid w:val="00595C95"/>
    <w:rsid w:val="00595CF4"/>
    <w:rsid w:val="00595DCA"/>
    <w:rsid w:val="00595EC0"/>
    <w:rsid w:val="0059603D"/>
    <w:rsid w:val="00596549"/>
    <w:rsid w:val="005966EC"/>
    <w:rsid w:val="00596719"/>
    <w:rsid w:val="0059692A"/>
    <w:rsid w:val="0059699C"/>
    <w:rsid w:val="00596B24"/>
    <w:rsid w:val="00596BEB"/>
    <w:rsid w:val="00596DAA"/>
    <w:rsid w:val="005970A7"/>
    <w:rsid w:val="0059720C"/>
    <w:rsid w:val="005972FF"/>
    <w:rsid w:val="00597499"/>
    <w:rsid w:val="005976EC"/>
    <w:rsid w:val="0059779B"/>
    <w:rsid w:val="0059792D"/>
    <w:rsid w:val="00597950"/>
    <w:rsid w:val="00597988"/>
    <w:rsid w:val="00597A90"/>
    <w:rsid w:val="005A00F7"/>
    <w:rsid w:val="005A01C1"/>
    <w:rsid w:val="005A0638"/>
    <w:rsid w:val="005A06EC"/>
    <w:rsid w:val="005A086D"/>
    <w:rsid w:val="005A0894"/>
    <w:rsid w:val="005A0902"/>
    <w:rsid w:val="005A09AE"/>
    <w:rsid w:val="005A0AE4"/>
    <w:rsid w:val="005A0CA3"/>
    <w:rsid w:val="005A0DAF"/>
    <w:rsid w:val="005A0FBD"/>
    <w:rsid w:val="005A10F8"/>
    <w:rsid w:val="005A11AE"/>
    <w:rsid w:val="005A1430"/>
    <w:rsid w:val="005A1654"/>
    <w:rsid w:val="005A1850"/>
    <w:rsid w:val="005A189F"/>
    <w:rsid w:val="005A1B67"/>
    <w:rsid w:val="005A1BC5"/>
    <w:rsid w:val="005A1C0A"/>
    <w:rsid w:val="005A1C43"/>
    <w:rsid w:val="005A1EFE"/>
    <w:rsid w:val="005A209A"/>
    <w:rsid w:val="005A246E"/>
    <w:rsid w:val="005A2706"/>
    <w:rsid w:val="005A275F"/>
    <w:rsid w:val="005A28A0"/>
    <w:rsid w:val="005A2B75"/>
    <w:rsid w:val="005A2C59"/>
    <w:rsid w:val="005A2D87"/>
    <w:rsid w:val="005A2D9B"/>
    <w:rsid w:val="005A3080"/>
    <w:rsid w:val="005A318A"/>
    <w:rsid w:val="005A37C1"/>
    <w:rsid w:val="005A3D00"/>
    <w:rsid w:val="005A3E0A"/>
    <w:rsid w:val="005A3ED9"/>
    <w:rsid w:val="005A40CC"/>
    <w:rsid w:val="005A41B3"/>
    <w:rsid w:val="005A4268"/>
    <w:rsid w:val="005A4316"/>
    <w:rsid w:val="005A4960"/>
    <w:rsid w:val="005A4AA5"/>
    <w:rsid w:val="005A4D5E"/>
    <w:rsid w:val="005A4D68"/>
    <w:rsid w:val="005A4D75"/>
    <w:rsid w:val="005A50D6"/>
    <w:rsid w:val="005A50DE"/>
    <w:rsid w:val="005A539D"/>
    <w:rsid w:val="005A558C"/>
    <w:rsid w:val="005A55A4"/>
    <w:rsid w:val="005A561B"/>
    <w:rsid w:val="005A5D10"/>
    <w:rsid w:val="005A600F"/>
    <w:rsid w:val="005A60AE"/>
    <w:rsid w:val="005A62F1"/>
    <w:rsid w:val="005A63B4"/>
    <w:rsid w:val="005A6434"/>
    <w:rsid w:val="005A6460"/>
    <w:rsid w:val="005A662D"/>
    <w:rsid w:val="005A6816"/>
    <w:rsid w:val="005A68CB"/>
    <w:rsid w:val="005A6BB1"/>
    <w:rsid w:val="005A6DD1"/>
    <w:rsid w:val="005A6DEC"/>
    <w:rsid w:val="005A6F68"/>
    <w:rsid w:val="005A7203"/>
    <w:rsid w:val="005A73F3"/>
    <w:rsid w:val="005A73FE"/>
    <w:rsid w:val="005A763B"/>
    <w:rsid w:val="005A77D0"/>
    <w:rsid w:val="005A7AF9"/>
    <w:rsid w:val="005A7B7A"/>
    <w:rsid w:val="005A7E4E"/>
    <w:rsid w:val="005A7F78"/>
    <w:rsid w:val="005A7F85"/>
    <w:rsid w:val="005B00DD"/>
    <w:rsid w:val="005B012E"/>
    <w:rsid w:val="005B01F6"/>
    <w:rsid w:val="005B0219"/>
    <w:rsid w:val="005B0291"/>
    <w:rsid w:val="005B04D6"/>
    <w:rsid w:val="005B06D0"/>
    <w:rsid w:val="005B0946"/>
    <w:rsid w:val="005B099E"/>
    <w:rsid w:val="005B0A41"/>
    <w:rsid w:val="005B10B0"/>
    <w:rsid w:val="005B117B"/>
    <w:rsid w:val="005B12B9"/>
    <w:rsid w:val="005B12DC"/>
    <w:rsid w:val="005B1409"/>
    <w:rsid w:val="005B147E"/>
    <w:rsid w:val="005B1653"/>
    <w:rsid w:val="005B16A5"/>
    <w:rsid w:val="005B16BA"/>
    <w:rsid w:val="005B18CD"/>
    <w:rsid w:val="005B1AFF"/>
    <w:rsid w:val="005B1C0E"/>
    <w:rsid w:val="005B1DE2"/>
    <w:rsid w:val="005B1F0E"/>
    <w:rsid w:val="005B2227"/>
    <w:rsid w:val="005B2602"/>
    <w:rsid w:val="005B26C3"/>
    <w:rsid w:val="005B2E2F"/>
    <w:rsid w:val="005B2F7D"/>
    <w:rsid w:val="005B3309"/>
    <w:rsid w:val="005B34CD"/>
    <w:rsid w:val="005B35D7"/>
    <w:rsid w:val="005B3680"/>
    <w:rsid w:val="005B37CE"/>
    <w:rsid w:val="005B3822"/>
    <w:rsid w:val="005B392A"/>
    <w:rsid w:val="005B3AA3"/>
    <w:rsid w:val="005B3FB8"/>
    <w:rsid w:val="005B414D"/>
    <w:rsid w:val="005B42CB"/>
    <w:rsid w:val="005B4360"/>
    <w:rsid w:val="005B4480"/>
    <w:rsid w:val="005B45C6"/>
    <w:rsid w:val="005B45E2"/>
    <w:rsid w:val="005B46BE"/>
    <w:rsid w:val="005B4715"/>
    <w:rsid w:val="005B4906"/>
    <w:rsid w:val="005B4A3A"/>
    <w:rsid w:val="005B4A81"/>
    <w:rsid w:val="005B4E69"/>
    <w:rsid w:val="005B524D"/>
    <w:rsid w:val="005B566E"/>
    <w:rsid w:val="005B5A53"/>
    <w:rsid w:val="005B5AA5"/>
    <w:rsid w:val="005B5CA4"/>
    <w:rsid w:val="005B5FF0"/>
    <w:rsid w:val="005B604C"/>
    <w:rsid w:val="005B61DA"/>
    <w:rsid w:val="005B6255"/>
    <w:rsid w:val="005B6516"/>
    <w:rsid w:val="005B6643"/>
    <w:rsid w:val="005B6808"/>
    <w:rsid w:val="005B6863"/>
    <w:rsid w:val="005B696A"/>
    <w:rsid w:val="005B6C58"/>
    <w:rsid w:val="005B6CBA"/>
    <w:rsid w:val="005B6E51"/>
    <w:rsid w:val="005B6E9C"/>
    <w:rsid w:val="005B6F23"/>
    <w:rsid w:val="005B6F83"/>
    <w:rsid w:val="005B7230"/>
    <w:rsid w:val="005B730C"/>
    <w:rsid w:val="005B7382"/>
    <w:rsid w:val="005B7480"/>
    <w:rsid w:val="005B7576"/>
    <w:rsid w:val="005B763C"/>
    <w:rsid w:val="005B78DB"/>
    <w:rsid w:val="005B7A34"/>
    <w:rsid w:val="005B7BA4"/>
    <w:rsid w:val="005B7C65"/>
    <w:rsid w:val="005B7FA8"/>
    <w:rsid w:val="005C0075"/>
    <w:rsid w:val="005C079A"/>
    <w:rsid w:val="005C07D9"/>
    <w:rsid w:val="005C0988"/>
    <w:rsid w:val="005C0C50"/>
    <w:rsid w:val="005C12A5"/>
    <w:rsid w:val="005C1302"/>
    <w:rsid w:val="005C1386"/>
    <w:rsid w:val="005C13EF"/>
    <w:rsid w:val="005C1726"/>
    <w:rsid w:val="005C18C8"/>
    <w:rsid w:val="005C1C8E"/>
    <w:rsid w:val="005C1CD4"/>
    <w:rsid w:val="005C1D8E"/>
    <w:rsid w:val="005C2055"/>
    <w:rsid w:val="005C21BB"/>
    <w:rsid w:val="005C255C"/>
    <w:rsid w:val="005C25DF"/>
    <w:rsid w:val="005C274C"/>
    <w:rsid w:val="005C285B"/>
    <w:rsid w:val="005C296F"/>
    <w:rsid w:val="005C29C0"/>
    <w:rsid w:val="005C2A20"/>
    <w:rsid w:val="005C2A34"/>
    <w:rsid w:val="005C2B42"/>
    <w:rsid w:val="005C2B72"/>
    <w:rsid w:val="005C2D63"/>
    <w:rsid w:val="005C30E9"/>
    <w:rsid w:val="005C31F2"/>
    <w:rsid w:val="005C324C"/>
    <w:rsid w:val="005C32D2"/>
    <w:rsid w:val="005C337E"/>
    <w:rsid w:val="005C3666"/>
    <w:rsid w:val="005C393A"/>
    <w:rsid w:val="005C3A5E"/>
    <w:rsid w:val="005C3C08"/>
    <w:rsid w:val="005C3EE6"/>
    <w:rsid w:val="005C3FC7"/>
    <w:rsid w:val="005C4219"/>
    <w:rsid w:val="005C427E"/>
    <w:rsid w:val="005C4587"/>
    <w:rsid w:val="005C484B"/>
    <w:rsid w:val="005C48E8"/>
    <w:rsid w:val="005C4B55"/>
    <w:rsid w:val="005C4DFE"/>
    <w:rsid w:val="005C4FF3"/>
    <w:rsid w:val="005C50DC"/>
    <w:rsid w:val="005C50FA"/>
    <w:rsid w:val="005C5174"/>
    <w:rsid w:val="005C527F"/>
    <w:rsid w:val="005C5503"/>
    <w:rsid w:val="005C56F3"/>
    <w:rsid w:val="005C5947"/>
    <w:rsid w:val="005C59FE"/>
    <w:rsid w:val="005C5BAA"/>
    <w:rsid w:val="005C5C60"/>
    <w:rsid w:val="005C5EE6"/>
    <w:rsid w:val="005C6195"/>
    <w:rsid w:val="005C6410"/>
    <w:rsid w:val="005C6BA0"/>
    <w:rsid w:val="005C6D04"/>
    <w:rsid w:val="005C6D6A"/>
    <w:rsid w:val="005C73B8"/>
    <w:rsid w:val="005C74EF"/>
    <w:rsid w:val="005C74FB"/>
    <w:rsid w:val="005C7580"/>
    <w:rsid w:val="005C75DB"/>
    <w:rsid w:val="005C766E"/>
    <w:rsid w:val="005C76B1"/>
    <w:rsid w:val="005C7738"/>
    <w:rsid w:val="005C7796"/>
    <w:rsid w:val="005C7D4D"/>
    <w:rsid w:val="005D05FE"/>
    <w:rsid w:val="005D0775"/>
    <w:rsid w:val="005D07C7"/>
    <w:rsid w:val="005D07D3"/>
    <w:rsid w:val="005D0818"/>
    <w:rsid w:val="005D085E"/>
    <w:rsid w:val="005D0980"/>
    <w:rsid w:val="005D0D1E"/>
    <w:rsid w:val="005D1195"/>
    <w:rsid w:val="005D1380"/>
    <w:rsid w:val="005D13D2"/>
    <w:rsid w:val="005D152B"/>
    <w:rsid w:val="005D1602"/>
    <w:rsid w:val="005D1B39"/>
    <w:rsid w:val="005D1BFF"/>
    <w:rsid w:val="005D1F37"/>
    <w:rsid w:val="005D21BE"/>
    <w:rsid w:val="005D2359"/>
    <w:rsid w:val="005D276A"/>
    <w:rsid w:val="005D27EF"/>
    <w:rsid w:val="005D2850"/>
    <w:rsid w:val="005D2886"/>
    <w:rsid w:val="005D28A2"/>
    <w:rsid w:val="005D2A8E"/>
    <w:rsid w:val="005D2E70"/>
    <w:rsid w:val="005D2E93"/>
    <w:rsid w:val="005D2F51"/>
    <w:rsid w:val="005D3351"/>
    <w:rsid w:val="005D33FD"/>
    <w:rsid w:val="005D3560"/>
    <w:rsid w:val="005D3643"/>
    <w:rsid w:val="005D38AD"/>
    <w:rsid w:val="005D398B"/>
    <w:rsid w:val="005D3BC9"/>
    <w:rsid w:val="005D3C02"/>
    <w:rsid w:val="005D3C52"/>
    <w:rsid w:val="005D3DA4"/>
    <w:rsid w:val="005D42B6"/>
    <w:rsid w:val="005D4422"/>
    <w:rsid w:val="005D4468"/>
    <w:rsid w:val="005D4522"/>
    <w:rsid w:val="005D4568"/>
    <w:rsid w:val="005D45FC"/>
    <w:rsid w:val="005D4809"/>
    <w:rsid w:val="005D4BD1"/>
    <w:rsid w:val="005D4C33"/>
    <w:rsid w:val="005D4CAF"/>
    <w:rsid w:val="005D4FDE"/>
    <w:rsid w:val="005D518C"/>
    <w:rsid w:val="005D54B3"/>
    <w:rsid w:val="005D5D29"/>
    <w:rsid w:val="005D5D8A"/>
    <w:rsid w:val="005D5E3D"/>
    <w:rsid w:val="005D5E5C"/>
    <w:rsid w:val="005D60EE"/>
    <w:rsid w:val="005D6482"/>
    <w:rsid w:val="005D6940"/>
    <w:rsid w:val="005D6972"/>
    <w:rsid w:val="005D6AE7"/>
    <w:rsid w:val="005D6BE0"/>
    <w:rsid w:val="005D6DCD"/>
    <w:rsid w:val="005D6F58"/>
    <w:rsid w:val="005D6F81"/>
    <w:rsid w:val="005D712C"/>
    <w:rsid w:val="005D725B"/>
    <w:rsid w:val="005D735A"/>
    <w:rsid w:val="005D7655"/>
    <w:rsid w:val="005D77DB"/>
    <w:rsid w:val="005D78A0"/>
    <w:rsid w:val="005D7F36"/>
    <w:rsid w:val="005D7F57"/>
    <w:rsid w:val="005E0091"/>
    <w:rsid w:val="005E0386"/>
    <w:rsid w:val="005E0E9B"/>
    <w:rsid w:val="005E11F9"/>
    <w:rsid w:val="005E1406"/>
    <w:rsid w:val="005E159A"/>
    <w:rsid w:val="005E18CC"/>
    <w:rsid w:val="005E1949"/>
    <w:rsid w:val="005E19F4"/>
    <w:rsid w:val="005E1DE9"/>
    <w:rsid w:val="005E1ECB"/>
    <w:rsid w:val="005E2391"/>
    <w:rsid w:val="005E23EB"/>
    <w:rsid w:val="005E27F1"/>
    <w:rsid w:val="005E2B83"/>
    <w:rsid w:val="005E2BA7"/>
    <w:rsid w:val="005E2BD0"/>
    <w:rsid w:val="005E2BF5"/>
    <w:rsid w:val="005E33CA"/>
    <w:rsid w:val="005E3585"/>
    <w:rsid w:val="005E37BD"/>
    <w:rsid w:val="005E37E9"/>
    <w:rsid w:val="005E385F"/>
    <w:rsid w:val="005E3888"/>
    <w:rsid w:val="005E3CFB"/>
    <w:rsid w:val="005E3D86"/>
    <w:rsid w:val="005E3D8E"/>
    <w:rsid w:val="005E405D"/>
    <w:rsid w:val="005E432D"/>
    <w:rsid w:val="005E4401"/>
    <w:rsid w:val="005E4861"/>
    <w:rsid w:val="005E48E0"/>
    <w:rsid w:val="005E4D84"/>
    <w:rsid w:val="005E4DDB"/>
    <w:rsid w:val="005E4DE3"/>
    <w:rsid w:val="005E4EA4"/>
    <w:rsid w:val="005E5013"/>
    <w:rsid w:val="005E522A"/>
    <w:rsid w:val="005E5267"/>
    <w:rsid w:val="005E53FD"/>
    <w:rsid w:val="005E5521"/>
    <w:rsid w:val="005E56B7"/>
    <w:rsid w:val="005E5B81"/>
    <w:rsid w:val="005E5CF9"/>
    <w:rsid w:val="005E5EF5"/>
    <w:rsid w:val="005E6066"/>
    <w:rsid w:val="005E6183"/>
    <w:rsid w:val="005E626D"/>
    <w:rsid w:val="005E648E"/>
    <w:rsid w:val="005E66EE"/>
    <w:rsid w:val="005E69F1"/>
    <w:rsid w:val="005E6AD4"/>
    <w:rsid w:val="005E6AD5"/>
    <w:rsid w:val="005E6B31"/>
    <w:rsid w:val="005E6D9F"/>
    <w:rsid w:val="005E6DA9"/>
    <w:rsid w:val="005E6E63"/>
    <w:rsid w:val="005E6F37"/>
    <w:rsid w:val="005E709B"/>
    <w:rsid w:val="005E7294"/>
    <w:rsid w:val="005E7621"/>
    <w:rsid w:val="005E765D"/>
    <w:rsid w:val="005E767B"/>
    <w:rsid w:val="005E7756"/>
    <w:rsid w:val="005E7833"/>
    <w:rsid w:val="005E78C6"/>
    <w:rsid w:val="005E7AE8"/>
    <w:rsid w:val="005E7C15"/>
    <w:rsid w:val="005E7CF7"/>
    <w:rsid w:val="005E7E13"/>
    <w:rsid w:val="005F004C"/>
    <w:rsid w:val="005F024C"/>
    <w:rsid w:val="005F07EC"/>
    <w:rsid w:val="005F0C19"/>
    <w:rsid w:val="005F0C39"/>
    <w:rsid w:val="005F0C6D"/>
    <w:rsid w:val="005F0CF2"/>
    <w:rsid w:val="005F0F9A"/>
    <w:rsid w:val="005F130A"/>
    <w:rsid w:val="005F13A6"/>
    <w:rsid w:val="005F13D3"/>
    <w:rsid w:val="005F145F"/>
    <w:rsid w:val="005F156A"/>
    <w:rsid w:val="005F1731"/>
    <w:rsid w:val="005F1832"/>
    <w:rsid w:val="005F1D1B"/>
    <w:rsid w:val="005F1DFA"/>
    <w:rsid w:val="005F1E0F"/>
    <w:rsid w:val="005F1E46"/>
    <w:rsid w:val="005F2213"/>
    <w:rsid w:val="005F2522"/>
    <w:rsid w:val="005F2665"/>
    <w:rsid w:val="005F26AB"/>
    <w:rsid w:val="005F26F7"/>
    <w:rsid w:val="005F2A9D"/>
    <w:rsid w:val="005F2C77"/>
    <w:rsid w:val="005F2CB1"/>
    <w:rsid w:val="005F3025"/>
    <w:rsid w:val="005F3581"/>
    <w:rsid w:val="005F367C"/>
    <w:rsid w:val="005F3787"/>
    <w:rsid w:val="005F3852"/>
    <w:rsid w:val="005F38F4"/>
    <w:rsid w:val="005F39D5"/>
    <w:rsid w:val="005F39EE"/>
    <w:rsid w:val="005F3D29"/>
    <w:rsid w:val="005F3D55"/>
    <w:rsid w:val="005F3FAB"/>
    <w:rsid w:val="005F47F5"/>
    <w:rsid w:val="005F4851"/>
    <w:rsid w:val="005F4A9F"/>
    <w:rsid w:val="005F4C72"/>
    <w:rsid w:val="005F4D01"/>
    <w:rsid w:val="005F4DC9"/>
    <w:rsid w:val="005F4E3D"/>
    <w:rsid w:val="005F4EBA"/>
    <w:rsid w:val="005F504F"/>
    <w:rsid w:val="005F5309"/>
    <w:rsid w:val="005F564C"/>
    <w:rsid w:val="005F56DD"/>
    <w:rsid w:val="005F5C9D"/>
    <w:rsid w:val="005F5EB9"/>
    <w:rsid w:val="005F5F72"/>
    <w:rsid w:val="005F618C"/>
    <w:rsid w:val="005F63B6"/>
    <w:rsid w:val="005F645F"/>
    <w:rsid w:val="005F64A8"/>
    <w:rsid w:val="005F6671"/>
    <w:rsid w:val="005F6791"/>
    <w:rsid w:val="005F6871"/>
    <w:rsid w:val="005F68E2"/>
    <w:rsid w:val="005F69F3"/>
    <w:rsid w:val="005F6A5C"/>
    <w:rsid w:val="005F6B30"/>
    <w:rsid w:val="005F6D49"/>
    <w:rsid w:val="005F6E4A"/>
    <w:rsid w:val="005F6EB5"/>
    <w:rsid w:val="005F6FCC"/>
    <w:rsid w:val="005F6FD7"/>
    <w:rsid w:val="005F70BD"/>
    <w:rsid w:val="005F7126"/>
    <w:rsid w:val="005F7375"/>
    <w:rsid w:val="005F79B8"/>
    <w:rsid w:val="005F7C18"/>
    <w:rsid w:val="005F7C61"/>
    <w:rsid w:val="005F7C8B"/>
    <w:rsid w:val="005F7D41"/>
    <w:rsid w:val="005F7FEC"/>
    <w:rsid w:val="006001BD"/>
    <w:rsid w:val="006002A8"/>
    <w:rsid w:val="00600363"/>
    <w:rsid w:val="006004C5"/>
    <w:rsid w:val="006007C8"/>
    <w:rsid w:val="006009E6"/>
    <w:rsid w:val="00600ACB"/>
    <w:rsid w:val="00600B31"/>
    <w:rsid w:val="00600C81"/>
    <w:rsid w:val="006010A0"/>
    <w:rsid w:val="00601239"/>
    <w:rsid w:val="00601248"/>
    <w:rsid w:val="0060126B"/>
    <w:rsid w:val="00601532"/>
    <w:rsid w:val="006015EC"/>
    <w:rsid w:val="00601BFC"/>
    <w:rsid w:val="00601FF5"/>
    <w:rsid w:val="006020A4"/>
    <w:rsid w:val="006021C4"/>
    <w:rsid w:val="006022E9"/>
    <w:rsid w:val="00602389"/>
    <w:rsid w:val="00602692"/>
    <w:rsid w:val="006026AC"/>
    <w:rsid w:val="00602767"/>
    <w:rsid w:val="0060283C"/>
    <w:rsid w:val="00602C8E"/>
    <w:rsid w:val="00602E33"/>
    <w:rsid w:val="00602F28"/>
    <w:rsid w:val="00602F96"/>
    <w:rsid w:val="006033AD"/>
    <w:rsid w:val="0060341B"/>
    <w:rsid w:val="006034BC"/>
    <w:rsid w:val="00603656"/>
    <w:rsid w:val="006036C0"/>
    <w:rsid w:val="00603728"/>
    <w:rsid w:val="006038C8"/>
    <w:rsid w:val="00603911"/>
    <w:rsid w:val="00603A71"/>
    <w:rsid w:val="00603C3C"/>
    <w:rsid w:val="00603E77"/>
    <w:rsid w:val="00603F90"/>
    <w:rsid w:val="00603FAA"/>
    <w:rsid w:val="0060409F"/>
    <w:rsid w:val="00604276"/>
    <w:rsid w:val="006042D3"/>
    <w:rsid w:val="006044EC"/>
    <w:rsid w:val="00604550"/>
    <w:rsid w:val="00604593"/>
    <w:rsid w:val="0060469A"/>
    <w:rsid w:val="006046C7"/>
    <w:rsid w:val="00604968"/>
    <w:rsid w:val="00604AD5"/>
    <w:rsid w:val="00604E9B"/>
    <w:rsid w:val="00604F14"/>
    <w:rsid w:val="0060501E"/>
    <w:rsid w:val="00605174"/>
    <w:rsid w:val="006051BE"/>
    <w:rsid w:val="00605347"/>
    <w:rsid w:val="0060546A"/>
    <w:rsid w:val="00605513"/>
    <w:rsid w:val="0060573F"/>
    <w:rsid w:val="006057F8"/>
    <w:rsid w:val="00605884"/>
    <w:rsid w:val="006058BE"/>
    <w:rsid w:val="00605913"/>
    <w:rsid w:val="00605A34"/>
    <w:rsid w:val="00605DC7"/>
    <w:rsid w:val="00605E31"/>
    <w:rsid w:val="0060601F"/>
    <w:rsid w:val="0060662B"/>
    <w:rsid w:val="00606649"/>
    <w:rsid w:val="0060689D"/>
    <w:rsid w:val="00606939"/>
    <w:rsid w:val="00606964"/>
    <w:rsid w:val="00606A52"/>
    <w:rsid w:val="00606FBB"/>
    <w:rsid w:val="00607020"/>
    <w:rsid w:val="006070C4"/>
    <w:rsid w:val="00607456"/>
    <w:rsid w:val="00607647"/>
    <w:rsid w:val="0060775E"/>
    <w:rsid w:val="00607950"/>
    <w:rsid w:val="00607977"/>
    <w:rsid w:val="00607ADA"/>
    <w:rsid w:val="00607B41"/>
    <w:rsid w:val="00607C10"/>
    <w:rsid w:val="00607C88"/>
    <w:rsid w:val="00607E2A"/>
    <w:rsid w:val="00607FB9"/>
    <w:rsid w:val="0061026A"/>
    <w:rsid w:val="006104F1"/>
    <w:rsid w:val="0061058D"/>
    <w:rsid w:val="00610B25"/>
    <w:rsid w:val="00610CB4"/>
    <w:rsid w:val="00610CCC"/>
    <w:rsid w:val="00610D1C"/>
    <w:rsid w:val="00610DC1"/>
    <w:rsid w:val="00610EC1"/>
    <w:rsid w:val="00611145"/>
    <w:rsid w:val="006114E1"/>
    <w:rsid w:val="00611926"/>
    <w:rsid w:val="00611B83"/>
    <w:rsid w:val="00611C4A"/>
    <w:rsid w:val="00611C79"/>
    <w:rsid w:val="00611D04"/>
    <w:rsid w:val="00611D46"/>
    <w:rsid w:val="00611F92"/>
    <w:rsid w:val="0061205F"/>
    <w:rsid w:val="00612174"/>
    <w:rsid w:val="006121BB"/>
    <w:rsid w:val="006125E9"/>
    <w:rsid w:val="00612CA8"/>
    <w:rsid w:val="00612E17"/>
    <w:rsid w:val="0061313A"/>
    <w:rsid w:val="00613257"/>
    <w:rsid w:val="00613288"/>
    <w:rsid w:val="006132BC"/>
    <w:rsid w:val="00613367"/>
    <w:rsid w:val="00613482"/>
    <w:rsid w:val="0061355C"/>
    <w:rsid w:val="00613900"/>
    <w:rsid w:val="00613963"/>
    <w:rsid w:val="006139CD"/>
    <w:rsid w:val="00613AA4"/>
    <w:rsid w:val="00613EF3"/>
    <w:rsid w:val="00613FE8"/>
    <w:rsid w:val="0061404E"/>
    <w:rsid w:val="0061414F"/>
    <w:rsid w:val="00614394"/>
    <w:rsid w:val="00614415"/>
    <w:rsid w:val="006144FA"/>
    <w:rsid w:val="00614507"/>
    <w:rsid w:val="0061450F"/>
    <w:rsid w:val="00614536"/>
    <w:rsid w:val="0061460A"/>
    <w:rsid w:val="00614A4B"/>
    <w:rsid w:val="00614CE8"/>
    <w:rsid w:val="00614D26"/>
    <w:rsid w:val="00615566"/>
    <w:rsid w:val="00615805"/>
    <w:rsid w:val="006158AE"/>
    <w:rsid w:val="00615BA2"/>
    <w:rsid w:val="00615BD7"/>
    <w:rsid w:val="00615C4E"/>
    <w:rsid w:val="00615D8D"/>
    <w:rsid w:val="00615F7A"/>
    <w:rsid w:val="00616209"/>
    <w:rsid w:val="0061674B"/>
    <w:rsid w:val="00616D74"/>
    <w:rsid w:val="00616DF9"/>
    <w:rsid w:val="00616EC5"/>
    <w:rsid w:val="00616F7E"/>
    <w:rsid w:val="006170EA"/>
    <w:rsid w:val="0061724B"/>
    <w:rsid w:val="006174E8"/>
    <w:rsid w:val="00617653"/>
    <w:rsid w:val="00617713"/>
    <w:rsid w:val="00617A76"/>
    <w:rsid w:val="00617B80"/>
    <w:rsid w:val="00617C1F"/>
    <w:rsid w:val="00617CC0"/>
    <w:rsid w:val="00617F02"/>
    <w:rsid w:val="00617FFB"/>
    <w:rsid w:val="00620008"/>
    <w:rsid w:val="006200D7"/>
    <w:rsid w:val="0062028F"/>
    <w:rsid w:val="006202D6"/>
    <w:rsid w:val="00620347"/>
    <w:rsid w:val="00620369"/>
    <w:rsid w:val="00620575"/>
    <w:rsid w:val="00620691"/>
    <w:rsid w:val="0062093B"/>
    <w:rsid w:val="00620951"/>
    <w:rsid w:val="006209B3"/>
    <w:rsid w:val="006209B6"/>
    <w:rsid w:val="00620A71"/>
    <w:rsid w:val="00620D80"/>
    <w:rsid w:val="00620FB2"/>
    <w:rsid w:val="006210F3"/>
    <w:rsid w:val="00621580"/>
    <w:rsid w:val="00621608"/>
    <w:rsid w:val="00621750"/>
    <w:rsid w:val="006217B2"/>
    <w:rsid w:val="0062182A"/>
    <w:rsid w:val="00621834"/>
    <w:rsid w:val="00621868"/>
    <w:rsid w:val="00621CAA"/>
    <w:rsid w:val="00621E51"/>
    <w:rsid w:val="00622004"/>
    <w:rsid w:val="006221FE"/>
    <w:rsid w:val="00622232"/>
    <w:rsid w:val="00622503"/>
    <w:rsid w:val="00622B34"/>
    <w:rsid w:val="00623018"/>
    <w:rsid w:val="0062302C"/>
    <w:rsid w:val="00623161"/>
    <w:rsid w:val="00623232"/>
    <w:rsid w:val="00623350"/>
    <w:rsid w:val="006234A6"/>
    <w:rsid w:val="006234ED"/>
    <w:rsid w:val="006235D0"/>
    <w:rsid w:val="006235F3"/>
    <w:rsid w:val="00623842"/>
    <w:rsid w:val="00624069"/>
    <w:rsid w:val="00624462"/>
    <w:rsid w:val="006244C9"/>
    <w:rsid w:val="006248F4"/>
    <w:rsid w:val="006251CD"/>
    <w:rsid w:val="006253C7"/>
    <w:rsid w:val="00625426"/>
    <w:rsid w:val="006257E3"/>
    <w:rsid w:val="00625C7A"/>
    <w:rsid w:val="00625E1E"/>
    <w:rsid w:val="006265D6"/>
    <w:rsid w:val="0062667B"/>
    <w:rsid w:val="00626B87"/>
    <w:rsid w:val="00626DF4"/>
    <w:rsid w:val="00626EF5"/>
    <w:rsid w:val="00626F9C"/>
    <w:rsid w:val="00627126"/>
    <w:rsid w:val="00627298"/>
    <w:rsid w:val="0062743D"/>
    <w:rsid w:val="00627460"/>
    <w:rsid w:val="006275A1"/>
    <w:rsid w:val="00627E26"/>
    <w:rsid w:val="00630001"/>
    <w:rsid w:val="00630171"/>
    <w:rsid w:val="00630255"/>
    <w:rsid w:val="00630257"/>
    <w:rsid w:val="006304E0"/>
    <w:rsid w:val="0063071E"/>
    <w:rsid w:val="00630779"/>
    <w:rsid w:val="00630841"/>
    <w:rsid w:val="0063089D"/>
    <w:rsid w:val="00630B20"/>
    <w:rsid w:val="00630CD4"/>
    <w:rsid w:val="00630D41"/>
    <w:rsid w:val="00630DBE"/>
    <w:rsid w:val="006310D7"/>
    <w:rsid w:val="00631111"/>
    <w:rsid w:val="006311B3"/>
    <w:rsid w:val="006311B8"/>
    <w:rsid w:val="00631479"/>
    <w:rsid w:val="006314A9"/>
    <w:rsid w:val="00631663"/>
    <w:rsid w:val="00631845"/>
    <w:rsid w:val="006319A0"/>
    <w:rsid w:val="00631A6E"/>
    <w:rsid w:val="00631BD9"/>
    <w:rsid w:val="006321D8"/>
    <w:rsid w:val="00632377"/>
    <w:rsid w:val="00632400"/>
    <w:rsid w:val="0063258D"/>
    <w:rsid w:val="006326D0"/>
    <w:rsid w:val="00632706"/>
    <w:rsid w:val="0063284C"/>
    <w:rsid w:val="006328DB"/>
    <w:rsid w:val="00632992"/>
    <w:rsid w:val="00632C69"/>
    <w:rsid w:val="00632DED"/>
    <w:rsid w:val="00632DF5"/>
    <w:rsid w:val="00632E18"/>
    <w:rsid w:val="00633277"/>
    <w:rsid w:val="006334EE"/>
    <w:rsid w:val="00633872"/>
    <w:rsid w:val="006338EA"/>
    <w:rsid w:val="00633A2A"/>
    <w:rsid w:val="00633E44"/>
    <w:rsid w:val="00633E6A"/>
    <w:rsid w:val="00633F54"/>
    <w:rsid w:val="00634096"/>
    <w:rsid w:val="006343D7"/>
    <w:rsid w:val="00634406"/>
    <w:rsid w:val="0063441F"/>
    <w:rsid w:val="00634426"/>
    <w:rsid w:val="00634591"/>
    <w:rsid w:val="006345C7"/>
    <w:rsid w:val="00634626"/>
    <w:rsid w:val="006349C8"/>
    <w:rsid w:val="00634B48"/>
    <w:rsid w:val="00634D15"/>
    <w:rsid w:val="00634E93"/>
    <w:rsid w:val="00634EF6"/>
    <w:rsid w:val="00635126"/>
    <w:rsid w:val="00635146"/>
    <w:rsid w:val="006352E5"/>
    <w:rsid w:val="00635499"/>
    <w:rsid w:val="006355C8"/>
    <w:rsid w:val="00635E22"/>
    <w:rsid w:val="00635E3F"/>
    <w:rsid w:val="00635FDB"/>
    <w:rsid w:val="0063606E"/>
    <w:rsid w:val="00636398"/>
    <w:rsid w:val="0063649A"/>
    <w:rsid w:val="00636789"/>
    <w:rsid w:val="00636871"/>
    <w:rsid w:val="00636891"/>
    <w:rsid w:val="006368D3"/>
    <w:rsid w:val="00636B05"/>
    <w:rsid w:val="00636C3B"/>
    <w:rsid w:val="00636CF8"/>
    <w:rsid w:val="00636FE1"/>
    <w:rsid w:val="0063701C"/>
    <w:rsid w:val="0063709E"/>
    <w:rsid w:val="006370B6"/>
    <w:rsid w:val="006372D7"/>
    <w:rsid w:val="006373C4"/>
    <w:rsid w:val="006375C5"/>
    <w:rsid w:val="006377EC"/>
    <w:rsid w:val="006378DA"/>
    <w:rsid w:val="006378F6"/>
    <w:rsid w:val="00637BFA"/>
    <w:rsid w:val="00637C43"/>
    <w:rsid w:val="00637CEB"/>
    <w:rsid w:val="00637EBA"/>
    <w:rsid w:val="00637F23"/>
    <w:rsid w:val="00637F77"/>
    <w:rsid w:val="006404AF"/>
    <w:rsid w:val="00640693"/>
    <w:rsid w:val="00640782"/>
    <w:rsid w:val="0064082F"/>
    <w:rsid w:val="00640983"/>
    <w:rsid w:val="0064098F"/>
    <w:rsid w:val="00640B3F"/>
    <w:rsid w:val="006410AF"/>
    <w:rsid w:val="006412CF"/>
    <w:rsid w:val="0064133D"/>
    <w:rsid w:val="0064151F"/>
    <w:rsid w:val="00641533"/>
    <w:rsid w:val="006415B5"/>
    <w:rsid w:val="00641921"/>
    <w:rsid w:val="0064196E"/>
    <w:rsid w:val="00641B1B"/>
    <w:rsid w:val="00641B94"/>
    <w:rsid w:val="00641C40"/>
    <w:rsid w:val="00641CFC"/>
    <w:rsid w:val="00641D3F"/>
    <w:rsid w:val="00641E62"/>
    <w:rsid w:val="00641F7A"/>
    <w:rsid w:val="0064208D"/>
    <w:rsid w:val="006420BE"/>
    <w:rsid w:val="006420DA"/>
    <w:rsid w:val="00642106"/>
    <w:rsid w:val="0064250C"/>
    <w:rsid w:val="00642536"/>
    <w:rsid w:val="0064272A"/>
    <w:rsid w:val="00642905"/>
    <w:rsid w:val="00642B67"/>
    <w:rsid w:val="00642E7A"/>
    <w:rsid w:val="00643098"/>
    <w:rsid w:val="00643475"/>
    <w:rsid w:val="0064383C"/>
    <w:rsid w:val="0064396A"/>
    <w:rsid w:val="00643987"/>
    <w:rsid w:val="00643D35"/>
    <w:rsid w:val="00644145"/>
    <w:rsid w:val="0064424E"/>
    <w:rsid w:val="0064456C"/>
    <w:rsid w:val="00644671"/>
    <w:rsid w:val="00644C63"/>
    <w:rsid w:val="00644E0C"/>
    <w:rsid w:val="0064515E"/>
    <w:rsid w:val="0064531F"/>
    <w:rsid w:val="00645509"/>
    <w:rsid w:val="00645920"/>
    <w:rsid w:val="00645A56"/>
    <w:rsid w:val="0064602F"/>
    <w:rsid w:val="0064624E"/>
    <w:rsid w:val="00646303"/>
    <w:rsid w:val="00646381"/>
    <w:rsid w:val="00646595"/>
    <w:rsid w:val="006465E8"/>
    <w:rsid w:val="0064667F"/>
    <w:rsid w:val="0064689C"/>
    <w:rsid w:val="006468CB"/>
    <w:rsid w:val="00646D86"/>
    <w:rsid w:val="00647079"/>
    <w:rsid w:val="00647814"/>
    <w:rsid w:val="006478AF"/>
    <w:rsid w:val="00647B0A"/>
    <w:rsid w:val="00647F53"/>
    <w:rsid w:val="00647F64"/>
    <w:rsid w:val="00650176"/>
    <w:rsid w:val="0065041D"/>
    <w:rsid w:val="0065051C"/>
    <w:rsid w:val="00650A3D"/>
    <w:rsid w:val="00650AAC"/>
    <w:rsid w:val="00650AB9"/>
    <w:rsid w:val="00650C06"/>
    <w:rsid w:val="00650C0B"/>
    <w:rsid w:val="00650CBD"/>
    <w:rsid w:val="00650DF9"/>
    <w:rsid w:val="00650F59"/>
    <w:rsid w:val="00651123"/>
    <w:rsid w:val="006512CF"/>
    <w:rsid w:val="006514DC"/>
    <w:rsid w:val="0065151C"/>
    <w:rsid w:val="00651595"/>
    <w:rsid w:val="006515CB"/>
    <w:rsid w:val="006519F3"/>
    <w:rsid w:val="00651BD6"/>
    <w:rsid w:val="00651D28"/>
    <w:rsid w:val="00651D3A"/>
    <w:rsid w:val="006520BD"/>
    <w:rsid w:val="006521E9"/>
    <w:rsid w:val="006522D6"/>
    <w:rsid w:val="0065232F"/>
    <w:rsid w:val="006526DB"/>
    <w:rsid w:val="0065272D"/>
    <w:rsid w:val="00652CC2"/>
    <w:rsid w:val="00652E88"/>
    <w:rsid w:val="00652EAD"/>
    <w:rsid w:val="00652EBC"/>
    <w:rsid w:val="00652F0F"/>
    <w:rsid w:val="006530E7"/>
    <w:rsid w:val="006532CB"/>
    <w:rsid w:val="0065336C"/>
    <w:rsid w:val="006536E9"/>
    <w:rsid w:val="006537AB"/>
    <w:rsid w:val="00653A22"/>
    <w:rsid w:val="00653A8B"/>
    <w:rsid w:val="00653F90"/>
    <w:rsid w:val="00654030"/>
    <w:rsid w:val="00654813"/>
    <w:rsid w:val="00654AAF"/>
    <w:rsid w:val="00654B1B"/>
    <w:rsid w:val="00654B65"/>
    <w:rsid w:val="00654D61"/>
    <w:rsid w:val="00654F7B"/>
    <w:rsid w:val="006551F5"/>
    <w:rsid w:val="00655263"/>
    <w:rsid w:val="0065540E"/>
    <w:rsid w:val="00655521"/>
    <w:rsid w:val="00655635"/>
    <w:rsid w:val="00655733"/>
    <w:rsid w:val="006557C8"/>
    <w:rsid w:val="006559F7"/>
    <w:rsid w:val="00655ACD"/>
    <w:rsid w:val="00655FE0"/>
    <w:rsid w:val="006561E6"/>
    <w:rsid w:val="00656267"/>
    <w:rsid w:val="006569CB"/>
    <w:rsid w:val="00656A92"/>
    <w:rsid w:val="00656C5D"/>
    <w:rsid w:val="00656DDE"/>
    <w:rsid w:val="00656E40"/>
    <w:rsid w:val="006574CB"/>
    <w:rsid w:val="006574FD"/>
    <w:rsid w:val="0065759C"/>
    <w:rsid w:val="0065762E"/>
    <w:rsid w:val="00657828"/>
    <w:rsid w:val="00657A5D"/>
    <w:rsid w:val="00657B65"/>
    <w:rsid w:val="00657DDD"/>
    <w:rsid w:val="00657EDD"/>
    <w:rsid w:val="006600FF"/>
    <w:rsid w:val="0066011D"/>
    <w:rsid w:val="006601B7"/>
    <w:rsid w:val="006601F6"/>
    <w:rsid w:val="00660453"/>
    <w:rsid w:val="006606EB"/>
    <w:rsid w:val="006607C0"/>
    <w:rsid w:val="00660952"/>
    <w:rsid w:val="00660BC4"/>
    <w:rsid w:val="00660C0D"/>
    <w:rsid w:val="006612B8"/>
    <w:rsid w:val="006613A6"/>
    <w:rsid w:val="006618EF"/>
    <w:rsid w:val="00661AD8"/>
    <w:rsid w:val="00662131"/>
    <w:rsid w:val="006621E7"/>
    <w:rsid w:val="0066239A"/>
    <w:rsid w:val="006623D3"/>
    <w:rsid w:val="006624A4"/>
    <w:rsid w:val="0066254B"/>
    <w:rsid w:val="006625FE"/>
    <w:rsid w:val="0066270B"/>
    <w:rsid w:val="006627A2"/>
    <w:rsid w:val="00662869"/>
    <w:rsid w:val="0066294A"/>
    <w:rsid w:val="00662B3C"/>
    <w:rsid w:val="00662BAC"/>
    <w:rsid w:val="00663066"/>
    <w:rsid w:val="0066326E"/>
    <w:rsid w:val="006634E6"/>
    <w:rsid w:val="0066358F"/>
    <w:rsid w:val="00663BD6"/>
    <w:rsid w:val="00663DF7"/>
    <w:rsid w:val="00664239"/>
    <w:rsid w:val="00664286"/>
    <w:rsid w:val="006642CF"/>
    <w:rsid w:val="006643A6"/>
    <w:rsid w:val="0066454D"/>
    <w:rsid w:val="00664797"/>
    <w:rsid w:val="00664CFD"/>
    <w:rsid w:val="00664F4F"/>
    <w:rsid w:val="00665027"/>
    <w:rsid w:val="0066520A"/>
    <w:rsid w:val="00665212"/>
    <w:rsid w:val="00665228"/>
    <w:rsid w:val="00665437"/>
    <w:rsid w:val="006655EE"/>
    <w:rsid w:val="00665675"/>
    <w:rsid w:val="00665848"/>
    <w:rsid w:val="00665872"/>
    <w:rsid w:val="00665D12"/>
    <w:rsid w:val="00665E81"/>
    <w:rsid w:val="00665ECD"/>
    <w:rsid w:val="00665FAE"/>
    <w:rsid w:val="00666146"/>
    <w:rsid w:val="00666271"/>
    <w:rsid w:val="00666327"/>
    <w:rsid w:val="00666445"/>
    <w:rsid w:val="006664A6"/>
    <w:rsid w:val="0066686D"/>
    <w:rsid w:val="00666AA2"/>
    <w:rsid w:val="00666B29"/>
    <w:rsid w:val="00666BAC"/>
    <w:rsid w:val="00666BD9"/>
    <w:rsid w:val="00666C4E"/>
    <w:rsid w:val="00666CA2"/>
    <w:rsid w:val="00666D6D"/>
    <w:rsid w:val="00666EB3"/>
    <w:rsid w:val="006670AA"/>
    <w:rsid w:val="0066739C"/>
    <w:rsid w:val="006674D7"/>
    <w:rsid w:val="00667723"/>
    <w:rsid w:val="00667756"/>
    <w:rsid w:val="00667C61"/>
    <w:rsid w:val="00667CCA"/>
    <w:rsid w:val="00667EE7"/>
    <w:rsid w:val="00667F6C"/>
    <w:rsid w:val="0067029D"/>
    <w:rsid w:val="00670321"/>
    <w:rsid w:val="006704F3"/>
    <w:rsid w:val="006704F7"/>
    <w:rsid w:val="006705B1"/>
    <w:rsid w:val="006706AE"/>
    <w:rsid w:val="0067077F"/>
    <w:rsid w:val="00670914"/>
    <w:rsid w:val="00670922"/>
    <w:rsid w:val="00670A0E"/>
    <w:rsid w:val="00670BE1"/>
    <w:rsid w:val="00670CAF"/>
    <w:rsid w:val="00671034"/>
    <w:rsid w:val="006710B8"/>
    <w:rsid w:val="00671325"/>
    <w:rsid w:val="00671371"/>
    <w:rsid w:val="00671530"/>
    <w:rsid w:val="0067165B"/>
    <w:rsid w:val="00671754"/>
    <w:rsid w:val="00671AE4"/>
    <w:rsid w:val="00671B1F"/>
    <w:rsid w:val="00671BD2"/>
    <w:rsid w:val="00671D4B"/>
    <w:rsid w:val="00672172"/>
    <w:rsid w:val="0067218F"/>
    <w:rsid w:val="006721D3"/>
    <w:rsid w:val="00672222"/>
    <w:rsid w:val="0067248B"/>
    <w:rsid w:val="006724F4"/>
    <w:rsid w:val="0067286E"/>
    <w:rsid w:val="006728C3"/>
    <w:rsid w:val="00672990"/>
    <w:rsid w:val="00672B29"/>
    <w:rsid w:val="006731D1"/>
    <w:rsid w:val="00673496"/>
    <w:rsid w:val="006735F6"/>
    <w:rsid w:val="00673786"/>
    <w:rsid w:val="0067385A"/>
    <w:rsid w:val="00673A72"/>
    <w:rsid w:val="00673B5F"/>
    <w:rsid w:val="00673C60"/>
    <w:rsid w:val="00673E28"/>
    <w:rsid w:val="00673E3C"/>
    <w:rsid w:val="00673EC3"/>
    <w:rsid w:val="00673F77"/>
    <w:rsid w:val="006741F2"/>
    <w:rsid w:val="00674279"/>
    <w:rsid w:val="006745B6"/>
    <w:rsid w:val="006745DD"/>
    <w:rsid w:val="00674932"/>
    <w:rsid w:val="00674AE8"/>
    <w:rsid w:val="00674B30"/>
    <w:rsid w:val="00674C6A"/>
    <w:rsid w:val="00674CC3"/>
    <w:rsid w:val="00674D96"/>
    <w:rsid w:val="006751B8"/>
    <w:rsid w:val="00675426"/>
    <w:rsid w:val="006754D7"/>
    <w:rsid w:val="0067560E"/>
    <w:rsid w:val="00675646"/>
    <w:rsid w:val="0067580C"/>
    <w:rsid w:val="0067587D"/>
    <w:rsid w:val="006759D5"/>
    <w:rsid w:val="00675AE9"/>
    <w:rsid w:val="00675B1A"/>
    <w:rsid w:val="00675BCF"/>
    <w:rsid w:val="00675C72"/>
    <w:rsid w:val="00675D7D"/>
    <w:rsid w:val="00675E9E"/>
    <w:rsid w:val="00675EBF"/>
    <w:rsid w:val="00675F86"/>
    <w:rsid w:val="00675FA2"/>
    <w:rsid w:val="00676181"/>
    <w:rsid w:val="00676407"/>
    <w:rsid w:val="006766ED"/>
    <w:rsid w:val="0067670E"/>
    <w:rsid w:val="00676799"/>
    <w:rsid w:val="00676C54"/>
    <w:rsid w:val="00676D08"/>
    <w:rsid w:val="006771F9"/>
    <w:rsid w:val="0067723D"/>
    <w:rsid w:val="006773CE"/>
    <w:rsid w:val="006774A6"/>
    <w:rsid w:val="006774D2"/>
    <w:rsid w:val="0067758D"/>
    <w:rsid w:val="00677655"/>
    <w:rsid w:val="006776D7"/>
    <w:rsid w:val="006776E2"/>
    <w:rsid w:val="006776ED"/>
    <w:rsid w:val="006777DD"/>
    <w:rsid w:val="0067786F"/>
    <w:rsid w:val="00677981"/>
    <w:rsid w:val="00677BBC"/>
    <w:rsid w:val="00677C4A"/>
    <w:rsid w:val="00677C66"/>
    <w:rsid w:val="00677D19"/>
    <w:rsid w:val="00677F13"/>
    <w:rsid w:val="00677F8B"/>
    <w:rsid w:val="00680411"/>
    <w:rsid w:val="00680484"/>
    <w:rsid w:val="00680521"/>
    <w:rsid w:val="00680539"/>
    <w:rsid w:val="0068055F"/>
    <w:rsid w:val="0068067C"/>
    <w:rsid w:val="00680837"/>
    <w:rsid w:val="00680899"/>
    <w:rsid w:val="00680986"/>
    <w:rsid w:val="00680A10"/>
    <w:rsid w:val="00680C77"/>
    <w:rsid w:val="00680DB8"/>
    <w:rsid w:val="00680F1C"/>
    <w:rsid w:val="00681003"/>
    <w:rsid w:val="006815F1"/>
    <w:rsid w:val="006815FC"/>
    <w:rsid w:val="00681679"/>
    <w:rsid w:val="0068169F"/>
    <w:rsid w:val="006816E3"/>
    <w:rsid w:val="00681758"/>
    <w:rsid w:val="006817C9"/>
    <w:rsid w:val="00681A6A"/>
    <w:rsid w:val="00681D21"/>
    <w:rsid w:val="006821AF"/>
    <w:rsid w:val="006822B2"/>
    <w:rsid w:val="0068254F"/>
    <w:rsid w:val="006826C2"/>
    <w:rsid w:val="00682ABB"/>
    <w:rsid w:val="00682C86"/>
    <w:rsid w:val="00682D21"/>
    <w:rsid w:val="00682D88"/>
    <w:rsid w:val="00682E10"/>
    <w:rsid w:val="00682F4A"/>
    <w:rsid w:val="006830F0"/>
    <w:rsid w:val="00683188"/>
    <w:rsid w:val="00683534"/>
    <w:rsid w:val="006838ED"/>
    <w:rsid w:val="006838F3"/>
    <w:rsid w:val="00683953"/>
    <w:rsid w:val="00683B6F"/>
    <w:rsid w:val="00683BD6"/>
    <w:rsid w:val="00683ECE"/>
    <w:rsid w:val="00684089"/>
    <w:rsid w:val="006840F6"/>
    <w:rsid w:val="0068434E"/>
    <w:rsid w:val="0068444D"/>
    <w:rsid w:val="006849EF"/>
    <w:rsid w:val="00684A74"/>
    <w:rsid w:val="00684B56"/>
    <w:rsid w:val="0068502E"/>
    <w:rsid w:val="006852F7"/>
    <w:rsid w:val="006855D9"/>
    <w:rsid w:val="00685651"/>
    <w:rsid w:val="0068595F"/>
    <w:rsid w:val="00685A8F"/>
    <w:rsid w:val="00685B2A"/>
    <w:rsid w:val="00685C1E"/>
    <w:rsid w:val="00685F19"/>
    <w:rsid w:val="006861C8"/>
    <w:rsid w:val="0068629D"/>
    <w:rsid w:val="006864DB"/>
    <w:rsid w:val="00686BE9"/>
    <w:rsid w:val="00686C4B"/>
    <w:rsid w:val="00686CD3"/>
    <w:rsid w:val="00686DF1"/>
    <w:rsid w:val="00686E3F"/>
    <w:rsid w:val="0068732E"/>
    <w:rsid w:val="00687363"/>
    <w:rsid w:val="0068739A"/>
    <w:rsid w:val="006876DB"/>
    <w:rsid w:val="00687863"/>
    <w:rsid w:val="00687B49"/>
    <w:rsid w:val="00687E53"/>
    <w:rsid w:val="0069004B"/>
    <w:rsid w:val="0069005E"/>
    <w:rsid w:val="00690086"/>
    <w:rsid w:val="00690374"/>
    <w:rsid w:val="0069048C"/>
    <w:rsid w:val="0069052C"/>
    <w:rsid w:val="00690614"/>
    <w:rsid w:val="0069088E"/>
    <w:rsid w:val="006909C9"/>
    <w:rsid w:val="00690ABC"/>
    <w:rsid w:val="00690B5F"/>
    <w:rsid w:val="006911AC"/>
    <w:rsid w:val="0069129D"/>
    <w:rsid w:val="006913D7"/>
    <w:rsid w:val="00691775"/>
    <w:rsid w:val="006919AD"/>
    <w:rsid w:val="00691A3E"/>
    <w:rsid w:val="0069207E"/>
    <w:rsid w:val="00692188"/>
    <w:rsid w:val="00692286"/>
    <w:rsid w:val="0069250D"/>
    <w:rsid w:val="006925E5"/>
    <w:rsid w:val="0069283A"/>
    <w:rsid w:val="006929A0"/>
    <w:rsid w:val="00692A76"/>
    <w:rsid w:val="00692BBC"/>
    <w:rsid w:val="00692EFA"/>
    <w:rsid w:val="006932F0"/>
    <w:rsid w:val="006933B0"/>
    <w:rsid w:val="00693460"/>
    <w:rsid w:val="0069356D"/>
    <w:rsid w:val="00693C62"/>
    <w:rsid w:val="00693FE6"/>
    <w:rsid w:val="00694071"/>
    <w:rsid w:val="0069409D"/>
    <w:rsid w:val="00694128"/>
    <w:rsid w:val="0069421E"/>
    <w:rsid w:val="006947DF"/>
    <w:rsid w:val="006948A5"/>
    <w:rsid w:val="00694A11"/>
    <w:rsid w:val="00694B78"/>
    <w:rsid w:val="00694B84"/>
    <w:rsid w:val="00694FEE"/>
    <w:rsid w:val="006954C3"/>
    <w:rsid w:val="00695714"/>
    <w:rsid w:val="0069594F"/>
    <w:rsid w:val="00695D41"/>
    <w:rsid w:val="00695F65"/>
    <w:rsid w:val="00695FC2"/>
    <w:rsid w:val="0069632F"/>
    <w:rsid w:val="00696558"/>
    <w:rsid w:val="0069672E"/>
    <w:rsid w:val="006967EC"/>
    <w:rsid w:val="00696843"/>
    <w:rsid w:val="00696949"/>
    <w:rsid w:val="006969A0"/>
    <w:rsid w:val="00696B93"/>
    <w:rsid w:val="00696C8C"/>
    <w:rsid w:val="00696F5D"/>
    <w:rsid w:val="00697052"/>
    <w:rsid w:val="006970CA"/>
    <w:rsid w:val="0069752B"/>
    <w:rsid w:val="006976BC"/>
    <w:rsid w:val="00697A79"/>
    <w:rsid w:val="00697B94"/>
    <w:rsid w:val="00697E52"/>
    <w:rsid w:val="006A0284"/>
    <w:rsid w:val="006A03B0"/>
    <w:rsid w:val="006A0551"/>
    <w:rsid w:val="006A0BA3"/>
    <w:rsid w:val="006A0CA9"/>
    <w:rsid w:val="006A0CCD"/>
    <w:rsid w:val="006A103B"/>
    <w:rsid w:val="006A14F6"/>
    <w:rsid w:val="006A15D2"/>
    <w:rsid w:val="006A15F6"/>
    <w:rsid w:val="006A1895"/>
    <w:rsid w:val="006A1A3E"/>
    <w:rsid w:val="006A1AAB"/>
    <w:rsid w:val="006A1C2E"/>
    <w:rsid w:val="006A1C46"/>
    <w:rsid w:val="006A1CBB"/>
    <w:rsid w:val="006A1EFC"/>
    <w:rsid w:val="006A22EF"/>
    <w:rsid w:val="006A246A"/>
    <w:rsid w:val="006A246C"/>
    <w:rsid w:val="006A24F9"/>
    <w:rsid w:val="006A26CA"/>
    <w:rsid w:val="006A2723"/>
    <w:rsid w:val="006A2927"/>
    <w:rsid w:val="006A2DA7"/>
    <w:rsid w:val="006A2DEE"/>
    <w:rsid w:val="006A2EC2"/>
    <w:rsid w:val="006A2EDF"/>
    <w:rsid w:val="006A3299"/>
    <w:rsid w:val="006A3446"/>
    <w:rsid w:val="006A362F"/>
    <w:rsid w:val="006A3A8B"/>
    <w:rsid w:val="006A3BD7"/>
    <w:rsid w:val="006A3D15"/>
    <w:rsid w:val="006A41D9"/>
    <w:rsid w:val="006A4298"/>
    <w:rsid w:val="006A43E4"/>
    <w:rsid w:val="006A459C"/>
    <w:rsid w:val="006A4622"/>
    <w:rsid w:val="006A46F5"/>
    <w:rsid w:val="006A46FB"/>
    <w:rsid w:val="006A49A4"/>
    <w:rsid w:val="006A4CA4"/>
    <w:rsid w:val="006A4D0A"/>
    <w:rsid w:val="006A4F48"/>
    <w:rsid w:val="006A5032"/>
    <w:rsid w:val="006A50FC"/>
    <w:rsid w:val="006A51EF"/>
    <w:rsid w:val="006A5214"/>
    <w:rsid w:val="006A5971"/>
    <w:rsid w:val="006A59DD"/>
    <w:rsid w:val="006A5BA5"/>
    <w:rsid w:val="006A5CC8"/>
    <w:rsid w:val="006A5CD0"/>
    <w:rsid w:val="006A5D38"/>
    <w:rsid w:val="006A5E28"/>
    <w:rsid w:val="006A5FC8"/>
    <w:rsid w:val="006A5FC9"/>
    <w:rsid w:val="006A5FEA"/>
    <w:rsid w:val="006A6100"/>
    <w:rsid w:val="006A623B"/>
    <w:rsid w:val="006A62FB"/>
    <w:rsid w:val="006A697B"/>
    <w:rsid w:val="006A6A68"/>
    <w:rsid w:val="006A6AF3"/>
    <w:rsid w:val="006A6D87"/>
    <w:rsid w:val="006A6E55"/>
    <w:rsid w:val="006A70BB"/>
    <w:rsid w:val="006A7213"/>
    <w:rsid w:val="006A784F"/>
    <w:rsid w:val="006A7AFF"/>
    <w:rsid w:val="006A7C53"/>
    <w:rsid w:val="006A7D3B"/>
    <w:rsid w:val="006A7E23"/>
    <w:rsid w:val="006B0139"/>
    <w:rsid w:val="006B0171"/>
    <w:rsid w:val="006B04CC"/>
    <w:rsid w:val="006B04CF"/>
    <w:rsid w:val="006B06B9"/>
    <w:rsid w:val="006B0791"/>
    <w:rsid w:val="006B0AD1"/>
    <w:rsid w:val="006B0ADA"/>
    <w:rsid w:val="006B127C"/>
    <w:rsid w:val="006B12DD"/>
    <w:rsid w:val="006B13F2"/>
    <w:rsid w:val="006B152C"/>
    <w:rsid w:val="006B16BC"/>
    <w:rsid w:val="006B17E1"/>
    <w:rsid w:val="006B1816"/>
    <w:rsid w:val="006B1917"/>
    <w:rsid w:val="006B1A25"/>
    <w:rsid w:val="006B1AB5"/>
    <w:rsid w:val="006B1B74"/>
    <w:rsid w:val="006B1C5B"/>
    <w:rsid w:val="006B1D49"/>
    <w:rsid w:val="006B1D60"/>
    <w:rsid w:val="006B1E5E"/>
    <w:rsid w:val="006B1F99"/>
    <w:rsid w:val="006B2099"/>
    <w:rsid w:val="006B21FB"/>
    <w:rsid w:val="006B235A"/>
    <w:rsid w:val="006B2532"/>
    <w:rsid w:val="006B26FA"/>
    <w:rsid w:val="006B29C1"/>
    <w:rsid w:val="006B2A24"/>
    <w:rsid w:val="006B2BF2"/>
    <w:rsid w:val="006B2EFC"/>
    <w:rsid w:val="006B30AD"/>
    <w:rsid w:val="006B3360"/>
    <w:rsid w:val="006B34BB"/>
    <w:rsid w:val="006B37A4"/>
    <w:rsid w:val="006B3843"/>
    <w:rsid w:val="006B39C5"/>
    <w:rsid w:val="006B3B25"/>
    <w:rsid w:val="006B3DCF"/>
    <w:rsid w:val="006B41F3"/>
    <w:rsid w:val="006B4303"/>
    <w:rsid w:val="006B4371"/>
    <w:rsid w:val="006B4381"/>
    <w:rsid w:val="006B43F9"/>
    <w:rsid w:val="006B453A"/>
    <w:rsid w:val="006B4569"/>
    <w:rsid w:val="006B4571"/>
    <w:rsid w:val="006B466D"/>
    <w:rsid w:val="006B479D"/>
    <w:rsid w:val="006B4900"/>
    <w:rsid w:val="006B4B06"/>
    <w:rsid w:val="006B4B31"/>
    <w:rsid w:val="006B4C33"/>
    <w:rsid w:val="006B50CF"/>
    <w:rsid w:val="006B51E9"/>
    <w:rsid w:val="006B5404"/>
    <w:rsid w:val="006B5725"/>
    <w:rsid w:val="006B5995"/>
    <w:rsid w:val="006B5AA5"/>
    <w:rsid w:val="006B5E0D"/>
    <w:rsid w:val="006B5EAF"/>
    <w:rsid w:val="006B5EE8"/>
    <w:rsid w:val="006B5F54"/>
    <w:rsid w:val="006B60C5"/>
    <w:rsid w:val="006B62E3"/>
    <w:rsid w:val="006B6396"/>
    <w:rsid w:val="006B64EA"/>
    <w:rsid w:val="006B65DE"/>
    <w:rsid w:val="006B699B"/>
    <w:rsid w:val="006B6C9B"/>
    <w:rsid w:val="006B6ED5"/>
    <w:rsid w:val="006B6F64"/>
    <w:rsid w:val="006B713B"/>
    <w:rsid w:val="006B740E"/>
    <w:rsid w:val="006B79BE"/>
    <w:rsid w:val="006B7C45"/>
    <w:rsid w:val="006B7D35"/>
    <w:rsid w:val="006B7E15"/>
    <w:rsid w:val="006C03B8"/>
    <w:rsid w:val="006C0D8A"/>
    <w:rsid w:val="006C0DBD"/>
    <w:rsid w:val="006C0F99"/>
    <w:rsid w:val="006C11D1"/>
    <w:rsid w:val="006C11E9"/>
    <w:rsid w:val="006C15F8"/>
    <w:rsid w:val="006C17D3"/>
    <w:rsid w:val="006C184F"/>
    <w:rsid w:val="006C194F"/>
    <w:rsid w:val="006C1EE8"/>
    <w:rsid w:val="006C1F07"/>
    <w:rsid w:val="006C1FF7"/>
    <w:rsid w:val="006C20B3"/>
    <w:rsid w:val="006C232C"/>
    <w:rsid w:val="006C24B2"/>
    <w:rsid w:val="006C2536"/>
    <w:rsid w:val="006C25C7"/>
    <w:rsid w:val="006C2772"/>
    <w:rsid w:val="006C27C1"/>
    <w:rsid w:val="006C27D9"/>
    <w:rsid w:val="006C29B1"/>
    <w:rsid w:val="006C2D35"/>
    <w:rsid w:val="006C2D4F"/>
    <w:rsid w:val="006C2F91"/>
    <w:rsid w:val="006C3718"/>
    <w:rsid w:val="006C3834"/>
    <w:rsid w:val="006C3A3B"/>
    <w:rsid w:val="006C3A56"/>
    <w:rsid w:val="006C3DB5"/>
    <w:rsid w:val="006C3DB7"/>
    <w:rsid w:val="006C3E39"/>
    <w:rsid w:val="006C3F95"/>
    <w:rsid w:val="006C400B"/>
    <w:rsid w:val="006C4087"/>
    <w:rsid w:val="006C44C3"/>
    <w:rsid w:val="006C4567"/>
    <w:rsid w:val="006C4702"/>
    <w:rsid w:val="006C4715"/>
    <w:rsid w:val="006C496E"/>
    <w:rsid w:val="006C49E3"/>
    <w:rsid w:val="006C4BC5"/>
    <w:rsid w:val="006C4EB2"/>
    <w:rsid w:val="006C5127"/>
    <w:rsid w:val="006C52B1"/>
    <w:rsid w:val="006C5907"/>
    <w:rsid w:val="006C5C56"/>
    <w:rsid w:val="006C5EC9"/>
    <w:rsid w:val="006C6059"/>
    <w:rsid w:val="006C636D"/>
    <w:rsid w:val="006C6633"/>
    <w:rsid w:val="006C671B"/>
    <w:rsid w:val="006C673C"/>
    <w:rsid w:val="006C6AF5"/>
    <w:rsid w:val="006C6BE3"/>
    <w:rsid w:val="006C6DF5"/>
    <w:rsid w:val="006C6F67"/>
    <w:rsid w:val="006C7522"/>
    <w:rsid w:val="006C775B"/>
    <w:rsid w:val="006C77E5"/>
    <w:rsid w:val="006C7A08"/>
    <w:rsid w:val="006C7A10"/>
    <w:rsid w:val="006C7A90"/>
    <w:rsid w:val="006C7B36"/>
    <w:rsid w:val="006D05D9"/>
    <w:rsid w:val="006D06EB"/>
    <w:rsid w:val="006D0795"/>
    <w:rsid w:val="006D089B"/>
    <w:rsid w:val="006D09FD"/>
    <w:rsid w:val="006D0A44"/>
    <w:rsid w:val="006D0A97"/>
    <w:rsid w:val="006D0AF6"/>
    <w:rsid w:val="006D0B09"/>
    <w:rsid w:val="006D0FD4"/>
    <w:rsid w:val="006D101F"/>
    <w:rsid w:val="006D10F2"/>
    <w:rsid w:val="006D12B3"/>
    <w:rsid w:val="006D1551"/>
    <w:rsid w:val="006D17DC"/>
    <w:rsid w:val="006D190A"/>
    <w:rsid w:val="006D1940"/>
    <w:rsid w:val="006D1BCC"/>
    <w:rsid w:val="006D1D67"/>
    <w:rsid w:val="006D1F73"/>
    <w:rsid w:val="006D209D"/>
    <w:rsid w:val="006D2852"/>
    <w:rsid w:val="006D2DD7"/>
    <w:rsid w:val="006D300E"/>
    <w:rsid w:val="006D3142"/>
    <w:rsid w:val="006D358D"/>
    <w:rsid w:val="006D35B0"/>
    <w:rsid w:val="006D3655"/>
    <w:rsid w:val="006D3DD4"/>
    <w:rsid w:val="006D3E50"/>
    <w:rsid w:val="006D3F03"/>
    <w:rsid w:val="006D4062"/>
    <w:rsid w:val="006D4249"/>
    <w:rsid w:val="006D425C"/>
    <w:rsid w:val="006D434F"/>
    <w:rsid w:val="006D44A6"/>
    <w:rsid w:val="006D493D"/>
    <w:rsid w:val="006D4A18"/>
    <w:rsid w:val="006D4C92"/>
    <w:rsid w:val="006D4D83"/>
    <w:rsid w:val="006D4E2E"/>
    <w:rsid w:val="006D4E6A"/>
    <w:rsid w:val="006D4EAC"/>
    <w:rsid w:val="006D4F4F"/>
    <w:rsid w:val="006D518A"/>
    <w:rsid w:val="006D51F7"/>
    <w:rsid w:val="006D52B1"/>
    <w:rsid w:val="006D541C"/>
    <w:rsid w:val="006D561B"/>
    <w:rsid w:val="006D57EE"/>
    <w:rsid w:val="006D5823"/>
    <w:rsid w:val="006D5A35"/>
    <w:rsid w:val="006D5C6D"/>
    <w:rsid w:val="006D5E80"/>
    <w:rsid w:val="006D6347"/>
    <w:rsid w:val="006D6EF4"/>
    <w:rsid w:val="006D6F08"/>
    <w:rsid w:val="006D7132"/>
    <w:rsid w:val="006D7504"/>
    <w:rsid w:val="006D753C"/>
    <w:rsid w:val="006D7638"/>
    <w:rsid w:val="006D7A69"/>
    <w:rsid w:val="006D7B89"/>
    <w:rsid w:val="006D7BD9"/>
    <w:rsid w:val="006E0033"/>
    <w:rsid w:val="006E01AE"/>
    <w:rsid w:val="006E03A9"/>
    <w:rsid w:val="006E03C0"/>
    <w:rsid w:val="006E03CE"/>
    <w:rsid w:val="006E0433"/>
    <w:rsid w:val="006E0517"/>
    <w:rsid w:val="006E062C"/>
    <w:rsid w:val="006E0651"/>
    <w:rsid w:val="006E0702"/>
    <w:rsid w:val="006E09AB"/>
    <w:rsid w:val="006E0B3F"/>
    <w:rsid w:val="006E10BA"/>
    <w:rsid w:val="006E127D"/>
    <w:rsid w:val="006E12EA"/>
    <w:rsid w:val="006E13A0"/>
    <w:rsid w:val="006E1513"/>
    <w:rsid w:val="006E1875"/>
    <w:rsid w:val="006E1894"/>
    <w:rsid w:val="006E1A0E"/>
    <w:rsid w:val="006E1C82"/>
    <w:rsid w:val="006E2194"/>
    <w:rsid w:val="006E2383"/>
    <w:rsid w:val="006E23F8"/>
    <w:rsid w:val="006E24DA"/>
    <w:rsid w:val="006E2659"/>
    <w:rsid w:val="006E269A"/>
    <w:rsid w:val="006E28B7"/>
    <w:rsid w:val="006E2A9B"/>
    <w:rsid w:val="006E2BA1"/>
    <w:rsid w:val="006E2CE0"/>
    <w:rsid w:val="006E2D94"/>
    <w:rsid w:val="006E2EAD"/>
    <w:rsid w:val="006E300C"/>
    <w:rsid w:val="006E3217"/>
    <w:rsid w:val="006E325B"/>
    <w:rsid w:val="006E3310"/>
    <w:rsid w:val="006E33C3"/>
    <w:rsid w:val="006E3513"/>
    <w:rsid w:val="006E361D"/>
    <w:rsid w:val="006E3734"/>
    <w:rsid w:val="006E3905"/>
    <w:rsid w:val="006E3B86"/>
    <w:rsid w:val="006E3D35"/>
    <w:rsid w:val="006E41CB"/>
    <w:rsid w:val="006E4210"/>
    <w:rsid w:val="006E43AA"/>
    <w:rsid w:val="006E44CB"/>
    <w:rsid w:val="006E4571"/>
    <w:rsid w:val="006E4839"/>
    <w:rsid w:val="006E488E"/>
    <w:rsid w:val="006E4CDE"/>
    <w:rsid w:val="006E4DD5"/>
    <w:rsid w:val="006E4E39"/>
    <w:rsid w:val="006E5257"/>
    <w:rsid w:val="006E52A4"/>
    <w:rsid w:val="006E5576"/>
    <w:rsid w:val="006E5615"/>
    <w:rsid w:val="006E565E"/>
    <w:rsid w:val="006E5695"/>
    <w:rsid w:val="006E56CF"/>
    <w:rsid w:val="006E57E7"/>
    <w:rsid w:val="006E5A1A"/>
    <w:rsid w:val="006E5EFD"/>
    <w:rsid w:val="006E5F07"/>
    <w:rsid w:val="006E616E"/>
    <w:rsid w:val="006E6453"/>
    <w:rsid w:val="006E673D"/>
    <w:rsid w:val="006E6967"/>
    <w:rsid w:val="006E69AB"/>
    <w:rsid w:val="006E6BD6"/>
    <w:rsid w:val="006E6CBC"/>
    <w:rsid w:val="006E6D2D"/>
    <w:rsid w:val="006E73FF"/>
    <w:rsid w:val="006E7444"/>
    <w:rsid w:val="006E78E3"/>
    <w:rsid w:val="006E7940"/>
    <w:rsid w:val="006E7BB0"/>
    <w:rsid w:val="006E7BFA"/>
    <w:rsid w:val="006E7C75"/>
    <w:rsid w:val="006E7D3B"/>
    <w:rsid w:val="006E7F0E"/>
    <w:rsid w:val="006E7F0F"/>
    <w:rsid w:val="006F005D"/>
    <w:rsid w:val="006F0144"/>
    <w:rsid w:val="006F02C8"/>
    <w:rsid w:val="006F0310"/>
    <w:rsid w:val="006F0405"/>
    <w:rsid w:val="006F064F"/>
    <w:rsid w:val="006F086E"/>
    <w:rsid w:val="006F097D"/>
    <w:rsid w:val="006F098B"/>
    <w:rsid w:val="006F0990"/>
    <w:rsid w:val="006F0A05"/>
    <w:rsid w:val="006F0BCF"/>
    <w:rsid w:val="006F0C59"/>
    <w:rsid w:val="006F0F65"/>
    <w:rsid w:val="006F1045"/>
    <w:rsid w:val="006F116B"/>
    <w:rsid w:val="006F1263"/>
    <w:rsid w:val="006F13F6"/>
    <w:rsid w:val="006F1A76"/>
    <w:rsid w:val="006F1ADE"/>
    <w:rsid w:val="006F1B70"/>
    <w:rsid w:val="006F1C01"/>
    <w:rsid w:val="006F1C4B"/>
    <w:rsid w:val="006F1D4C"/>
    <w:rsid w:val="006F1D52"/>
    <w:rsid w:val="006F1E0A"/>
    <w:rsid w:val="006F1F03"/>
    <w:rsid w:val="006F2115"/>
    <w:rsid w:val="006F21B6"/>
    <w:rsid w:val="006F2639"/>
    <w:rsid w:val="006F272E"/>
    <w:rsid w:val="006F2A2E"/>
    <w:rsid w:val="006F2BD9"/>
    <w:rsid w:val="006F302B"/>
    <w:rsid w:val="006F341D"/>
    <w:rsid w:val="006F364E"/>
    <w:rsid w:val="006F38C3"/>
    <w:rsid w:val="006F396B"/>
    <w:rsid w:val="006F39F6"/>
    <w:rsid w:val="006F3BA6"/>
    <w:rsid w:val="006F3C68"/>
    <w:rsid w:val="006F3CDE"/>
    <w:rsid w:val="006F3EDE"/>
    <w:rsid w:val="006F3F78"/>
    <w:rsid w:val="006F3FBE"/>
    <w:rsid w:val="006F419B"/>
    <w:rsid w:val="006F4253"/>
    <w:rsid w:val="006F426E"/>
    <w:rsid w:val="006F42AD"/>
    <w:rsid w:val="006F44E8"/>
    <w:rsid w:val="006F4547"/>
    <w:rsid w:val="006F4986"/>
    <w:rsid w:val="006F4AF4"/>
    <w:rsid w:val="006F4B65"/>
    <w:rsid w:val="006F4F01"/>
    <w:rsid w:val="006F4F30"/>
    <w:rsid w:val="006F5021"/>
    <w:rsid w:val="006F5496"/>
    <w:rsid w:val="006F5689"/>
    <w:rsid w:val="006F585A"/>
    <w:rsid w:val="006F58C8"/>
    <w:rsid w:val="006F58D4"/>
    <w:rsid w:val="006F59BB"/>
    <w:rsid w:val="006F5B1B"/>
    <w:rsid w:val="006F5EE4"/>
    <w:rsid w:val="006F5FAD"/>
    <w:rsid w:val="006F6085"/>
    <w:rsid w:val="006F618D"/>
    <w:rsid w:val="006F634A"/>
    <w:rsid w:val="006F649C"/>
    <w:rsid w:val="006F654B"/>
    <w:rsid w:val="006F6553"/>
    <w:rsid w:val="006F6582"/>
    <w:rsid w:val="006F68E5"/>
    <w:rsid w:val="006F6952"/>
    <w:rsid w:val="006F733A"/>
    <w:rsid w:val="006F735B"/>
    <w:rsid w:val="006F7435"/>
    <w:rsid w:val="006F7675"/>
    <w:rsid w:val="006F780E"/>
    <w:rsid w:val="006F784E"/>
    <w:rsid w:val="006F7A90"/>
    <w:rsid w:val="006F7BB6"/>
    <w:rsid w:val="007000A1"/>
    <w:rsid w:val="0070010F"/>
    <w:rsid w:val="007002C8"/>
    <w:rsid w:val="007002EF"/>
    <w:rsid w:val="0070041B"/>
    <w:rsid w:val="00700493"/>
    <w:rsid w:val="007004FB"/>
    <w:rsid w:val="007005FD"/>
    <w:rsid w:val="0070060B"/>
    <w:rsid w:val="00700715"/>
    <w:rsid w:val="00700741"/>
    <w:rsid w:val="0070085B"/>
    <w:rsid w:val="00700A2D"/>
    <w:rsid w:val="00700A57"/>
    <w:rsid w:val="00700D24"/>
    <w:rsid w:val="00700EC3"/>
    <w:rsid w:val="0070113F"/>
    <w:rsid w:val="007014D3"/>
    <w:rsid w:val="007019FC"/>
    <w:rsid w:val="00701C2E"/>
    <w:rsid w:val="00701D57"/>
    <w:rsid w:val="00701DA5"/>
    <w:rsid w:val="007022D7"/>
    <w:rsid w:val="0070277D"/>
    <w:rsid w:val="00702BEC"/>
    <w:rsid w:val="00702E2D"/>
    <w:rsid w:val="00702E6E"/>
    <w:rsid w:val="00702FEF"/>
    <w:rsid w:val="00703205"/>
    <w:rsid w:val="0070346E"/>
    <w:rsid w:val="00703495"/>
    <w:rsid w:val="007035D4"/>
    <w:rsid w:val="0070373A"/>
    <w:rsid w:val="00703C8F"/>
    <w:rsid w:val="00703D0D"/>
    <w:rsid w:val="00703D76"/>
    <w:rsid w:val="00703EBB"/>
    <w:rsid w:val="00703EBF"/>
    <w:rsid w:val="0070454B"/>
    <w:rsid w:val="00704747"/>
    <w:rsid w:val="0070497A"/>
    <w:rsid w:val="00704D83"/>
    <w:rsid w:val="00704EDB"/>
    <w:rsid w:val="00704F8E"/>
    <w:rsid w:val="00705550"/>
    <w:rsid w:val="00705767"/>
    <w:rsid w:val="007057B4"/>
    <w:rsid w:val="0070587D"/>
    <w:rsid w:val="0070597B"/>
    <w:rsid w:val="00705B0F"/>
    <w:rsid w:val="00705C43"/>
    <w:rsid w:val="00705D5A"/>
    <w:rsid w:val="00705E57"/>
    <w:rsid w:val="00706101"/>
    <w:rsid w:val="007061D5"/>
    <w:rsid w:val="00706211"/>
    <w:rsid w:val="00706767"/>
    <w:rsid w:val="00706842"/>
    <w:rsid w:val="00706D1E"/>
    <w:rsid w:val="00706D57"/>
    <w:rsid w:val="00706D6F"/>
    <w:rsid w:val="00706EB2"/>
    <w:rsid w:val="00706EBB"/>
    <w:rsid w:val="00706EDA"/>
    <w:rsid w:val="00707072"/>
    <w:rsid w:val="007070A1"/>
    <w:rsid w:val="00707103"/>
    <w:rsid w:val="0070725D"/>
    <w:rsid w:val="007077C2"/>
    <w:rsid w:val="00707870"/>
    <w:rsid w:val="00707A3F"/>
    <w:rsid w:val="00707A5D"/>
    <w:rsid w:val="00707B16"/>
    <w:rsid w:val="00707B5D"/>
    <w:rsid w:val="00707C56"/>
    <w:rsid w:val="00707D61"/>
    <w:rsid w:val="00707F47"/>
    <w:rsid w:val="00707F62"/>
    <w:rsid w:val="00707FD2"/>
    <w:rsid w:val="00710408"/>
    <w:rsid w:val="007107C0"/>
    <w:rsid w:val="00710988"/>
    <w:rsid w:val="00710AF6"/>
    <w:rsid w:val="00710C2B"/>
    <w:rsid w:val="00710E23"/>
    <w:rsid w:val="00710E98"/>
    <w:rsid w:val="00710FDC"/>
    <w:rsid w:val="00711183"/>
    <w:rsid w:val="00711FC2"/>
    <w:rsid w:val="00712287"/>
    <w:rsid w:val="00712464"/>
    <w:rsid w:val="00712772"/>
    <w:rsid w:val="00712935"/>
    <w:rsid w:val="007129F1"/>
    <w:rsid w:val="00712D97"/>
    <w:rsid w:val="00712DDC"/>
    <w:rsid w:val="00712ECC"/>
    <w:rsid w:val="00712FC7"/>
    <w:rsid w:val="00713120"/>
    <w:rsid w:val="007132F6"/>
    <w:rsid w:val="00713619"/>
    <w:rsid w:val="00713736"/>
    <w:rsid w:val="007138CC"/>
    <w:rsid w:val="00713A18"/>
    <w:rsid w:val="00713BE2"/>
    <w:rsid w:val="00713D7C"/>
    <w:rsid w:val="00713F38"/>
    <w:rsid w:val="00713FA2"/>
    <w:rsid w:val="00713FBE"/>
    <w:rsid w:val="00714039"/>
    <w:rsid w:val="00714273"/>
    <w:rsid w:val="007143B5"/>
    <w:rsid w:val="007143FA"/>
    <w:rsid w:val="007144DA"/>
    <w:rsid w:val="007147F6"/>
    <w:rsid w:val="007148D3"/>
    <w:rsid w:val="00714B53"/>
    <w:rsid w:val="00714D4A"/>
    <w:rsid w:val="00714DF4"/>
    <w:rsid w:val="00714F3C"/>
    <w:rsid w:val="00714F3E"/>
    <w:rsid w:val="007155A8"/>
    <w:rsid w:val="00715739"/>
    <w:rsid w:val="00715B8A"/>
    <w:rsid w:val="00715B9A"/>
    <w:rsid w:val="00715BC0"/>
    <w:rsid w:val="00715CE0"/>
    <w:rsid w:val="00715F9E"/>
    <w:rsid w:val="00716538"/>
    <w:rsid w:val="0071656E"/>
    <w:rsid w:val="007165B2"/>
    <w:rsid w:val="00716AEC"/>
    <w:rsid w:val="00716F44"/>
    <w:rsid w:val="00716F95"/>
    <w:rsid w:val="00717030"/>
    <w:rsid w:val="00717172"/>
    <w:rsid w:val="00717651"/>
    <w:rsid w:val="00717681"/>
    <w:rsid w:val="007177BE"/>
    <w:rsid w:val="00717C86"/>
    <w:rsid w:val="00717DC3"/>
    <w:rsid w:val="00717F39"/>
    <w:rsid w:val="007203FA"/>
    <w:rsid w:val="00720435"/>
    <w:rsid w:val="007204B5"/>
    <w:rsid w:val="007205ED"/>
    <w:rsid w:val="0072063E"/>
    <w:rsid w:val="00720E8F"/>
    <w:rsid w:val="00720F4B"/>
    <w:rsid w:val="0072102C"/>
    <w:rsid w:val="00721144"/>
    <w:rsid w:val="007211E2"/>
    <w:rsid w:val="00721568"/>
    <w:rsid w:val="00721728"/>
    <w:rsid w:val="00721758"/>
    <w:rsid w:val="007222A3"/>
    <w:rsid w:val="007228EC"/>
    <w:rsid w:val="007229DE"/>
    <w:rsid w:val="00722A6F"/>
    <w:rsid w:val="00722C96"/>
    <w:rsid w:val="00722CD0"/>
    <w:rsid w:val="00722D25"/>
    <w:rsid w:val="00722E1A"/>
    <w:rsid w:val="00722FFB"/>
    <w:rsid w:val="00722FFF"/>
    <w:rsid w:val="007232A1"/>
    <w:rsid w:val="0072336A"/>
    <w:rsid w:val="007234E6"/>
    <w:rsid w:val="007235B7"/>
    <w:rsid w:val="007235EF"/>
    <w:rsid w:val="007236E8"/>
    <w:rsid w:val="00723ADB"/>
    <w:rsid w:val="00723C89"/>
    <w:rsid w:val="00723CA0"/>
    <w:rsid w:val="00723CA8"/>
    <w:rsid w:val="00724122"/>
    <w:rsid w:val="00724269"/>
    <w:rsid w:val="00724302"/>
    <w:rsid w:val="0072446F"/>
    <w:rsid w:val="00724B8A"/>
    <w:rsid w:val="00724CD0"/>
    <w:rsid w:val="00724D54"/>
    <w:rsid w:val="00724EF9"/>
    <w:rsid w:val="00725423"/>
    <w:rsid w:val="0072542B"/>
    <w:rsid w:val="007254C5"/>
    <w:rsid w:val="007257D0"/>
    <w:rsid w:val="0072581A"/>
    <w:rsid w:val="00725B66"/>
    <w:rsid w:val="00725F2B"/>
    <w:rsid w:val="007263DC"/>
    <w:rsid w:val="0072649B"/>
    <w:rsid w:val="00726722"/>
    <w:rsid w:val="00726A99"/>
    <w:rsid w:val="00726C15"/>
    <w:rsid w:val="00726D2A"/>
    <w:rsid w:val="00726EA6"/>
    <w:rsid w:val="00726F55"/>
    <w:rsid w:val="00727208"/>
    <w:rsid w:val="007272A6"/>
    <w:rsid w:val="00727352"/>
    <w:rsid w:val="0072740B"/>
    <w:rsid w:val="007274B3"/>
    <w:rsid w:val="00727680"/>
    <w:rsid w:val="00727953"/>
    <w:rsid w:val="00727CC4"/>
    <w:rsid w:val="00727D50"/>
    <w:rsid w:val="00727E92"/>
    <w:rsid w:val="00727F7C"/>
    <w:rsid w:val="007300E9"/>
    <w:rsid w:val="00730350"/>
    <w:rsid w:val="00730427"/>
    <w:rsid w:val="00730756"/>
    <w:rsid w:val="00730C36"/>
    <w:rsid w:val="00730F6F"/>
    <w:rsid w:val="00731182"/>
    <w:rsid w:val="007311C1"/>
    <w:rsid w:val="00731531"/>
    <w:rsid w:val="00731AE6"/>
    <w:rsid w:val="00731CBB"/>
    <w:rsid w:val="00731E46"/>
    <w:rsid w:val="00731F0A"/>
    <w:rsid w:val="00732107"/>
    <w:rsid w:val="007321ED"/>
    <w:rsid w:val="007327A2"/>
    <w:rsid w:val="0073289B"/>
    <w:rsid w:val="00732DAF"/>
    <w:rsid w:val="00732E59"/>
    <w:rsid w:val="00733142"/>
    <w:rsid w:val="007332A0"/>
    <w:rsid w:val="0073332F"/>
    <w:rsid w:val="00733464"/>
    <w:rsid w:val="00733651"/>
    <w:rsid w:val="007337F7"/>
    <w:rsid w:val="007339E1"/>
    <w:rsid w:val="00733E97"/>
    <w:rsid w:val="0073407B"/>
    <w:rsid w:val="00734447"/>
    <w:rsid w:val="007348B1"/>
    <w:rsid w:val="007349B7"/>
    <w:rsid w:val="00734A5D"/>
    <w:rsid w:val="00734C99"/>
    <w:rsid w:val="00734D66"/>
    <w:rsid w:val="00734EC6"/>
    <w:rsid w:val="00735489"/>
    <w:rsid w:val="007355F7"/>
    <w:rsid w:val="007356F2"/>
    <w:rsid w:val="00735804"/>
    <w:rsid w:val="007359F9"/>
    <w:rsid w:val="00735A97"/>
    <w:rsid w:val="00735F73"/>
    <w:rsid w:val="00736177"/>
    <w:rsid w:val="00736203"/>
    <w:rsid w:val="007362A6"/>
    <w:rsid w:val="0073649B"/>
    <w:rsid w:val="0073677A"/>
    <w:rsid w:val="007367A0"/>
    <w:rsid w:val="00736D4F"/>
    <w:rsid w:val="00736D7D"/>
    <w:rsid w:val="00737060"/>
    <w:rsid w:val="007370D2"/>
    <w:rsid w:val="0073728A"/>
    <w:rsid w:val="0073742E"/>
    <w:rsid w:val="00737507"/>
    <w:rsid w:val="007378C1"/>
    <w:rsid w:val="00737CA5"/>
    <w:rsid w:val="0074000B"/>
    <w:rsid w:val="007401DF"/>
    <w:rsid w:val="0074021E"/>
    <w:rsid w:val="0074027C"/>
    <w:rsid w:val="00740462"/>
    <w:rsid w:val="00740775"/>
    <w:rsid w:val="0074080C"/>
    <w:rsid w:val="00740901"/>
    <w:rsid w:val="00740977"/>
    <w:rsid w:val="00740980"/>
    <w:rsid w:val="00740AD2"/>
    <w:rsid w:val="00740C4D"/>
    <w:rsid w:val="00740CA8"/>
    <w:rsid w:val="00740E58"/>
    <w:rsid w:val="00740F15"/>
    <w:rsid w:val="00740F49"/>
    <w:rsid w:val="00741068"/>
    <w:rsid w:val="007410A0"/>
    <w:rsid w:val="007416E4"/>
    <w:rsid w:val="0074179D"/>
    <w:rsid w:val="007417FA"/>
    <w:rsid w:val="0074188D"/>
    <w:rsid w:val="00741C8D"/>
    <w:rsid w:val="0074205E"/>
    <w:rsid w:val="007420F3"/>
    <w:rsid w:val="00742162"/>
    <w:rsid w:val="007421C2"/>
    <w:rsid w:val="007427D2"/>
    <w:rsid w:val="00742F2E"/>
    <w:rsid w:val="0074313D"/>
    <w:rsid w:val="0074327B"/>
    <w:rsid w:val="007432EE"/>
    <w:rsid w:val="00743395"/>
    <w:rsid w:val="007433D2"/>
    <w:rsid w:val="007434AD"/>
    <w:rsid w:val="007434EC"/>
    <w:rsid w:val="00743A0B"/>
    <w:rsid w:val="00743D2F"/>
    <w:rsid w:val="00743E33"/>
    <w:rsid w:val="00743E3A"/>
    <w:rsid w:val="00744168"/>
    <w:rsid w:val="0074422B"/>
    <w:rsid w:val="007442DA"/>
    <w:rsid w:val="007445A0"/>
    <w:rsid w:val="00744722"/>
    <w:rsid w:val="007449D3"/>
    <w:rsid w:val="00744B80"/>
    <w:rsid w:val="00744B99"/>
    <w:rsid w:val="00744F2A"/>
    <w:rsid w:val="0074506D"/>
    <w:rsid w:val="0074524B"/>
    <w:rsid w:val="007454FC"/>
    <w:rsid w:val="00745771"/>
    <w:rsid w:val="00745A9E"/>
    <w:rsid w:val="00745BBE"/>
    <w:rsid w:val="00745FE1"/>
    <w:rsid w:val="007460E9"/>
    <w:rsid w:val="00746416"/>
    <w:rsid w:val="00746427"/>
    <w:rsid w:val="0074647F"/>
    <w:rsid w:val="007467A7"/>
    <w:rsid w:val="007467CE"/>
    <w:rsid w:val="00746861"/>
    <w:rsid w:val="0074689F"/>
    <w:rsid w:val="00746BB4"/>
    <w:rsid w:val="00746BFD"/>
    <w:rsid w:val="0074719B"/>
    <w:rsid w:val="007471DE"/>
    <w:rsid w:val="0074733A"/>
    <w:rsid w:val="007474F9"/>
    <w:rsid w:val="007475C7"/>
    <w:rsid w:val="00747848"/>
    <w:rsid w:val="007478A7"/>
    <w:rsid w:val="00747C45"/>
    <w:rsid w:val="00747C47"/>
    <w:rsid w:val="00747CBD"/>
    <w:rsid w:val="00747D8B"/>
    <w:rsid w:val="00747DFA"/>
    <w:rsid w:val="00747F70"/>
    <w:rsid w:val="00750126"/>
    <w:rsid w:val="007502D1"/>
    <w:rsid w:val="0075035E"/>
    <w:rsid w:val="00750526"/>
    <w:rsid w:val="00750580"/>
    <w:rsid w:val="007506F6"/>
    <w:rsid w:val="0075072E"/>
    <w:rsid w:val="007507A6"/>
    <w:rsid w:val="00750884"/>
    <w:rsid w:val="00750A1D"/>
    <w:rsid w:val="00750BE5"/>
    <w:rsid w:val="00750EA5"/>
    <w:rsid w:val="00751228"/>
    <w:rsid w:val="00751279"/>
    <w:rsid w:val="00751625"/>
    <w:rsid w:val="0075182A"/>
    <w:rsid w:val="00751940"/>
    <w:rsid w:val="00751A74"/>
    <w:rsid w:val="00751AE0"/>
    <w:rsid w:val="00751BC3"/>
    <w:rsid w:val="00751C8A"/>
    <w:rsid w:val="00751CED"/>
    <w:rsid w:val="00751E84"/>
    <w:rsid w:val="00752234"/>
    <w:rsid w:val="0075225E"/>
    <w:rsid w:val="007522D6"/>
    <w:rsid w:val="00752317"/>
    <w:rsid w:val="0075248D"/>
    <w:rsid w:val="00752514"/>
    <w:rsid w:val="00752679"/>
    <w:rsid w:val="007526B4"/>
    <w:rsid w:val="007528FE"/>
    <w:rsid w:val="00752B3D"/>
    <w:rsid w:val="00752C64"/>
    <w:rsid w:val="00752D07"/>
    <w:rsid w:val="00752EDB"/>
    <w:rsid w:val="00752FDF"/>
    <w:rsid w:val="00753112"/>
    <w:rsid w:val="00753454"/>
    <w:rsid w:val="007534CA"/>
    <w:rsid w:val="00753627"/>
    <w:rsid w:val="007539A1"/>
    <w:rsid w:val="00753A7D"/>
    <w:rsid w:val="00753CD7"/>
    <w:rsid w:val="00753DE0"/>
    <w:rsid w:val="0075411D"/>
    <w:rsid w:val="00754149"/>
    <w:rsid w:val="00754214"/>
    <w:rsid w:val="007542E5"/>
    <w:rsid w:val="0075454A"/>
    <w:rsid w:val="0075463A"/>
    <w:rsid w:val="00754961"/>
    <w:rsid w:val="00754B98"/>
    <w:rsid w:val="00754BBA"/>
    <w:rsid w:val="00754C93"/>
    <w:rsid w:val="00754CB9"/>
    <w:rsid w:val="00754E91"/>
    <w:rsid w:val="00755009"/>
    <w:rsid w:val="007554AD"/>
    <w:rsid w:val="00755551"/>
    <w:rsid w:val="007555E1"/>
    <w:rsid w:val="00755803"/>
    <w:rsid w:val="007559C8"/>
    <w:rsid w:val="00755AAC"/>
    <w:rsid w:val="00755F21"/>
    <w:rsid w:val="0075622B"/>
    <w:rsid w:val="00756554"/>
    <w:rsid w:val="00756788"/>
    <w:rsid w:val="00756842"/>
    <w:rsid w:val="00756A07"/>
    <w:rsid w:val="00756B95"/>
    <w:rsid w:val="00756DD0"/>
    <w:rsid w:val="00756EC4"/>
    <w:rsid w:val="00757151"/>
    <w:rsid w:val="007571BB"/>
    <w:rsid w:val="007571E1"/>
    <w:rsid w:val="007572D5"/>
    <w:rsid w:val="007575E2"/>
    <w:rsid w:val="007578FF"/>
    <w:rsid w:val="00757BD9"/>
    <w:rsid w:val="00757C96"/>
    <w:rsid w:val="00757CD3"/>
    <w:rsid w:val="00757E02"/>
    <w:rsid w:val="0076019E"/>
    <w:rsid w:val="007602CE"/>
    <w:rsid w:val="007604B2"/>
    <w:rsid w:val="0076086E"/>
    <w:rsid w:val="0076090D"/>
    <w:rsid w:val="00760947"/>
    <w:rsid w:val="00760BEA"/>
    <w:rsid w:val="00760E30"/>
    <w:rsid w:val="0076100D"/>
    <w:rsid w:val="007613C3"/>
    <w:rsid w:val="00761547"/>
    <w:rsid w:val="007615F2"/>
    <w:rsid w:val="007616B3"/>
    <w:rsid w:val="007617D1"/>
    <w:rsid w:val="00761A9E"/>
    <w:rsid w:val="00761F48"/>
    <w:rsid w:val="00762153"/>
    <w:rsid w:val="00762173"/>
    <w:rsid w:val="00762194"/>
    <w:rsid w:val="00762397"/>
    <w:rsid w:val="00762435"/>
    <w:rsid w:val="007625D7"/>
    <w:rsid w:val="0076261C"/>
    <w:rsid w:val="007626F6"/>
    <w:rsid w:val="00762C09"/>
    <w:rsid w:val="00762DE5"/>
    <w:rsid w:val="00762DFB"/>
    <w:rsid w:val="00762F23"/>
    <w:rsid w:val="00762F46"/>
    <w:rsid w:val="00763284"/>
    <w:rsid w:val="007633A8"/>
    <w:rsid w:val="00763505"/>
    <w:rsid w:val="0076372C"/>
    <w:rsid w:val="00763870"/>
    <w:rsid w:val="007638C3"/>
    <w:rsid w:val="00763BDE"/>
    <w:rsid w:val="00763F69"/>
    <w:rsid w:val="00764556"/>
    <w:rsid w:val="00764AD7"/>
    <w:rsid w:val="00764B1D"/>
    <w:rsid w:val="00764D24"/>
    <w:rsid w:val="00764D3F"/>
    <w:rsid w:val="00764E95"/>
    <w:rsid w:val="007650D3"/>
    <w:rsid w:val="00765158"/>
    <w:rsid w:val="00765281"/>
    <w:rsid w:val="00765439"/>
    <w:rsid w:val="007655FD"/>
    <w:rsid w:val="00765791"/>
    <w:rsid w:val="0076604D"/>
    <w:rsid w:val="007660A1"/>
    <w:rsid w:val="00766130"/>
    <w:rsid w:val="0076618E"/>
    <w:rsid w:val="007663E2"/>
    <w:rsid w:val="007663F5"/>
    <w:rsid w:val="00766550"/>
    <w:rsid w:val="007665BE"/>
    <w:rsid w:val="007667BD"/>
    <w:rsid w:val="00766BAD"/>
    <w:rsid w:val="00766D8A"/>
    <w:rsid w:val="00766E2E"/>
    <w:rsid w:val="00766FA3"/>
    <w:rsid w:val="00767018"/>
    <w:rsid w:val="007673EF"/>
    <w:rsid w:val="0076742A"/>
    <w:rsid w:val="0076742D"/>
    <w:rsid w:val="00767472"/>
    <w:rsid w:val="00767535"/>
    <w:rsid w:val="0076758A"/>
    <w:rsid w:val="007676CD"/>
    <w:rsid w:val="00767910"/>
    <w:rsid w:val="00767A29"/>
    <w:rsid w:val="00767A43"/>
    <w:rsid w:val="00767B20"/>
    <w:rsid w:val="00767BE3"/>
    <w:rsid w:val="00767DC9"/>
    <w:rsid w:val="00767F7D"/>
    <w:rsid w:val="007701CB"/>
    <w:rsid w:val="007707D4"/>
    <w:rsid w:val="0077083B"/>
    <w:rsid w:val="00770AC0"/>
    <w:rsid w:val="00770CE6"/>
    <w:rsid w:val="00770D44"/>
    <w:rsid w:val="00770F1D"/>
    <w:rsid w:val="007710BC"/>
    <w:rsid w:val="007710E2"/>
    <w:rsid w:val="00771241"/>
    <w:rsid w:val="007717EC"/>
    <w:rsid w:val="007718F5"/>
    <w:rsid w:val="00771A83"/>
    <w:rsid w:val="00771C52"/>
    <w:rsid w:val="00771E8C"/>
    <w:rsid w:val="0077202D"/>
    <w:rsid w:val="00772284"/>
    <w:rsid w:val="00772304"/>
    <w:rsid w:val="00772557"/>
    <w:rsid w:val="00772653"/>
    <w:rsid w:val="00772971"/>
    <w:rsid w:val="007729A2"/>
    <w:rsid w:val="00772A8D"/>
    <w:rsid w:val="00772A9B"/>
    <w:rsid w:val="00772F3A"/>
    <w:rsid w:val="00772F5E"/>
    <w:rsid w:val="007730A7"/>
    <w:rsid w:val="007732CE"/>
    <w:rsid w:val="00773387"/>
    <w:rsid w:val="007735F2"/>
    <w:rsid w:val="00773638"/>
    <w:rsid w:val="0077387E"/>
    <w:rsid w:val="00773A1C"/>
    <w:rsid w:val="00773D78"/>
    <w:rsid w:val="00774149"/>
    <w:rsid w:val="0077422D"/>
    <w:rsid w:val="007744CE"/>
    <w:rsid w:val="00774551"/>
    <w:rsid w:val="00774B2D"/>
    <w:rsid w:val="0077513F"/>
    <w:rsid w:val="007755D9"/>
    <w:rsid w:val="007755F2"/>
    <w:rsid w:val="00775891"/>
    <w:rsid w:val="007758CB"/>
    <w:rsid w:val="00775A52"/>
    <w:rsid w:val="00775A6D"/>
    <w:rsid w:val="00775BF5"/>
    <w:rsid w:val="00775D21"/>
    <w:rsid w:val="00775F73"/>
    <w:rsid w:val="00776070"/>
    <w:rsid w:val="0077616B"/>
    <w:rsid w:val="007763FB"/>
    <w:rsid w:val="00776630"/>
    <w:rsid w:val="00776755"/>
    <w:rsid w:val="00776795"/>
    <w:rsid w:val="007767DA"/>
    <w:rsid w:val="007768D6"/>
    <w:rsid w:val="0077693D"/>
    <w:rsid w:val="00776971"/>
    <w:rsid w:val="007776EC"/>
    <w:rsid w:val="00777A63"/>
    <w:rsid w:val="00777A71"/>
    <w:rsid w:val="00777C09"/>
    <w:rsid w:val="00777C2C"/>
    <w:rsid w:val="00777DF9"/>
    <w:rsid w:val="00780005"/>
    <w:rsid w:val="00780403"/>
    <w:rsid w:val="0078069C"/>
    <w:rsid w:val="00780A80"/>
    <w:rsid w:val="00780AA2"/>
    <w:rsid w:val="00780AA8"/>
    <w:rsid w:val="00780F75"/>
    <w:rsid w:val="00780FCD"/>
    <w:rsid w:val="00781105"/>
    <w:rsid w:val="007812F7"/>
    <w:rsid w:val="0078132B"/>
    <w:rsid w:val="0078147D"/>
    <w:rsid w:val="0078159C"/>
    <w:rsid w:val="007816C2"/>
    <w:rsid w:val="007816F7"/>
    <w:rsid w:val="0078177E"/>
    <w:rsid w:val="007819B8"/>
    <w:rsid w:val="00781AC5"/>
    <w:rsid w:val="00781ADA"/>
    <w:rsid w:val="00781C13"/>
    <w:rsid w:val="00781C4B"/>
    <w:rsid w:val="00781D5B"/>
    <w:rsid w:val="00781E79"/>
    <w:rsid w:val="00781F1F"/>
    <w:rsid w:val="0078265C"/>
    <w:rsid w:val="007826DC"/>
    <w:rsid w:val="0078270C"/>
    <w:rsid w:val="00782BA5"/>
    <w:rsid w:val="00782BA7"/>
    <w:rsid w:val="00782D3A"/>
    <w:rsid w:val="00782E5E"/>
    <w:rsid w:val="00782FBE"/>
    <w:rsid w:val="0078304C"/>
    <w:rsid w:val="0078326F"/>
    <w:rsid w:val="007833E7"/>
    <w:rsid w:val="00783673"/>
    <w:rsid w:val="007836FF"/>
    <w:rsid w:val="007837EA"/>
    <w:rsid w:val="00784045"/>
    <w:rsid w:val="007841E0"/>
    <w:rsid w:val="007841F6"/>
    <w:rsid w:val="0078464C"/>
    <w:rsid w:val="00784781"/>
    <w:rsid w:val="007849A7"/>
    <w:rsid w:val="00784AB3"/>
    <w:rsid w:val="00784ACD"/>
    <w:rsid w:val="00784ACE"/>
    <w:rsid w:val="00784B91"/>
    <w:rsid w:val="007853C1"/>
    <w:rsid w:val="00785490"/>
    <w:rsid w:val="007854D0"/>
    <w:rsid w:val="007854EE"/>
    <w:rsid w:val="0078582D"/>
    <w:rsid w:val="00785912"/>
    <w:rsid w:val="00785E16"/>
    <w:rsid w:val="007860DD"/>
    <w:rsid w:val="007862A5"/>
    <w:rsid w:val="007863E0"/>
    <w:rsid w:val="00786794"/>
    <w:rsid w:val="007867FB"/>
    <w:rsid w:val="00786A4D"/>
    <w:rsid w:val="00786D28"/>
    <w:rsid w:val="00786EDF"/>
    <w:rsid w:val="00786FCA"/>
    <w:rsid w:val="007870B0"/>
    <w:rsid w:val="007870BC"/>
    <w:rsid w:val="0078718A"/>
    <w:rsid w:val="00787276"/>
    <w:rsid w:val="00787284"/>
    <w:rsid w:val="00787436"/>
    <w:rsid w:val="007874BD"/>
    <w:rsid w:val="0078751C"/>
    <w:rsid w:val="007877B7"/>
    <w:rsid w:val="00787D0B"/>
    <w:rsid w:val="00787DF0"/>
    <w:rsid w:val="00787F20"/>
    <w:rsid w:val="00787F23"/>
    <w:rsid w:val="007902B4"/>
    <w:rsid w:val="007904EE"/>
    <w:rsid w:val="00790807"/>
    <w:rsid w:val="0079097A"/>
    <w:rsid w:val="00790E11"/>
    <w:rsid w:val="00790ED7"/>
    <w:rsid w:val="00790F53"/>
    <w:rsid w:val="00791256"/>
    <w:rsid w:val="007912B9"/>
    <w:rsid w:val="007912D5"/>
    <w:rsid w:val="00791445"/>
    <w:rsid w:val="007914D2"/>
    <w:rsid w:val="007915B8"/>
    <w:rsid w:val="00791891"/>
    <w:rsid w:val="007919B6"/>
    <w:rsid w:val="00791A7E"/>
    <w:rsid w:val="00791AB6"/>
    <w:rsid w:val="00791C6D"/>
    <w:rsid w:val="00791E8B"/>
    <w:rsid w:val="007924FD"/>
    <w:rsid w:val="007925EA"/>
    <w:rsid w:val="00792640"/>
    <w:rsid w:val="007928C1"/>
    <w:rsid w:val="0079290A"/>
    <w:rsid w:val="007929D8"/>
    <w:rsid w:val="00792A87"/>
    <w:rsid w:val="00792D18"/>
    <w:rsid w:val="00792EAE"/>
    <w:rsid w:val="00792F76"/>
    <w:rsid w:val="0079300A"/>
    <w:rsid w:val="007932A1"/>
    <w:rsid w:val="007932B1"/>
    <w:rsid w:val="00793415"/>
    <w:rsid w:val="007939CD"/>
    <w:rsid w:val="00793AED"/>
    <w:rsid w:val="00793BAF"/>
    <w:rsid w:val="00793CD8"/>
    <w:rsid w:val="00793FB1"/>
    <w:rsid w:val="00794024"/>
    <w:rsid w:val="007940AE"/>
    <w:rsid w:val="007940C0"/>
    <w:rsid w:val="007941A8"/>
    <w:rsid w:val="00794552"/>
    <w:rsid w:val="007947B5"/>
    <w:rsid w:val="007947FD"/>
    <w:rsid w:val="00794FAC"/>
    <w:rsid w:val="007950E3"/>
    <w:rsid w:val="00795233"/>
    <w:rsid w:val="00795591"/>
    <w:rsid w:val="007957C2"/>
    <w:rsid w:val="007958D3"/>
    <w:rsid w:val="00795933"/>
    <w:rsid w:val="007959A3"/>
    <w:rsid w:val="007959D1"/>
    <w:rsid w:val="00795C4F"/>
    <w:rsid w:val="00795C92"/>
    <w:rsid w:val="00795E3F"/>
    <w:rsid w:val="00796231"/>
    <w:rsid w:val="007962F6"/>
    <w:rsid w:val="00796324"/>
    <w:rsid w:val="0079636E"/>
    <w:rsid w:val="007965EE"/>
    <w:rsid w:val="00796A08"/>
    <w:rsid w:val="00796B4E"/>
    <w:rsid w:val="00797062"/>
    <w:rsid w:val="0079711D"/>
    <w:rsid w:val="007971BB"/>
    <w:rsid w:val="007978E4"/>
    <w:rsid w:val="007979EC"/>
    <w:rsid w:val="00797DA3"/>
    <w:rsid w:val="00797E36"/>
    <w:rsid w:val="00797ECC"/>
    <w:rsid w:val="007A029B"/>
    <w:rsid w:val="007A02E8"/>
    <w:rsid w:val="007A0CA1"/>
    <w:rsid w:val="007A0CA5"/>
    <w:rsid w:val="007A0CBC"/>
    <w:rsid w:val="007A0F6A"/>
    <w:rsid w:val="007A0FFE"/>
    <w:rsid w:val="007A1156"/>
    <w:rsid w:val="007A122B"/>
    <w:rsid w:val="007A13D8"/>
    <w:rsid w:val="007A19E0"/>
    <w:rsid w:val="007A1A05"/>
    <w:rsid w:val="007A1BF0"/>
    <w:rsid w:val="007A1CB3"/>
    <w:rsid w:val="007A1D5C"/>
    <w:rsid w:val="007A228E"/>
    <w:rsid w:val="007A22C5"/>
    <w:rsid w:val="007A245E"/>
    <w:rsid w:val="007A246B"/>
    <w:rsid w:val="007A29EE"/>
    <w:rsid w:val="007A2A8F"/>
    <w:rsid w:val="007A2B10"/>
    <w:rsid w:val="007A2CD2"/>
    <w:rsid w:val="007A2D60"/>
    <w:rsid w:val="007A2DB8"/>
    <w:rsid w:val="007A2DE3"/>
    <w:rsid w:val="007A2EE4"/>
    <w:rsid w:val="007A2FE3"/>
    <w:rsid w:val="007A306F"/>
    <w:rsid w:val="007A34D9"/>
    <w:rsid w:val="007A3578"/>
    <w:rsid w:val="007A37F4"/>
    <w:rsid w:val="007A3B74"/>
    <w:rsid w:val="007A3B93"/>
    <w:rsid w:val="007A3C66"/>
    <w:rsid w:val="007A3F2B"/>
    <w:rsid w:val="007A4275"/>
    <w:rsid w:val="007A42AA"/>
    <w:rsid w:val="007A43A6"/>
    <w:rsid w:val="007A43AF"/>
    <w:rsid w:val="007A465F"/>
    <w:rsid w:val="007A4696"/>
    <w:rsid w:val="007A4822"/>
    <w:rsid w:val="007A4870"/>
    <w:rsid w:val="007A4915"/>
    <w:rsid w:val="007A4A4C"/>
    <w:rsid w:val="007A4A89"/>
    <w:rsid w:val="007A4A8B"/>
    <w:rsid w:val="007A4B87"/>
    <w:rsid w:val="007A4CB4"/>
    <w:rsid w:val="007A4E70"/>
    <w:rsid w:val="007A52C7"/>
    <w:rsid w:val="007A54C9"/>
    <w:rsid w:val="007A54DD"/>
    <w:rsid w:val="007A5539"/>
    <w:rsid w:val="007A5542"/>
    <w:rsid w:val="007A5894"/>
    <w:rsid w:val="007A58A6"/>
    <w:rsid w:val="007A5924"/>
    <w:rsid w:val="007A5A0B"/>
    <w:rsid w:val="007A5A2E"/>
    <w:rsid w:val="007A5E36"/>
    <w:rsid w:val="007A5FD9"/>
    <w:rsid w:val="007A606B"/>
    <w:rsid w:val="007A6158"/>
    <w:rsid w:val="007A6186"/>
    <w:rsid w:val="007A656A"/>
    <w:rsid w:val="007A65AB"/>
    <w:rsid w:val="007A66FA"/>
    <w:rsid w:val="007A6781"/>
    <w:rsid w:val="007A68AD"/>
    <w:rsid w:val="007A68FC"/>
    <w:rsid w:val="007A6AF2"/>
    <w:rsid w:val="007A7526"/>
    <w:rsid w:val="007A793F"/>
    <w:rsid w:val="007A7ABD"/>
    <w:rsid w:val="007A7D13"/>
    <w:rsid w:val="007A7D53"/>
    <w:rsid w:val="007A7EEB"/>
    <w:rsid w:val="007A7FFB"/>
    <w:rsid w:val="007B009E"/>
    <w:rsid w:val="007B0141"/>
    <w:rsid w:val="007B021F"/>
    <w:rsid w:val="007B0337"/>
    <w:rsid w:val="007B0433"/>
    <w:rsid w:val="007B050F"/>
    <w:rsid w:val="007B05F7"/>
    <w:rsid w:val="007B0BE9"/>
    <w:rsid w:val="007B0C13"/>
    <w:rsid w:val="007B1018"/>
    <w:rsid w:val="007B1109"/>
    <w:rsid w:val="007B1139"/>
    <w:rsid w:val="007B1209"/>
    <w:rsid w:val="007B124C"/>
    <w:rsid w:val="007B12BF"/>
    <w:rsid w:val="007B1390"/>
    <w:rsid w:val="007B1394"/>
    <w:rsid w:val="007B1406"/>
    <w:rsid w:val="007B1638"/>
    <w:rsid w:val="007B169B"/>
    <w:rsid w:val="007B1842"/>
    <w:rsid w:val="007B196C"/>
    <w:rsid w:val="007B1AC9"/>
    <w:rsid w:val="007B1E38"/>
    <w:rsid w:val="007B1F70"/>
    <w:rsid w:val="007B20D7"/>
    <w:rsid w:val="007B238D"/>
    <w:rsid w:val="007B23B9"/>
    <w:rsid w:val="007B248C"/>
    <w:rsid w:val="007B249B"/>
    <w:rsid w:val="007B2565"/>
    <w:rsid w:val="007B272D"/>
    <w:rsid w:val="007B2AF6"/>
    <w:rsid w:val="007B2BDF"/>
    <w:rsid w:val="007B2CF1"/>
    <w:rsid w:val="007B2D92"/>
    <w:rsid w:val="007B2E49"/>
    <w:rsid w:val="007B2F5F"/>
    <w:rsid w:val="007B2FA4"/>
    <w:rsid w:val="007B3139"/>
    <w:rsid w:val="007B32D2"/>
    <w:rsid w:val="007B32D7"/>
    <w:rsid w:val="007B354E"/>
    <w:rsid w:val="007B381C"/>
    <w:rsid w:val="007B39EF"/>
    <w:rsid w:val="007B3A65"/>
    <w:rsid w:val="007B3D2D"/>
    <w:rsid w:val="007B3D6D"/>
    <w:rsid w:val="007B3D72"/>
    <w:rsid w:val="007B3E93"/>
    <w:rsid w:val="007B4121"/>
    <w:rsid w:val="007B46F3"/>
    <w:rsid w:val="007B4983"/>
    <w:rsid w:val="007B49D2"/>
    <w:rsid w:val="007B4CF9"/>
    <w:rsid w:val="007B4D46"/>
    <w:rsid w:val="007B4F70"/>
    <w:rsid w:val="007B50AE"/>
    <w:rsid w:val="007B50B6"/>
    <w:rsid w:val="007B50BD"/>
    <w:rsid w:val="007B51C8"/>
    <w:rsid w:val="007B51DF"/>
    <w:rsid w:val="007B532F"/>
    <w:rsid w:val="007B552A"/>
    <w:rsid w:val="007B55B3"/>
    <w:rsid w:val="007B56C1"/>
    <w:rsid w:val="007B5851"/>
    <w:rsid w:val="007B5CFC"/>
    <w:rsid w:val="007B5D22"/>
    <w:rsid w:val="007B6051"/>
    <w:rsid w:val="007B6058"/>
    <w:rsid w:val="007B657D"/>
    <w:rsid w:val="007B666E"/>
    <w:rsid w:val="007B681F"/>
    <w:rsid w:val="007B696B"/>
    <w:rsid w:val="007B69D3"/>
    <w:rsid w:val="007B6E40"/>
    <w:rsid w:val="007B703B"/>
    <w:rsid w:val="007B7114"/>
    <w:rsid w:val="007B726E"/>
    <w:rsid w:val="007B730D"/>
    <w:rsid w:val="007B738D"/>
    <w:rsid w:val="007B7623"/>
    <w:rsid w:val="007B771C"/>
    <w:rsid w:val="007B7760"/>
    <w:rsid w:val="007B7872"/>
    <w:rsid w:val="007B796F"/>
    <w:rsid w:val="007C00BD"/>
    <w:rsid w:val="007C00F2"/>
    <w:rsid w:val="007C03CE"/>
    <w:rsid w:val="007C05DD"/>
    <w:rsid w:val="007C0745"/>
    <w:rsid w:val="007C0B2E"/>
    <w:rsid w:val="007C0E50"/>
    <w:rsid w:val="007C10CC"/>
    <w:rsid w:val="007C11F7"/>
    <w:rsid w:val="007C1340"/>
    <w:rsid w:val="007C13A8"/>
    <w:rsid w:val="007C154C"/>
    <w:rsid w:val="007C1597"/>
    <w:rsid w:val="007C171C"/>
    <w:rsid w:val="007C172C"/>
    <w:rsid w:val="007C187E"/>
    <w:rsid w:val="007C1B67"/>
    <w:rsid w:val="007C1CAE"/>
    <w:rsid w:val="007C1E30"/>
    <w:rsid w:val="007C1F8F"/>
    <w:rsid w:val="007C2005"/>
    <w:rsid w:val="007C20D1"/>
    <w:rsid w:val="007C21EC"/>
    <w:rsid w:val="007C22A6"/>
    <w:rsid w:val="007C24F0"/>
    <w:rsid w:val="007C2543"/>
    <w:rsid w:val="007C2544"/>
    <w:rsid w:val="007C2780"/>
    <w:rsid w:val="007C28AD"/>
    <w:rsid w:val="007C2A6D"/>
    <w:rsid w:val="007C2CF6"/>
    <w:rsid w:val="007C2D2F"/>
    <w:rsid w:val="007C2DAB"/>
    <w:rsid w:val="007C2DF0"/>
    <w:rsid w:val="007C319E"/>
    <w:rsid w:val="007C3215"/>
    <w:rsid w:val="007C33EA"/>
    <w:rsid w:val="007C3470"/>
    <w:rsid w:val="007C3683"/>
    <w:rsid w:val="007C36DC"/>
    <w:rsid w:val="007C37EE"/>
    <w:rsid w:val="007C3D18"/>
    <w:rsid w:val="007C3D4B"/>
    <w:rsid w:val="007C3F36"/>
    <w:rsid w:val="007C4046"/>
    <w:rsid w:val="007C43C0"/>
    <w:rsid w:val="007C446A"/>
    <w:rsid w:val="007C46C5"/>
    <w:rsid w:val="007C4715"/>
    <w:rsid w:val="007C48DC"/>
    <w:rsid w:val="007C4A11"/>
    <w:rsid w:val="007C4B9A"/>
    <w:rsid w:val="007C4C6F"/>
    <w:rsid w:val="007C4F1F"/>
    <w:rsid w:val="007C511F"/>
    <w:rsid w:val="007C516A"/>
    <w:rsid w:val="007C522E"/>
    <w:rsid w:val="007C536B"/>
    <w:rsid w:val="007C54F2"/>
    <w:rsid w:val="007C54FF"/>
    <w:rsid w:val="007C550F"/>
    <w:rsid w:val="007C5624"/>
    <w:rsid w:val="007C56D7"/>
    <w:rsid w:val="007C58B0"/>
    <w:rsid w:val="007C595C"/>
    <w:rsid w:val="007C5FAE"/>
    <w:rsid w:val="007C6095"/>
    <w:rsid w:val="007C60BF"/>
    <w:rsid w:val="007C617E"/>
    <w:rsid w:val="007C64DE"/>
    <w:rsid w:val="007C66E6"/>
    <w:rsid w:val="007C676E"/>
    <w:rsid w:val="007C6A07"/>
    <w:rsid w:val="007C6B2B"/>
    <w:rsid w:val="007C6D58"/>
    <w:rsid w:val="007C6E2E"/>
    <w:rsid w:val="007C6E6C"/>
    <w:rsid w:val="007C70B7"/>
    <w:rsid w:val="007C70D1"/>
    <w:rsid w:val="007C71C2"/>
    <w:rsid w:val="007C729B"/>
    <w:rsid w:val="007C74DE"/>
    <w:rsid w:val="007C75A1"/>
    <w:rsid w:val="007C761F"/>
    <w:rsid w:val="007C779B"/>
    <w:rsid w:val="007C77A5"/>
    <w:rsid w:val="007C783E"/>
    <w:rsid w:val="007C785E"/>
    <w:rsid w:val="007C790D"/>
    <w:rsid w:val="007C7993"/>
    <w:rsid w:val="007C7A80"/>
    <w:rsid w:val="007C7C43"/>
    <w:rsid w:val="007C7D70"/>
    <w:rsid w:val="007C7DD9"/>
    <w:rsid w:val="007D00A2"/>
    <w:rsid w:val="007D02F2"/>
    <w:rsid w:val="007D0479"/>
    <w:rsid w:val="007D04E5"/>
    <w:rsid w:val="007D04EB"/>
    <w:rsid w:val="007D0B22"/>
    <w:rsid w:val="007D0FB4"/>
    <w:rsid w:val="007D1000"/>
    <w:rsid w:val="007D10EA"/>
    <w:rsid w:val="007D1172"/>
    <w:rsid w:val="007D1239"/>
    <w:rsid w:val="007D129B"/>
    <w:rsid w:val="007D13A8"/>
    <w:rsid w:val="007D1488"/>
    <w:rsid w:val="007D162A"/>
    <w:rsid w:val="007D1769"/>
    <w:rsid w:val="007D1788"/>
    <w:rsid w:val="007D1899"/>
    <w:rsid w:val="007D1AC2"/>
    <w:rsid w:val="007D1BAC"/>
    <w:rsid w:val="007D1C10"/>
    <w:rsid w:val="007D1C7C"/>
    <w:rsid w:val="007D1C86"/>
    <w:rsid w:val="007D1D7A"/>
    <w:rsid w:val="007D1E9F"/>
    <w:rsid w:val="007D21C5"/>
    <w:rsid w:val="007D22F5"/>
    <w:rsid w:val="007D2873"/>
    <w:rsid w:val="007D2B08"/>
    <w:rsid w:val="007D2BFA"/>
    <w:rsid w:val="007D2C48"/>
    <w:rsid w:val="007D2E52"/>
    <w:rsid w:val="007D2F11"/>
    <w:rsid w:val="007D3378"/>
    <w:rsid w:val="007D34C2"/>
    <w:rsid w:val="007D3561"/>
    <w:rsid w:val="007D3698"/>
    <w:rsid w:val="007D36BB"/>
    <w:rsid w:val="007D38AE"/>
    <w:rsid w:val="007D3B64"/>
    <w:rsid w:val="007D3D3E"/>
    <w:rsid w:val="007D3FF1"/>
    <w:rsid w:val="007D4121"/>
    <w:rsid w:val="007D4AB8"/>
    <w:rsid w:val="007D4ADA"/>
    <w:rsid w:val="007D4C6E"/>
    <w:rsid w:val="007D4E51"/>
    <w:rsid w:val="007D4E56"/>
    <w:rsid w:val="007D4EC0"/>
    <w:rsid w:val="007D4F46"/>
    <w:rsid w:val="007D5008"/>
    <w:rsid w:val="007D5230"/>
    <w:rsid w:val="007D546D"/>
    <w:rsid w:val="007D56BD"/>
    <w:rsid w:val="007D56FC"/>
    <w:rsid w:val="007D57D2"/>
    <w:rsid w:val="007D5843"/>
    <w:rsid w:val="007D5901"/>
    <w:rsid w:val="007D5B17"/>
    <w:rsid w:val="007D5B3F"/>
    <w:rsid w:val="007D5C80"/>
    <w:rsid w:val="007D5D9A"/>
    <w:rsid w:val="007D5EF2"/>
    <w:rsid w:val="007D5FCC"/>
    <w:rsid w:val="007D6170"/>
    <w:rsid w:val="007D61F4"/>
    <w:rsid w:val="007D63E4"/>
    <w:rsid w:val="007D6714"/>
    <w:rsid w:val="007D6A29"/>
    <w:rsid w:val="007D6B20"/>
    <w:rsid w:val="007D6C1F"/>
    <w:rsid w:val="007D6FD6"/>
    <w:rsid w:val="007D708D"/>
    <w:rsid w:val="007D70B2"/>
    <w:rsid w:val="007D716F"/>
    <w:rsid w:val="007D7526"/>
    <w:rsid w:val="007D79A1"/>
    <w:rsid w:val="007D7A96"/>
    <w:rsid w:val="007D7D89"/>
    <w:rsid w:val="007D7F64"/>
    <w:rsid w:val="007E0108"/>
    <w:rsid w:val="007E0120"/>
    <w:rsid w:val="007E026B"/>
    <w:rsid w:val="007E0589"/>
    <w:rsid w:val="007E05AC"/>
    <w:rsid w:val="007E07A4"/>
    <w:rsid w:val="007E0831"/>
    <w:rsid w:val="007E09AA"/>
    <w:rsid w:val="007E0CDC"/>
    <w:rsid w:val="007E0D87"/>
    <w:rsid w:val="007E0FF8"/>
    <w:rsid w:val="007E100F"/>
    <w:rsid w:val="007E1183"/>
    <w:rsid w:val="007E1315"/>
    <w:rsid w:val="007E171A"/>
    <w:rsid w:val="007E2242"/>
    <w:rsid w:val="007E224A"/>
    <w:rsid w:val="007E259A"/>
    <w:rsid w:val="007E27CE"/>
    <w:rsid w:val="007E2803"/>
    <w:rsid w:val="007E29A9"/>
    <w:rsid w:val="007E2EC0"/>
    <w:rsid w:val="007E2FDD"/>
    <w:rsid w:val="007E3084"/>
    <w:rsid w:val="007E37FA"/>
    <w:rsid w:val="007E3A93"/>
    <w:rsid w:val="007E4068"/>
    <w:rsid w:val="007E40F0"/>
    <w:rsid w:val="007E4167"/>
    <w:rsid w:val="007E4352"/>
    <w:rsid w:val="007E4396"/>
    <w:rsid w:val="007E4399"/>
    <w:rsid w:val="007E4573"/>
    <w:rsid w:val="007E4610"/>
    <w:rsid w:val="007E46EC"/>
    <w:rsid w:val="007E4715"/>
    <w:rsid w:val="007E4781"/>
    <w:rsid w:val="007E48C1"/>
    <w:rsid w:val="007E4A06"/>
    <w:rsid w:val="007E4B5D"/>
    <w:rsid w:val="007E4B72"/>
    <w:rsid w:val="007E4DAD"/>
    <w:rsid w:val="007E4DC9"/>
    <w:rsid w:val="007E4DCF"/>
    <w:rsid w:val="007E505B"/>
    <w:rsid w:val="007E5250"/>
    <w:rsid w:val="007E5459"/>
    <w:rsid w:val="007E5CA8"/>
    <w:rsid w:val="007E5CB6"/>
    <w:rsid w:val="007E5E3E"/>
    <w:rsid w:val="007E6070"/>
    <w:rsid w:val="007E60F4"/>
    <w:rsid w:val="007E6447"/>
    <w:rsid w:val="007E678A"/>
    <w:rsid w:val="007E67FA"/>
    <w:rsid w:val="007E6A6F"/>
    <w:rsid w:val="007E6CD6"/>
    <w:rsid w:val="007E6DC0"/>
    <w:rsid w:val="007E6EE1"/>
    <w:rsid w:val="007E7091"/>
    <w:rsid w:val="007E7105"/>
    <w:rsid w:val="007E7154"/>
    <w:rsid w:val="007E750B"/>
    <w:rsid w:val="007E75D9"/>
    <w:rsid w:val="007E78EB"/>
    <w:rsid w:val="007E7A4A"/>
    <w:rsid w:val="007E7AFD"/>
    <w:rsid w:val="007E7B24"/>
    <w:rsid w:val="007E7C7B"/>
    <w:rsid w:val="007E7FB3"/>
    <w:rsid w:val="007F023F"/>
    <w:rsid w:val="007F045B"/>
    <w:rsid w:val="007F0535"/>
    <w:rsid w:val="007F0727"/>
    <w:rsid w:val="007F07F5"/>
    <w:rsid w:val="007F086C"/>
    <w:rsid w:val="007F08F5"/>
    <w:rsid w:val="007F0ADD"/>
    <w:rsid w:val="007F0B32"/>
    <w:rsid w:val="007F0BCE"/>
    <w:rsid w:val="007F0DC9"/>
    <w:rsid w:val="007F0EBD"/>
    <w:rsid w:val="007F0F60"/>
    <w:rsid w:val="007F1411"/>
    <w:rsid w:val="007F1517"/>
    <w:rsid w:val="007F152F"/>
    <w:rsid w:val="007F228E"/>
    <w:rsid w:val="007F2324"/>
    <w:rsid w:val="007F233E"/>
    <w:rsid w:val="007F2711"/>
    <w:rsid w:val="007F2879"/>
    <w:rsid w:val="007F2A38"/>
    <w:rsid w:val="007F2B0B"/>
    <w:rsid w:val="007F2B5B"/>
    <w:rsid w:val="007F2BAD"/>
    <w:rsid w:val="007F2C13"/>
    <w:rsid w:val="007F2D88"/>
    <w:rsid w:val="007F2EAC"/>
    <w:rsid w:val="007F2ED1"/>
    <w:rsid w:val="007F3052"/>
    <w:rsid w:val="007F375E"/>
    <w:rsid w:val="007F377D"/>
    <w:rsid w:val="007F37E2"/>
    <w:rsid w:val="007F38AD"/>
    <w:rsid w:val="007F3B32"/>
    <w:rsid w:val="007F3D62"/>
    <w:rsid w:val="007F3E4C"/>
    <w:rsid w:val="007F4272"/>
    <w:rsid w:val="007F4298"/>
    <w:rsid w:val="007F437A"/>
    <w:rsid w:val="007F45A8"/>
    <w:rsid w:val="007F473B"/>
    <w:rsid w:val="007F47C4"/>
    <w:rsid w:val="007F4D70"/>
    <w:rsid w:val="007F4FB5"/>
    <w:rsid w:val="007F4FB6"/>
    <w:rsid w:val="007F4FE7"/>
    <w:rsid w:val="007F5202"/>
    <w:rsid w:val="007F530B"/>
    <w:rsid w:val="007F5A91"/>
    <w:rsid w:val="007F5BF2"/>
    <w:rsid w:val="007F5D82"/>
    <w:rsid w:val="007F5F92"/>
    <w:rsid w:val="007F61C1"/>
    <w:rsid w:val="007F61DC"/>
    <w:rsid w:val="007F65A5"/>
    <w:rsid w:val="007F665F"/>
    <w:rsid w:val="007F667A"/>
    <w:rsid w:val="007F6962"/>
    <w:rsid w:val="007F6D39"/>
    <w:rsid w:val="007F6D6D"/>
    <w:rsid w:val="007F6DB6"/>
    <w:rsid w:val="007F7293"/>
    <w:rsid w:val="007F75C7"/>
    <w:rsid w:val="007F7610"/>
    <w:rsid w:val="007F77F1"/>
    <w:rsid w:val="007F7828"/>
    <w:rsid w:val="007F791C"/>
    <w:rsid w:val="007F7A57"/>
    <w:rsid w:val="007F7B2C"/>
    <w:rsid w:val="007F7D40"/>
    <w:rsid w:val="007F7D4C"/>
    <w:rsid w:val="007F7E42"/>
    <w:rsid w:val="00800198"/>
    <w:rsid w:val="00800734"/>
    <w:rsid w:val="008009A3"/>
    <w:rsid w:val="00800D98"/>
    <w:rsid w:val="00800E24"/>
    <w:rsid w:val="00800E59"/>
    <w:rsid w:val="00801029"/>
    <w:rsid w:val="00801714"/>
    <w:rsid w:val="00801885"/>
    <w:rsid w:val="008018C7"/>
    <w:rsid w:val="0080194C"/>
    <w:rsid w:val="00801B30"/>
    <w:rsid w:val="00801B9C"/>
    <w:rsid w:val="00801D25"/>
    <w:rsid w:val="00801D3C"/>
    <w:rsid w:val="00801E40"/>
    <w:rsid w:val="00801E60"/>
    <w:rsid w:val="00801ED8"/>
    <w:rsid w:val="00802468"/>
    <w:rsid w:val="008025FC"/>
    <w:rsid w:val="0080279E"/>
    <w:rsid w:val="008027ED"/>
    <w:rsid w:val="00803007"/>
    <w:rsid w:val="008032A7"/>
    <w:rsid w:val="00803597"/>
    <w:rsid w:val="00803BFF"/>
    <w:rsid w:val="00803D33"/>
    <w:rsid w:val="00803D45"/>
    <w:rsid w:val="00803DB9"/>
    <w:rsid w:val="00803DEA"/>
    <w:rsid w:val="00803FAE"/>
    <w:rsid w:val="00804062"/>
    <w:rsid w:val="008043D6"/>
    <w:rsid w:val="008046D9"/>
    <w:rsid w:val="008047AF"/>
    <w:rsid w:val="00804A6C"/>
    <w:rsid w:val="00804CEC"/>
    <w:rsid w:val="00804D1D"/>
    <w:rsid w:val="00804D71"/>
    <w:rsid w:val="00804F23"/>
    <w:rsid w:val="0080500A"/>
    <w:rsid w:val="0080527D"/>
    <w:rsid w:val="0080527F"/>
    <w:rsid w:val="008053E8"/>
    <w:rsid w:val="0080545F"/>
    <w:rsid w:val="008055D8"/>
    <w:rsid w:val="00805720"/>
    <w:rsid w:val="008057E4"/>
    <w:rsid w:val="00805900"/>
    <w:rsid w:val="00805A44"/>
    <w:rsid w:val="00805AB5"/>
    <w:rsid w:val="00805EC3"/>
    <w:rsid w:val="00805FC1"/>
    <w:rsid w:val="0080605F"/>
    <w:rsid w:val="00806135"/>
    <w:rsid w:val="00806723"/>
    <w:rsid w:val="0080676A"/>
    <w:rsid w:val="00806943"/>
    <w:rsid w:val="00806C46"/>
    <w:rsid w:val="00806EC5"/>
    <w:rsid w:val="008073EE"/>
    <w:rsid w:val="00807786"/>
    <w:rsid w:val="00807854"/>
    <w:rsid w:val="0080787B"/>
    <w:rsid w:val="00807882"/>
    <w:rsid w:val="00807926"/>
    <w:rsid w:val="00807B89"/>
    <w:rsid w:val="00807C04"/>
    <w:rsid w:val="00807D98"/>
    <w:rsid w:val="00807E14"/>
    <w:rsid w:val="00807E3D"/>
    <w:rsid w:val="00807EBB"/>
    <w:rsid w:val="008101F3"/>
    <w:rsid w:val="008104C5"/>
    <w:rsid w:val="008105A4"/>
    <w:rsid w:val="008106BE"/>
    <w:rsid w:val="0081078D"/>
    <w:rsid w:val="008107FC"/>
    <w:rsid w:val="00810862"/>
    <w:rsid w:val="008109C4"/>
    <w:rsid w:val="00810A77"/>
    <w:rsid w:val="00810C7C"/>
    <w:rsid w:val="00810DA4"/>
    <w:rsid w:val="00810EEF"/>
    <w:rsid w:val="008110E7"/>
    <w:rsid w:val="0081129F"/>
    <w:rsid w:val="00811617"/>
    <w:rsid w:val="008117F3"/>
    <w:rsid w:val="0081183C"/>
    <w:rsid w:val="00811EA6"/>
    <w:rsid w:val="00811FCB"/>
    <w:rsid w:val="00811FF3"/>
    <w:rsid w:val="0081207F"/>
    <w:rsid w:val="008122E2"/>
    <w:rsid w:val="008122FE"/>
    <w:rsid w:val="008122FF"/>
    <w:rsid w:val="0081247F"/>
    <w:rsid w:val="0081254B"/>
    <w:rsid w:val="00812636"/>
    <w:rsid w:val="008127FA"/>
    <w:rsid w:val="008129EC"/>
    <w:rsid w:val="00813066"/>
    <w:rsid w:val="008130B2"/>
    <w:rsid w:val="008130C1"/>
    <w:rsid w:val="00813364"/>
    <w:rsid w:val="00813466"/>
    <w:rsid w:val="00813798"/>
    <w:rsid w:val="00813A27"/>
    <w:rsid w:val="00813A55"/>
    <w:rsid w:val="00814059"/>
    <w:rsid w:val="0081411F"/>
    <w:rsid w:val="0081417D"/>
    <w:rsid w:val="008141AF"/>
    <w:rsid w:val="008142BC"/>
    <w:rsid w:val="008144B9"/>
    <w:rsid w:val="008146FE"/>
    <w:rsid w:val="008148B1"/>
    <w:rsid w:val="00815059"/>
    <w:rsid w:val="00815074"/>
    <w:rsid w:val="0081517B"/>
    <w:rsid w:val="0081520F"/>
    <w:rsid w:val="008154BF"/>
    <w:rsid w:val="00815519"/>
    <w:rsid w:val="008155FE"/>
    <w:rsid w:val="00815634"/>
    <w:rsid w:val="008156EA"/>
    <w:rsid w:val="008158D6"/>
    <w:rsid w:val="0081592F"/>
    <w:rsid w:val="008159D0"/>
    <w:rsid w:val="00815C84"/>
    <w:rsid w:val="00815ED1"/>
    <w:rsid w:val="0081604F"/>
    <w:rsid w:val="0081642E"/>
    <w:rsid w:val="00816490"/>
    <w:rsid w:val="008164B7"/>
    <w:rsid w:val="0081652A"/>
    <w:rsid w:val="00816543"/>
    <w:rsid w:val="0081665D"/>
    <w:rsid w:val="00816E3E"/>
    <w:rsid w:val="00816FF9"/>
    <w:rsid w:val="0081704B"/>
    <w:rsid w:val="0081714F"/>
    <w:rsid w:val="00817196"/>
    <w:rsid w:val="00817237"/>
    <w:rsid w:val="008175A5"/>
    <w:rsid w:val="008175E9"/>
    <w:rsid w:val="00817813"/>
    <w:rsid w:val="0081791C"/>
    <w:rsid w:val="00817B21"/>
    <w:rsid w:val="00817E44"/>
    <w:rsid w:val="00820029"/>
    <w:rsid w:val="008200A0"/>
    <w:rsid w:val="0082033A"/>
    <w:rsid w:val="00820C28"/>
    <w:rsid w:val="00820C74"/>
    <w:rsid w:val="00820C9D"/>
    <w:rsid w:val="00820D0E"/>
    <w:rsid w:val="00820F0A"/>
    <w:rsid w:val="00820FE0"/>
    <w:rsid w:val="0082114C"/>
    <w:rsid w:val="00821210"/>
    <w:rsid w:val="0082179A"/>
    <w:rsid w:val="008217F4"/>
    <w:rsid w:val="008219C4"/>
    <w:rsid w:val="00821A5D"/>
    <w:rsid w:val="00821AF8"/>
    <w:rsid w:val="00821CFA"/>
    <w:rsid w:val="00821DA2"/>
    <w:rsid w:val="00821FF3"/>
    <w:rsid w:val="0082214E"/>
    <w:rsid w:val="00822294"/>
    <w:rsid w:val="008222E3"/>
    <w:rsid w:val="0082249C"/>
    <w:rsid w:val="00822C8A"/>
    <w:rsid w:val="00822DC4"/>
    <w:rsid w:val="00822E1E"/>
    <w:rsid w:val="00822E36"/>
    <w:rsid w:val="00822F7F"/>
    <w:rsid w:val="0082319C"/>
    <w:rsid w:val="008231DE"/>
    <w:rsid w:val="0082328F"/>
    <w:rsid w:val="008233E3"/>
    <w:rsid w:val="008233F1"/>
    <w:rsid w:val="0082359F"/>
    <w:rsid w:val="008235DB"/>
    <w:rsid w:val="008238B9"/>
    <w:rsid w:val="00823E0C"/>
    <w:rsid w:val="00823E41"/>
    <w:rsid w:val="00823ECF"/>
    <w:rsid w:val="00823EF9"/>
    <w:rsid w:val="0082401F"/>
    <w:rsid w:val="008242E6"/>
    <w:rsid w:val="00824413"/>
    <w:rsid w:val="00824569"/>
    <w:rsid w:val="008248A5"/>
    <w:rsid w:val="00824A34"/>
    <w:rsid w:val="00824AB4"/>
    <w:rsid w:val="00825108"/>
    <w:rsid w:val="008251B1"/>
    <w:rsid w:val="008253E8"/>
    <w:rsid w:val="00825571"/>
    <w:rsid w:val="0082572E"/>
    <w:rsid w:val="008257A0"/>
    <w:rsid w:val="00825803"/>
    <w:rsid w:val="0082587B"/>
    <w:rsid w:val="00825913"/>
    <w:rsid w:val="00825A1C"/>
    <w:rsid w:val="00825C42"/>
    <w:rsid w:val="00825D25"/>
    <w:rsid w:val="00826001"/>
    <w:rsid w:val="008262B8"/>
    <w:rsid w:val="0082656A"/>
    <w:rsid w:val="008266D3"/>
    <w:rsid w:val="0082670E"/>
    <w:rsid w:val="008267DE"/>
    <w:rsid w:val="008268A3"/>
    <w:rsid w:val="00826932"/>
    <w:rsid w:val="00826B59"/>
    <w:rsid w:val="00826BE8"/>
    <w:rsid w:val="00826CCC"/>
    <w:rsid w:val="00826D5B"/>
    <w:rsid w:val="00826E35"/>
    <w:rsid w:val="008273FC"/>
    <w:rsid w:val="00827583"/>
    <w:rsid w:val="00827836"/>
    <w:rsid w:val="00827869"/>
    <w:rsid w:val="00827D6F"/>
    <w:rsid w:val="008303A5"/>
    <w:rsid w:val="008305BC"/>
    <w:rsid w:val="0083077D"/>
    <w:rsid w:val="00830822"/>
    <w:rsid w:val="008309C3"/>
    <w:rsid w:val="00830ADB"/>
    <w:rsid w:val="00830D9F"/>
    <w:rsid w:val="00830E2A"/>
    <w:rsid w:val="008312FD"/>
    <w:rsid w:val="008314EC"/>
    <w:rsid w:val="00831540"/>
    <w:rsid w:val="008315D5"/>
    <w:rsid w:val="00831633"/>
    <w:rsid w:val="008316A9"/>
    <w:rsid w:val="0083194E"/>
    <w:rsid w:val="00831CC1"/>
    <w:rsid w:val="00831E77"/>
    <w:rsid w:val="00831EFF"/>
    <w:rsid w:val="00832159"/>
    <w:rsid w:val="00832177"/>
    <w:rsid w:val="00832441"/>
    <w:rsid w:val="00832525"/>
    <w:rsid w:val="0083253E"/>
    <w:rsid w:val="00832541"/>
    <w:rsid w:val="0083277B"/>
    <w:rsid w:val="008327B7"/>
    <w:rsid w:val="0083283B"/>
    <w:rsid w:val="0083287D"/>
    <w:rsid w:val="008328D8"/>
    <w:rsid w:val="00832902"/>
    <w:rsid w:val="00832A04"/>
    <w:rsid w:val="00832A92"/>
    <w:rsid w:val="00832B36"/>
    <w:rsid w:val="00832BC7"/>
    <w:rsid w:val="008334C9"/>
    <w:rsid w:val="008336DC"/>
    <w:rsid w:val="008338D5"/>
    <w:rsid w:val="00833A50"/>
    <w:rsid w:val="0083417F"/>
    <w:rsid w:val="008342A9"/>
    <w:rsid w:val="008342CD"/>
    <w:rsid w:val="0083433D"/>
    <w:rsid w:val="008344EB"/>
    <w:rsid w:val="008347A5"/>
    <w:rsid w:val="008349D5"/>
    <w:rsid w:val="00834B03"/>
    <w:rsid w:val="00834B43"/>
    <w:rsid w:val="00834B64"/>
    <w:rsid w:val="00834BD5"/>
    <w:rsid w:val="00834D08"/>
    <w:rsid w:val="008359C2"/>
    <w:rsid w:val="00835B74"/>
    <w:rsid w:val="00835D19"/>
    <w:rsid w:val="00835D5B"/>
    <w:rsid w:val="00835F2B"/>
    <w:rsid w:val="00836728"/>
    <w:rsid w:val="00836756"/>
    <w:rsid w:val="00836ABD"/>
    <w:rsid w:val="00836AEA"/>
    <w:rsid w:val="00836B3E"/>
    <w:rsid w:val="00836CEA"/>
    <w:rsid w:val="00836E6F"/>
    <w:rsid w:val="00836F9C"/>
    <w:rsid w:val="00836FCB"/>
    <w:rsid w:val="008371BB"/>
    <w:rsid w:val="008372AA"/>
    <w:rsid w:val="00837571"/>
    <w:rsid w:val="0083757D"/>
    <w:rsid w:val="008376AC"/>
    <w:rsid w:val="008376EB"/>
    <w:rsid w:val="0083771F"/>
    <w:rsid w:val="00837772"/>
    <w:rsid w:val="0083779F"/>
    <w:rsid w:val="008377BA"/>
    <w:rsid w:val="0083796E"/>
    <w:rsid w:val="00837B77"/>
    <w:rsid w:val="00837BEF"/>
    <w:rsid w:val="00837C34"/>
    <w:rsid w:val="00837C54"/>
    <w:rsid w:val="00837D38"/>
    <w:rsid w:val="00837F79"/>
    <w:rsid w:val="008402A5"/>
    <w:rsid w:val="008402C5"/>
    <w:rsid w:val="00840AEA"/>
    <w:rsid w:val="00840B04"/>
    <w:rsid w:val="00840B90"/>
    <w:rsid w:val="00840BF0"/>
    <w:rsid w:val="00840E7D"/>
    <w:rsid w:val="00840EE5"/>
    <w:rsid w:val="00841090"/>
    <w:rsid w:val="0084114A"/>
    <w:rsid w:val="00841152"/>
    <w:rsid w:val="008411EC"/>
    <w:rsid w:val="00841228"/>
    <w:rsid w:val="00841261"/>
    <w:rsid w:val="008412EF"/>
    <w:rsid w:val="008413C0"/>
    <w:rsid w:val="008415BD"/>
    <w:rsid w:val="0084167E"/>
    <w:rsid w:val="00841711"/>
    <w:rsid w:val="0084177C"/>
    <w:rsid w:val="008417AC"/>
    <w:rsid w:val="008417D4"/>
    <w:rsid w:val="008418E6"/>
    <w:rsid w:val="00841B07"/>
    <w:rsid w:val="00841C56"/>
    <w:rsid w:val="00841E6F"/>
    <w:rsid w:val="00841E75"/>
    <w:rsid w:val="0084214C"/>
    <w:rsid w:val="00842264"/>
    <w:rsid w:val="008422A8"/>
    <w:rsid w:val="008422EE"/>
    <w:rsid w:val="0084264F"/>
    <w:rsid w:val="008429F8"/>
    <w:rsid w:val="00842B3E"/>
    <w:rsid w:val="00842DB3"/>
    <w:rsid w:val="00843128"/>
    <w:rsid w:val="008431F3"/>
    <w:rsid w:val="00843214"/>
    <w:rsid w:val="008432E7"/>
    <w:rsid w:val="00843444"/>
    <w:rsid w:val="008434D3"/>
    <w:rsid w:val="00843531"/>
    <w:rsid w:val="00843637"/>
    <w:rsid w:val="00843861"/>
    <w:rsid w:val="00843979"/>
    <w:rsid w:val="00843CAB"/>
    <w:rsid w:val="00843D91"/>
    <w:rsid w:val="00843E5B"/>
    <w:rsid w:val="00843F0B"/>
    <w:rsid w:val="00844091"/>
    <w:rsid w:val="00844270"/>
    <w:rsid w:val="008444E8"/>
    <w:rsid w:val="008446B0"/>
    <w:rsid w:val="008446C0"/>
    <w:rsid w:val="00844749"/>
    <w:rsid w:val="00844844"/>
    <w:rsid w:val="008448BB"/>
    <w:rsid w:val="008448FF"/>
    <w:rsid w:val="00844B4E"/>
    <w:rsid w:val="00844BE2"/>
    <w:rsid w:val="00844E80"/>
    <w:rsid w:val="00845089"/>
    <w:rsid w:val="008450FA"/>
    <w:rsid w:val="0084531E"/>
    <w:rsid w:val="0084547E"/>
    <w:rsid w:val="008458C1"/>
    <w:rsid w:val="0084599E"/>
    <w:rsid w:val="008459FF"/>
    <w:rsid w:val="00845A4B"/>
    <w:rsid w:val="00845B09"/>
    <w:rsid w:val="00845C47"/>
    <w:rsid w:val="00845E46"/>
    <w:rsid w:val="0084610A"/>
    <w:rsid w:val="00846244"/>
    <w:rsid w:val="00846311"/>
    <w:rsid w:val="00846508"/>
    <w:rsid w:val="0084662B"/>
    <w:rsid w:val="008467CD"/>
    <w:rsid w:val="00846A3C"/>
    <w:rsid w:val="00846A48"/>
    <w:rsid w:val="00846C57"/>
    <w:rsid w:val="00846E0D"/>
    <w:rsid w:val="00846E78"/>
    <w:rsid w:val="00846F51"/>
    <w:rsid w:val="00846FE7"/>
    <w:rsid w:val="00847203"/>
    <w:rsid w:val="00847305"/>
    <w:rsid w:val="008473BE"/>
    <w:rsid w:val="0084745E"/>
    <w:rsid w:val="00847465"/>
    <w:rsid w:val="0084762B"/>
    <w:rsid w:val="00847676"/>
    <w:rsid w:val="00847918"/>
    <w:rsid w:val="00847A2C"/>
    <w:rsid w:val="00847A3D"/>
    <w:rsid w:val="00847DCE"/>
    <w:rsid w:val="00847EC3"/>
    <w:rsid w:val="00847ED0"/>
    <w:rsid w:val="0085013B"/>
    <w:rsid w:val="00850C65"/>
    <w:rsid w:val="00850D69"/>
    <w:rsid w:val="00850DA1"/>
    <w:rsid w:val="00850E62"/>
    <w:rsid w:val="00850F75"/>
    <w:rsid w:val="008510B3"/>
    <w:rsid w:val="00851143"/>
    <w:rsid w:val="008511A3"/>
    <w:rsid w:val="008511D1"/>
    <w:rsid w:val="00851303"/>
    <w:rsid w:val="00851312"/>
    <w:rsid w:val="00851366"/>
    <w:rsid w:val="00851398"/>
    <w:rsid w:val="008516B3"/>
    <w:rsid w:val="00851AA2"/>
    <w:rsid w:val="00851CF5"/>
    <w:rsid w:val="00852028"/>
    <w:rsid w:val="00852112"/>
    <w:rsid w:val="008521F2"/>
    <w:rsid w:val="00852227"/>
    <w:rsid w:val="00852544"/>
    <w:rsid w:val="0085271E"/>
    <w:rsid w:val="00852F75"/>
    <w:rsid w:val="008535BB"/>
    <w:rsid w:val="00853868"/>
    <w:rsid w:val="00853C2C"/>
    <w:rsid w:val="00853E20"/>
    <w:rsid w:val="00853E30"/>
    <w:rsid w:val="0085402B"/>
    <w:rsid w:val="0085416E"/>
    <w:rsid w:val="00854753"/>
    <w:rsid w:val="008548BE"/>
    <w:rsid w:val="008553BB"/>
    <w:rsid w:val="00855B0C"/>
    <w:rsid w:val="00855B87"/>
    <w:rsid w:val="00855BA2"/>
    <w:rsid w:val="00855D38"/>
    <w:rsid w:val="00855EC3"/>
    <w:rsid w:val="008561A6"/>
    <w:rsid w:val="00856380"/>
    <w:rsid w:val="00856620"/>
    <w:rsid w:val="00856911"/>
    <w:rsid w:val="00856C8F"/>
    <w:rsid w:val="00856DD4"/>
    <w:rsid w:val="00856E52"/>
    <w:rsid w:val="008572E8"/>
    <w:rsid w:val="00857350"/>
    <w:rsid w:val="00857760"/>
    <w:rsid w:val="008577B1"/>
    <w:rsid w:val="008578A4"/>
    <w:rsid w:val="008600BA"/>
    <w:rsid w:val="0086017D"/>
    <w:rsid w:val="00860280"/>
    <w:rsid w:val="008602EB"/>
    <w:rsid w:val="00860844"/>
    <w:rsid w:val="0086089E"/>
    <w:rsid w:val="008608FF"/>
    <w:rsid w:val="008609BA"/>
    <w:rsid w:val="00860A26"/>
    <w:rsid w:val="00860F8D"/>
    <w:rsid w:val="0086102F"/>
    <w:rsid w:val="0086133E"/>
    <w:rsid w:val="0086136A"/>
    <w:rsid w:val="00861430"/>
    <w:rsid w:val="0086162D"/>
    <w:rsid w:val="0086166C"/>
    <w:rsid w:val="008616F4"/>
    <w:rsid w:val="00861795"/>
    <w:rsid w:val="008617E9"/>
    <w:rsid w:val="00861C34"/>
    <w:rsid w:val="00861D5C"/>
    <w:rsid w:val="00861EDE"/>
    <w:rsid w:val="00861F27"/>
    <w:rsid w:val="008623F7"/>
    <w:rsid w:val="00862493"/>
    <w:rsid w:val="008629A6"/>
    <w:rsid w:val="00862AD8"/>
    <w:rsid w:val="00862CF2"/>
    <w:rsid w:val="00862FBC"/>
    <w:rsid w:val="00862FC3"/>
    <w:rsid w:val="00863016"/>
    <w:rsid w:val="0086310B"/>
    <w:rsid w:val="00863182"/>
    <w:rsid w:val="0086326A"/>
    <w:rsid w:val="0086326F"/>
    <w:rsid w:val="0086347B"/>
    <w:rsid w:val="008637A7"/>
    <w:rsid w:val="00863913"/>
    <w:rsid w:val="00863A2E"/>
    <w:rsid w:val="00863D72"/>
    <w:rsid w:val="00863DF6"/>
    <w:rsid w:val="00863FE5"/>
    <w:rsid w:val="008641B6"/>
    <w:rsid w:val="008642C5"/>
    <w:rsid w:val="00864820"/>
    <w:rsid w:val="00864ADA"/>
    <w:rsid w:val="00864FA8"/>
    <w:rsid w:val="00865020"/>
    <w:rsid w:val="008651BE"/>
    <w:rsid w:val="008651C1"/>
    <w:rsid w:val="008654FD"/>
    <w:rsid w:val="00865A60"/>
    <w:rsid w:val="00865B76"/>
    <w:rsid w:val="00865C4F"/>
    <w:rsid w:val="0086604F"/>
    <w:rsid w:val="008665C3"/>
    <w:rsid w:val="0086666B"/>
    <w:rsid w:val="00866963"/>
    <w:rsid w:val="00866AAD"/>
    <w:rsid w:val="00866BCF"/>
    <w:rsid w:val="00866D6C"/>
    <w:rsid w:val="00866F79"/>
    <w:rsid w:val="00866FA0"/>
    <w:rsid w:val="008672C8"/>
    <w:rsid w:val="008672D7"/>
    <w:rsid w:val="00867649"/>
    <w:rsid w:val="008677FD"/>
    <w:rsid w:val="00867949"/>
    <w:rsid w:val="008679F6"/>
    <w:rsid w:val="00867BF3"/>
    <w:rsid w:val="0087009F"/>
    <w:rsid w:val="00870376"/>
    <w:rsid w:val="0087040D"/>
    <w:rsid w:val="008706C3"/>
    <w:rsid w:val="008706D4"/>
    <w:rsid w:val="008708B7"/>
    <w:rsid w:val="00870B31"/>
    <w:rsid w:val="00870B7F"/>
    <w:rsid w:val="00870E34"/>
    <w:rsid w:val="00870F3C"/>
    <w:rsid w:val="00870F8A"/>
    <w:rsid w:val="00870FFE"/>
    <w:rsid w:val="00871090"/>
    <w:rsid w:val="0087120F"/>
    <w:rsid w:val="00871254"/>
    <w:rsid w:val="0087132E"/>
    <w:rsid w:val="0087156D"/>
    <w:rsid w:val="008719A4"/>
    <w:rsid w:val="00871A86"/>
    <w:rsid w:val="00871BE4"/>
    <w:rsid w:val="00871CCC"/>
    <w:rsid w:val="00871D23"/>
    <w:rsid w:val="00871F24"/>
    <w:rsid w:val="0087205B"/>
    <w:rsid w:val="008722C6"/>
    <w:rsid w:val="008722C9"/>
    <w:rsid w:val="008722FE"/>
    <w:rsid w:val="0087246B"/>
    <w:rsid w:val="0087260C"/>
    <w:rsid w:val="0087269A"/>
    <w:rsid w:val="00872758"/>
    <w:rsid w:val="00872914"/>
    <w:rsid w:val="00872E5A"/>
    <w:rsid w:val="00872FD2"/>
    <w:rsid w:val="00873031"/>
    <w:rsid w:val="00873299"/>
    <w:rsid w:val="00873857"/>
    <w:rsid w:val="008739F7"/>
    <w:rsid w:val="00873B4B"/>
    <w:rsid w:val="00873C4B"/>
    <w:rsid w:val="00873D3C"/>
    <w:rsid w:val="00873FC7"/>
    <w:rsid w:val="00873FE8"/>
    <w:rsid w:val="008742D5"/>
    <w:rsid w:val="00874305"/>
    <w:rsid w:val="00874312"/>
    <w:rsid w:val="0087437C"/>
    <w:rsid w:val="008745E4"/>
    <w:rsid w:val="00874638"/>
    <w:rsid w:val="00874658"/>
    <w:rsid w:val="0087470D"/>
    <w:rsid w:val="00875044"/>
    <w:rsid w:val="00875094"/>
    <w:rsid w:val="0087542B"/>
    <w:rsid w:val="0087567D"/>
    <w:rsid w:val="008758AE"/>
    <w:rsid w:val="00875957"/>
    <w:rsid w:val="008759D7"/>
    <w:rsid w:val="00875C6F"/>
    <w:rsid w:val="00875CD7"/>
    <w:rsid w:val="00875EFC"/>
    <w:rsid w:val="00875EFD"/>
    <w:rsid w:val="00876064"/>
    <w:rsid w:val="008760D3"/>
    <w:rsid w:val="00876161"/>
    <w:rsid w:val="008761FA"/>
    <w:rsid w:val="00876596"/>
    <w:rsid w:val="008765BE"/>
    <w:rsid w:val="008765EE"/>
    <w:rsid w:val="0087680F"/>
    <w:rsid w:val="00876A41"/>
    <w:rsid w:val="00876B4D"/>
    <w:rsid w:val="00876C6C"/>
    <w:rsid w:val="00876D3D"/>
    <w:rsid w:val="00877234"/>
    <w:rsid w:val="008773F8"/>
    <w:rsid w:val="0087753E"/>
    <w:rsid w:val="00877631"/>
    <w:rsid w:val="00877BEA"/>
    <w:rsid w:val="00877CDF"/>
    <w:rsid w:val="00877EEE"/>
    <w:rsid w:val="00877F18"/>
    <w:rsid w:val="00880079"/>
    <w:rsid w:val="00880195"/>
    <w:rsid w:val="008805D5"/>
    <w:rsid w:val="00880783"/>
    <w:rsid w:val="00880A51"/>
    <w:rsid w:val="00880A72"/>
    <w:rsid w:val="00880B4F"/>
    <w:rsid w:val="00880BA4"/>
    <w:rsid w:val="00880DC2"/>
    <w:rsid w:val="00880E00"/>
    <w:rsid w:val="00880F73"/>
    <w:rsid w:val="00881055"/>
    <w:rsid w:val="008810E4"/>
    <w:rsid w:val="00881803"/>
    <w:rsid w:val="00881856"/>
    <w:rsid w:val="0088225C"/>
    <w:rsid w:val="00882307"/>
    <w:rsid w:val="008824E0"/>
    <w:rsid w:val="00882A88"/>
    <w:rsid w:val="00882D2A"/>
    <w:rsid w:val="00882E17"/>
    <w:rsid w:val="00882EE8"/>
    <w:rsid w:val="00882F1D"/>
    <w:rsid w:val="00882F7E"/>
    <w:rsid w:val="008831AB"/>
    <w:rsid w:val="008834DA"/>
    <w:rsid w:val="00883705"/>
    <w:rsid w:val="00883864"/>
    <w:rsid w:val="00883EBE"/>
    <w:rsid w:val="008840F8"/>
    <w:rsid w:val="00884250"/>
    <w:rsid w:val="008842FE"/>
    <w:rsid w:val="0088457C"/>
    <w:rsid w:val="008847E9"/>
    <w:rsid w:val="00884927"/>
    <w:rsid w:val="00884A78"/>
    <w:rsid w:val="00884F2A"/>
    <w:rsid w:val="00885028"/>
    <w:rsid w:val="008851B7"/>
    <w:rsid w:val="008851B9"/>
    <w:rsid w:val="008852A2"/>
    <w:rsid w:val="00885324"/>
    <w:rsid w:val="0088532A"/>
    <w:rsid w:val="00885848"/>
    <w:rsid w:val="00885B3F"/>
    <w:rsid w:val="00885B9A"/>
    <w:rsid w:val="008860E3"/>
    <w:rsid w:val="00886122"/>
    <w:rsid w:val="008863A3"/>
    <w:rsid w:val="008866C3"/>
    <w:rsid w:val="008866F8"/>
    <w:rsid w:val="00886715"/>
    <w:rsid w:val="00886774"/>
    <w:rsid w:val="008867E3"/>
    <w:rsid w:val="0088681B"/>
    <w:rsid w:val="00886A84"/>
    <w:rsid w:val="00886B5E"/>
    <w:rsid w:val="00886CA0"/>
    <w:rsid w:val="00886E3A"/>
    <w:rsid w:val="00886FB3"/>
    <w:rsid w:val="008871D1"/>
    <w:rsid w:val="0088728D"/>
    <w:rsid w:val="00887549"/>
    <w:rsid w:val="0088798C"/>
    <w:rsid w:val="00887ACC"/>
    <w:rsid w:val="00887BC5"/>
    <w:rsid w:val="00887D42"/>
    <w:rsid w:val="00887D51"/>
    <w:rsid w:val="00887F5F"/>
    <w:rsid w:val="00887FE3"/>
    <w:rsid w:val="008900CE"/>
    <w:rsid w:val="008900D8"/>
    <w:rsid w:val="0089014C"/>
    <w:rsid w:val="0089037E"/>
    <w:rsid w:val="00890392"/>
    <w:rsid w:val="008905FC"/>
    <w:rsid w:val="008907DE"/>
    <w:rsid w:val="00890859"/>
    <w:rsid w:val="00890909"/>
    <w:rsid w:val="00890A0E"/>
    <w:rsid w:val="00890BB6"/>
    <w:rsid w:val="00890D58"/>
    <w:rsid w:val="00890DC1"/>
    <w:rsid w:val="00890FA8"/>
    <w:rsid w:val="00891023"/>
    <w:rsid w:val="008917EE"/>
    <w:rsid w:val="008918D8"/>
    <w:rsid w:val="00891CC9"/>
    <w:rsid w:val="00891E71"/>
    <w:rsid w:val="00891F43"/>
    <w:rsid w:val="00892482"/>
    <w:rsid w:val="00892662"/>
    <w:rsid w:val="008928C4"/>
    <w:rsid w:val="008929FC"/>
    <w:rsid w:val="00892AF7"/>
    <w:rsid w:val="00892C65"/>
    <w:rsid w:val="00892E39"/>
    <w:rsid w:val="00892E79"/>
    <w:rsid w:val="0089314A"/>
    <w:rsid w:val="008931C1"/>
    <w:rsid w:val="0089338A"/>
    <w:rsid w:val="00893440"/>
    <w:rsid w:val="008935CA"/>
    <w:rsid w:val="0089365A"/>
    <w:rsid w:val="008937B5"/>
    <w:rsid w:val="008938C3"/>
    <w:rsid w:val="00893910"/>
    <w:rsid w:val="00893A21"/>
    <w:rsid w:val="00893ACB"/>
    <w:rsid w:val="00893D2F"/>
    <w:rsid w:val="00893F45"/>
    <w:rsid w:val="00893F9B"/>
    <w:rsid w:val="00894012"/>
    <w:rsid w:val="00894081"/>
    <w:rsid w:val="008941E3"/>
    <w:rsid w:val="00894472"/>
    <w:rsid w:val="008944A8"/>
    <w:rsid w:val="00894681"/>
    <w:rsid w:val="0089471D"/>
    <w:rsid w:val="00894767"/>
    <w:rsid w:val="00894809"/>
    <w:rsid w:val="00894823"/>
    <w:rsid w:val="00894A88"/>
    <w:rsid w:val="00894A8C"/>
    <w:rsid w:val="00894B17"/>
    <w:rsid w:val="00894CBB"/>
    <w:rsid w:val="00894EA0"/>
    <w:rsid w:val="00895269"/>
    <w:rsid w:val="00895323"/>
    <w:rsid w:val="00895386"/>
    <w:rsid w:val="008954E8"/>
    <w:rsid w:val="008956C9"/>
    <w:rsid w:val="00895BFF"/>
    <w:rsid w:val="00895C3E"/>
    <w:rsid w:val="00895D9F"/>
    <w:rsid w:val="00895FAD"/>
    <w:rsid w:val="0089612B"/>
    <w:rsid w:val="008961EF"/>
    <w:rsid w:val="00896327"/>
    <w:rsid w:val="008964A5"/>
    <w:rsid w:val="008966AC"/>
    <w:rsid w:val="0089683F"/>
    <w:rsid w:val="00896AC7"/>
    <w:rsid w:val="00896B39"/>
    <w:rsid w:val="00896B69"/>
    <w:rsid w:val="00896C4A"/>
    <w:rsid w:val="0089703E"/>
    <w:rsid w:val="0089722F"/>
    <w:rsid w:val="00897377"/>
    <w:rsid w:val="00897566"/>
    <w:rsid w:val="008975F2"/>
    <w:rsid w:val="00897678"/>
    <w:rsid w:val="0089768B"/>
    <w:rsid w:val="008977C7"/>
    <w:rsid w:val="00897807"/>
    <w:rsid w:val="00897973"/>
    <w:rsid w:val="00897979"/>
    <w:rsid w:val="00897C06"/>
    <w:rsid w:val="00897D8F"/>
    <w:rsid w:val="00897F99"/>
    <w:rsid w:val="008A008F"/>
    <w:rsid w:val="008A02E9"/>
    <w:rsid w:val="008A03A6"/>
    <w:rsid w:val="008A0644"/>
    <w:rsid w:val="008A077A"/>
    <w:rsid w:val="008A082A"/>
    <w:rsid w:val="008A0835"/>
    <w:rsid w:val="008A0B29"/>
    <w:rsid w:val="008A0B3B"/>
    <w:rsid w:val="008A0C87"/>
    <w:rsid w:val="008A0ED3"/>
    <w:rsid w:val="008A10AF"/>
    <w:rsid w:val="008A11F5"/>
    <w:rsid w:val="008A1278"/>
    <w:rsid w:val="008A13B4"/>
    <w:rsid w:val="008A1A7F"/>
    <w:rsid w:val="008A1C5F"/>
    <w:rsid w:val="008A1D02"/>
    <w:rsid w:val="008A1DD6"/>
    <w:rsid w:val="008A1E0E"/>
    <w:rsid w:val="008A1EE9"/>
    <w:rsid w:val="008A20A8"/>
    <w:rsid w:val="008A2154"/>
    <w:rsid w:val="008A21FF"/>
    <w:rsid w:val="008A2229"/>
    <w:rsid w:val="008A2256"/>
    <w:rsid w:val="008A245D"/>
    <w:rsid w:val="008A277A"/>
    <w:rsid w:val="008A2978"/>
    <w:rsid w:val="008A2CE2"/>
    <w:rsid w:val="008A2FE7"/>
    <w:rsid w:val="008A3001"/>
    <w:rsid w:val="008A30AC"/>
    <w:rsid w:val="008A3521"/>
    <w:rsid w:val="008A3768"/>
    <w:rsid w:val="008A3794"/>
    <w:rsid w:val="008A389D"/>
    <w:rsid w:val="008A39F1"/>
    <w:rsid w:val="008A3B04"/>
    <w:rsid w:val="008A3EFD"/>
    <w:rsid w:val="008A420D"/>
    <w:rsid w:val="008A44B8"/>
    <w:rsid w:val="008A45CE"/>
    <w:rsid w:val="008A480C"/>
    <w:rsid w:val="008A4C07"/>
    <w:rsid w:val="008A4C72"/>
    <w:rsid w:val="008A4D96"/>
    <w:rsid w:val="008A4FE5"/>
    <w:rsid w:val="008A50F0"/>
    <w:rsid w:val="008A51A8"/>
    <w:rsid w:val="008A52C1"/>
    <w:rsid w:val="008A5407"/>
    <w:rsid w:val="008A54C7"/>
    <w:rsid w:val="008A58B0"/>
    <w:rsid w:val="008A5ADA"/>
    <w:rsid w:val="008A5B2E"/>
    <w:rsid w:val="008A5CFB"/>
    <w:rsid w:val="008A5F27"/>
    <w:rsid w:val="008A648A"/>
    <w:rsid w:val="008A656E"/>
    <w:rsid w:val="008A66B2"/>
    <w:rsid w:val="008A66C5"/>
    <w:rsid w:val="008A6B84"/>
    <w:rsid w:val="008A6C4E"/>
    <w:rsid w:val="008A7191"/>
    <w:rsid w:val="008A75C6"/>
    <w:rsid w:val="008A77D8"/>
    <w:rsid w:val="008A7AD9"/>
    <w:rsid w:val="008A7C61"/>
    <w:rsid w:val="008A7DF2"/>
    <w:rsid w:val="008A7DFE"/>
    <w:rsid w:val="008A7F2D"/>
    <w:rsid w:val="008A7F4D"/>
    <w:rsid w:val="008B0091"/>
    <w:rsid w:val="008B01C1"/>
    <w:rsid w:val="008B028F"/>
    <w:rsid w:val="008B032D"/>
    <w:rsid w:val="008B0331"/>
    <w:rsid w:val="008B0483"/>
    <w:rsid w:val="008B0799"/>
    <w:rsid w:val="008B0D66"/>
    <w:rsid w:val="008B10CE"/>
    <w:rsid w:val="008B120C"/>
    <w:rsid w:val="008B1252"/>
    <w:rsid w:val="008B1410"/>
    <w:rsid w:val="008B19C0"/>
    <w:rsid w:val="008B1AF6"/>
    <w:rsid w:val="008B1B6D"/>
    <w:rsid w:val="008B1BD3"/>
    <w:rsid w:val="008B2609"/>
    <w:rsid w:val="008B2638"/>
    <w:rsid w:val="008B2755"/>
    <w:rsid w:val="008B2798"/>
    <w:rsid w:val="008B2849"/>
    <w:rsid w:val="008B2BAD"/>
    <w:rsid w:val="008B2BB0"/>
    <w:rsid w:val="008B2BEB"/>
    <w:rsid w:val="008B2BF7"/>
    <w:rsid w:val="008B3249"/>
    <w:rsid w:val="008B3313"/>
    <w:rsid w:val="008B386A"/>
    <w:rsid w:val="008B388E"/>
    <w:rsid w:val="008B3A63"/>
    <w:rsid w:val="008B3B12"/>
    <w:rsid w:val="008B3C17"/>
    <w:rsid w:val="008B3D45"/>
    <w:rsid w:val="008B41AF"/>
    <w:rsid w:val="008B425A"/>
    <w:rsid w:val="008B42E3"/>
    <w:rsid w:val="008B4530"/>
    <w:rsid w:val="008B454D"/>
    <w:rsid w:val="008B4AE8"/>
    <w:rsid w:val="008B4C50"/>
    <w:rsid w:val="008B4D65"/>
    <w:rsid w:val="008B4E32"/>
    <w:rsid w:val="008B4E5E"/>
    <w:rsid w:val="008B4F2D"/>
    <w:rsid w:val="008B5150"/>
    <w:rsid w:val="008B517E"/>
    <w:rsid w:val="008B51A0"/>
    <w:rsid w:val="008B52C6"/>
    <w:rsid w:val="008B546F"/>
    <w:rsid w:val="008B592A"/>
    <w:rsid w:val="008B593B"/>
    <w:rsid w:val="008B5A00"/>
    <w:rsid w:val="008B5A35"/>
    <w:rsid w:val="008B5D0C"/>
    <w:rsid w:val="008B5F2A"/>
    <w:rsid w:val="008B5FBF"/>
    <w:rsid w:val="008B623E"/>
    <w:rsid w:val="008B62F2"/>
    <w:rsid w:val="008B634D"/>
    <w:rsid w:val="008B657D"/>
    <w:rsid w:val="008B658F"/>
    <w:rsid w:val="008B675C"/>
    <w:rsid w:val="008B6A1C"/>
    <w:rsid w:val="008B6C09"/>
    <w:rsid w:val="008B7354"/>
    <w:rsid w:val="008B74D0"/>
    <w:rsid w:val="008B7549"/>
    <w:rsid w:val="008B7A77"/>
    <w:rsid w:val="008B7B5C"/>
    <w:rsid w:val="008B7BB5"/>
    <w:rsid w:val="008B7CBB"/>
    <w:rsid w:val="008B7D16"/>
    <w:rsid w:val="008B7E74"/>
    <w:rsid w:val="008B7E79"/>
    <w:rsid w:val="008C0448"/>
    <w:rsid w:val="008C05E9"/>
    <w:rsid w:val="008C082B"/>
    <w:rsid w:val="008C088C"/>
    <w:rsid w:val="008C0C99"/>
    <w:rsid w:val="008C1124"/>
    <w:rsid w:val="008C13A3"/>
    <w:rsid w:val="008C145C"/>
    <w:rsid w:val="008C148C"/>
    <w:rsid w:val="008C16CC"/>
    <w:rsid w:val="008C1710"/>
    <w:rsid w:val="008C1815"/>
    <w:rsid w:val="008C187B"/>
    <w:rsid w:val="008C1A78"/>
    <w:rsid w:val="008C1D66"/>
    <w:rsid w:val="008C1EB7"/>
    <w:rsid w:val="008C1F7A"/>
    <w:rsid w:val="008C2017"/>
    <w:rsid w:val="008C2308"/>
    <w:rsid w:val="008C25D4"/>
    <w:rsid w:val="008C2974"/>
    <w:rsid w:val="008C29B5"/>
    <w:rsid w:val="008C2A5F"/>
    <w:rsid w:val="008C314E"/>
    <w:rsid w:val="008C3295"/>
    <w:rsid w:val="008C3343"/>
    <w:rsid w:val="008C3542"/>
    <w:rsid w:val="008C3949"/>
    <w:rsid w:val="008C39CC"/>
    <w:rsid w:val="008C3AAE"/>
    <w:rsid w:val="008C3BC5"/>
    <w:rsid w:val="008C3EE7"/>
    <w:rsid w:val="008C4122"/>
    <w:rsid w:val="008C443E"/>
    <w:rsid w:val="008C4472"/>
    <w:rsid w:val="008C4524"/>
    <w:rsid w:val="008C45D9"/>
    <w:rsid w:val="008C4682"/>
    <w:rsid w:val="008C4958"/>
    <w:rsid w:val="008C4A23"/>
    <w:rsid w:val="008C4A8F"/>
    <w:rsid w:val="008C4BAA"/>
    <w:rsid w:val="008C4D76"/>
    <w:rsid w:val="008C4F8C"/>
    <w:rsid w:val="008C5062"/>
    <w:rsid w:val="008C50F2"/>
    <w:rsid w:val="008C52F8"/>
    <w:rsid w:val="008C532A"/>
    <w:rsid w:val="008C553C"/>
    <w:rsid w:val="008C5A38"/>
    <w:rsid w:val="008C5AEB"/>
    <w:rsid w:val="008C5CFA"/>
    <w:rsid w:val="008C5D94"/>
    <w:rsid w:val="008C5EBB"/>
    <w:rsid w:val="008C5F6A"/>
    <w:rsid w:val="008C63DC"/>
    <w:rsid w:val="008C6474"/>
    <w:rsid w:val="008C6587"/>
    <w:rsid w:val="008C66F6"/>
    <w:rsid w:val="008C6874"/>
    <w:rsid w:val="008C6A1B"/>
    <w:rsid w:val="008C6AA7"/>
    <w:rsid w:val="008C6AE8"/>
    <w:rsid w:val="008C6C12"/>
    <w:rsid w:val="008C6CC4"/>
    <w:rsid w:val="008C6E89"/>
    <w:rsid w:val="008C7445"/>
    <w:rsid w:val="008C74CC"/>
    <w:rsid w:val="008C7573"/>
    <w:rsid w:val="008C7654"/>
    <w:rsid w:val="008C7656"/>
    <w:rsid w:val="008C7A86"/>
    <w:rsid w:val="008C7FAF"/>
    <w:rsid w:val="008D0087"/>
    <w:rsid w:val="008D00A5"/>
    <w:rsid w:val="008D01FE"/>
    <w:rsid w:val="008D03CA"/>
    <w:rsid w:val="008D0482"/>
    <w:rsid w:val="008D0666"/>
    <w:rsid w:val="008D0817"/>
    <w:rsid w:val="008D0892"/>
    <w:rsid w:val="008D1295"/>
    <w:rsid w:val="008D1728"/>
    <w:rsid w:val="008D1781"/>
    <w:rsid w:val="008D17AF"/>
    <w:rsid w:val="008D18A1"/>
    <w:rsid w:val="008D18E3"/>
    <w:rsid w:val="008D1C19"/>
    <w:rsid w:val="008D1FA0"/>
    <w:rsid w:val="008D2054"/>
    <w:rsid w:val="008D223F"/>
    <w:rsid w:val="008D2427"/>
    <w:rsid w:val="008D24F5"/>
    <w:rsid w:val="008D26FF"/>
    <w:rsid w:val="008D2B17"/>
    <w:rsid w:val="008D2B6D"/>
    <w:rsid w:val="008D3093"/>
    <w:rsid w:val="008D33CD"/>
    <w:rsid w:val="008D3434"/>
    <w:rsid w:val="008D34F1"/>
    <w:rsid w:val="008D37FA"/>
    <w:rsid w:val="008D38BF"/>
    <w:rsid w:val="008D39D8"/>
    <w:rsid w:val="008D3AE4"/>
    <w:rsid w:val="008D3D38"/>
    <w:rsid w:val="008D3DAA"/>
    <w:rsid w:val="008D3DC3"/>
    <w:rsid w:val="008D3EE4"/>
    <w:rsid w:val="008D3FDA"/>
    <w:rsid w:val="008D404A"/>
    <w:rsid w:val="008D4113"/>
    <w:rsid w:val="008D4287"/>
    <w:rsid w:val="008D4324"/>
    <w:rsid w:val="008D43DD"/>
    <w:rsid w:val="008D4471"/>
    <w:rsid w:val="008D4518"/>
    <w:rsid w:val="008D4551"/>
    <w:rsid w:val="008D4635"/>
    <w:rsid w:val="008D46DE"/>
    <w:rsid w:val="008D4820"/>
    <w:rsid w:val="008D4859"/>
    <w:rsid w:val="008D493E"/>
    <w:rsid w:val="008D4F1C"/>
    <w:rsid w:val="008D4F32"/>
    <w:rsid w:val="008D4F68"/>
    <w:rsid w:val="008D50D3"/>
    <w:rsid w:val="008D514C"/>
    <w:rsid w:val="008D514F"/>
    <w:rsid w:val="008D5261"/>
    <w:rsid w:val="008D53DE"/>
    <w:rsid w:val="008D56C7"/>
    <w:rsid w:val="008D57A0"/>
    <w:rsid w:val="008D58F0"/>
    <w:rsid w:val="008D59D7"/>
    <w:rsid w:val="008D5A36"/>
    <w:rsid w:val="008D5ADD"/>
    <w:rsid w:val="008D5B43"/>
    <w:rsid w:val="008D5B72"/>
    <w:rsid w:val="008D5C67"/>
    <w:rsid w:val="008D5D26"/>
    <w:rsid w:val="008D5DC4"/>
    <w:rsid w:val="008D5E3D"/>
    <w:rsid w:val="008D5E57"/>
    <w:rsid w:val="008D5E89"/>
    <w:rsid w:val="008D66BA"/>
    <w:rsid w:val="008D6928"/>
    <w:rsid w:val="008D69E4"/>
    <w:rsid w:val="008D6A68"/>
    <w:rsid w:val="008D6B9F"/>
    <w:rsid w:val="008D6D1A"/>
    <w:rsid w:val="008D707A"/>
    <w:rsid w:val="008D71A1"/>
    <w:rsid w:val="008D7598"/>
    <w:rsid w:val="008D75A4"/>
    <w:rsid w:val="008D75EF"/>
    <w:rsid w:val="008D7615"/>
    <w:rsid w:val="008D79B8"/>
    <w:rsid w:val="008D79B9"/>
    <w:rsid w:val="008D7B80"/>
    <w:rsid w:val="008E055B"/>
    <w:rsid w:val="008E0587"/>
    <w:rsid w:val="008E0597"/>
    <w:rsid w:val="008E065E"/>
    <w:rsid w:val="008E0927"/>
    <w:rsid w:val="008E0A26"/>
    <w:rsid w:val="008E0BCE"/>
    <w:rsid w:val="008E1050"/>
    <w:rsid w:val="008E11B4"/>
    <w:rsid w:val="008E129F"/>
    <w:rsid w:val="008E156D"/>
    <w:rsid w:val="008E1825"/>
    <w:rsid w:val="008E1909"/>
    <w:rsid w:val="008E1F3D"/>
    <w:rsid w:val="008E22FF"/>
    <w:rsid w:val="008E2365"/>
    <w:rsid w:val="008E240A"/>
    <w:rsid w:val="008E2456"/>
    <w:rsid w:val="008E27BD"/>
    <w:rsid w:val="008E27E6"/>
    <w:rsid w:val="008E2A1D"/>
    <w:rsid w:val="008E2D6E"/>
    <w:rsid w:val="008E2FBC"/>
    <w:rsid w:val="008E30EB"/>
    <w:rsid w:val="008E31B0"/>
    <w:rsid w:val="008E34BE"/>
    <w:rsid w:val="008E393B"/>
    <w:rsid w:val="008E3D67"/>
    <w:rsid w:val="008E3F73"/>
    <w:rsid w:val="008E4226"/>
    <w:rsid w:val="008E459A"/>
    <w:rsid w:val="008E45B3"/>
    <w:rsid w:val="008E465F"/>
    <w:rsid w:val="008E4CC1"/>
    <w:rsid w:val="008E4DE1"/>
    <w:rsid w:val="008E4E1C"/>
    <w:rsid w:val="008E505E"/>
    <w:rsid w:val="008E50C4"/>
    <w:rsid w:val="008E529A"/>
    <w:rsid w:val="008E556F"/>
    <w:rsid w:val="008E585D"/>
    <w:rsid w:val="008E5C0D"/>
    <w:rsid w:val="008E5CC0"/>
    <w:rsid w:val="008E5DBD"/>
    <w:rsid w:val="008E5FA7"/>
    <w:rsid w:val="008E6060"/>
    <w:rsid w:val="008E68FF"/>
    <w:rsid w:val="008E6C7D"/>
    <w:rsid w:val="008E6D61"/>
    <w:rsid w:val="008E6F79"/>
    <w:rsid w:val="008E717F"/>
    <w:rsid w:val="008E71B6"/>
    <w:rsid w:val="008E7B0D"/>
    <w:rsid w:val="008E7BAB"/>
    <w:rsid w:val="008E7C09"/>
    <w:rsid w:val="008E7D11"/>
    <w:rsid w:val="008E7F9F"/>
    <w:rsid w:val="008F01C5"/>
    <w:rsid w:val="008F0543"/>
    <w:rsid w:val="008F0575"/>
    <w:rsid w:val="008F09A0"/>
    <w:rsid w:val="008F0FA7"/>
    <w:rsid w:val="008F10EF"/>
    <w:rsid w:val="008F10FF"/>
    <w:rsid w:val="008F110F"/>
    <w:rsid w:val="008F12D0"/>
    <w:rsid w:val="008F1BDE"/>
    <w:rsid w:val="008F1C4E"/>
    <w:rsid w:val="008F1CBA"/>
    <w:rsid w:val="008F1EAB"/>
    <w:rsid w:val="008F201D"/>
    <w:rsid w:val="008F21EA"/>
    <w:rsid w:val="008F234E"/>
    <w:rsid w:val="008F23CD"/>
    <w:rsid w:val="008F2479"/>
    <w:rsid w:val="008F296B"/>
    <w:rsid w:val="008F2990"/>
    <w:rsid w:val="008F29FC"/>
    <w:rsid w:val="008F2F70"/>
    <w:rsid w:val="008F2F98"/>
    <w:rsid w:val="008F3065"/>
    <w:rsid w:val="008F309F"/>
    <w:rsid w:val="008F30F1"/>
    <w:rsid w:val="008F31E3"/>
    <w:rsid w:val="008F3240"/>
    <w:rsid w:val="008F33DC"/>
    <w:rsid w:val="008F3589"/>
    <w:rsid w:val="008F3897"/>
    <w:rsid w:val="008F38A8"/>
    <w:rsid w:val="008F3ABB"/>
    <w:rsid w:val="008F3D62"/>
    <w:rsid w:val="008F3D64"/>
    <w:rsid w:val="008F3D6E"/>
    <w:rsid w:val="008F3E5A"/>
    <w:rsid w:val="008F3E82"/>
    <w:rsid w:val="008F3ED7"/>
    <w:rsid w:val="008F3F6B"/>
    <w:rsid w:val="008F444F"/>
    <w:rsid w:val="008F4583"/>
    <w:rsid w:val="008F45BC"/>
    <w:rsid w:val="008F477F"/>
    <w:rsid w:val="008F486E"/>
    <w:rsid w:val="008F496E"/>
    <w:rsid w:val="008F4AFB"/>
    <w:rsid w:val="008F4FA8"/>
    <w:rsid w:val="008F5006"/>
    <w:rsid w:val="008F535E"/>
    <w:rsid w:val="008F53B4"/>
    <w:rsid w:val="008F5C0C"/>
    <w:rsid w:val="008F5E0A"/>
    <w:rsid w:val="008F5FDF"/>
    <w:rsid w:val="008F65A4"/>
    <w:rsid w:val="008F6874"/>
    <w:rsid w:val="008F6880"/>
    <w:rsid w:val="008F6AC3"/>
    <w:rsid w:val="008F6CA4"/>
    <w:rsid w:val="008F6D0E"/>
    <w:rsid w:val="008F7077"/>
    <w:rsid w:val="008F7106"/>
    <w:rsid w:val="008F71D7"/>
    <w:rsid w:val="008F72C6"/>
    <w:rsid w:val="008F7364"/>
    <w:rsid w:val="008F7893"/>
    <w:rsid w:val="008F7DBC"/>
    <w:rsid w:val="008F7E0F"/>
    <w:rsid w:val="009002C6"/>
    <w:rsid w:val="009004BC"/>
    <w:rsid w:val="00900552"/>
    <w:rsid w:val="0090055F"/>
    <w:rsid w:val="009006CF"/>
    <w:rsid w:val="00900729"/>
    <w:rsid w:val="0090099B"/>
    <w:rsid w:val="009009D0"/>
    <w:rsid w:val="00900A66"/>
    <w:rsid w:val="00900BAC"/>
    <w:rsid w:val="00900BEC"/>
    <w:rsid w:val="00900E09"/>
    <w:rsid w:val="00900EF3"/>
    <w:rsid w:val="00900F1B"/>
    <w:rsid w:val="00900F7D"/>
    <w:rsid w:val="0090138C"/>
    <w:rsid w:val="0090163C"/>
    <w:rsid w:val="009017D0"/>
    <w:rsid w:val="0090194A"/>
    <w:rsid w:val="00901976"/>
    <w:rsid w:val="00901B4C"/>
    <w:rsid w:val="00901CA4"/>
    <w:rsid w:val="00901FBD"/>
    <w:rsid w:val="00902281"/>
    <w:rsid w:val="00902350"/>
    <w:rsid w:val="00902727"/>
    <w:rsid w:val="00902825"/>
    <w:rsid w:val="00902F99"/>
    <w:rsid w:val="0090336B"/>
    <w:rsid w:val="009034F9"/>
    <w:rsid w:val="0090376B"/>
    <w:rsid w:val="00903845"/>
    <w:rsid w:val="00903CCE"/>
    <w:rsid w:val="009044D0"/>
    <w:rsid w:val="00904575"/>
    <w:rsid w:val="009047D2"/>
    <w:rsid w:val="009047F7"/>
    <w:rsid w:val="00904D3F"/>
    <w:rsid w:val="00904F6A"/>
    <w:rsid w:val="00905188"/>
    <w:rsid w:val="0090520A"/>
    <w:rsid w:val="009053AA"/>
    <w:rsid w:val="009056E9"/>
    <w:rsid w:val="0090571B"/>
    <w:rsid w:val="00905879"/>
    <w:rsid w:val="0090599A"/>
    <w:rsid w:val="00905E59"/>
    <w:rsid w:val="00906041"/>
    <w:rsid w:val="009060C0"/>
    <w:rsid w:val="00906223"/>
    <w:rsid w:val="00906467"/>
    <w:rsid w:val="00906563"/>
    <w:rsid w:val="00906659"/>
    <w:rsid w:val="009066E6"/>
    <w:rsid w:val="0090676C"/>
    <w:rsid w:val="00906939"/>
    <w:rsid w:val="00906964"/>
    <w:rsid w:val="00906C9B"/>
    <w:rsid w:val="00906FF1"/>
    <w:rsid w:val="00907196"/>
    <w:rsid w:val="0090743C"/>
    <w:rsid w:val="0090743E"/>
    <w:rsid w:val="00907778"/>
    <w:rsid w:val="0090788B"/>
    <w:rsid w:val="00907891"/>
    <w:rsid w:val="00907C56"/>
    <w:rsid w:val="00907C7D"/>
    <w:rsid w:val="00907FAD"/>
    <w:rsid w:val="0091023E"/>
    <w:rsid w:val="0091028D"/>
    <w:rsid w:val="009102C0"/>
    <w:rsid w:val="009102F2"/>
    <w:rsid w:val="00910472"/>
    <w:rsid w:val="0091061B"/>
    <w:rsid w:val="0091081A"/>
    <w:rsid w:val="00910935"/>
    <w:rsid w:val="0091096D"/>
    <w:rsid w:val="00910981"/>
    <w:rsid w:val="00910B7D"/>
    <w:rsid w:val="00910C17"/>
    <w:rsid w:val="00910DDE"/>
    <w:rsid w:val="00910DE3"/>
    <w:rsid w:val="009111AE"/>
    <w:rsid w:val="00911621"/>
    <w:rsid w:val="0091163F"/>
    <w:rsid w:val="00911894"/>
    <w:rsid w:val="00911B1A"/>
    <w:rsid w:val="00911CD2"/>
    <w:rsid w:val="00911D93"/>
    <w:rsid w:val="00911DFB"/>
    <w:rsid w:val="00911F4B"/>
    <w:rsid w:val="0091201E"/>
    <w:rsid w:val="009121DB"/>
    <w:rsid w:val="009124BA"/>
    <w:rsid w:val="0091259C"/>
    <w:rsid w:val="009125EE"/>
    <w:rsid w:val="009126ED"/>
    <w:rsid w:val="00912701"/>
    <w:rsid w:val="009127F4"/>
    <w:rsid w:val="0091302D"/>
    <w:rsid w:val="009131A4"/>
    <w:rsid w:val="00913267"/>
    <w:rsid w:val="0091328E"/>
    <w:rsid w:val="009133EB"/>
    <w:rsid w:val="009134B3"/>
    <w:rsid w:val="009136DD"/>
    <w:rsid w:val="0091387C"/>
    <w:rsid w:val="009139D9"/>
    <w:rsid w:val="00913DEB"/>
    <w:rsid w:val="00913E4F"/>
    <w:rsid w:val="00913F54"/>
    <w:rsid w:val="0091400A"/>
    <w:rsid w:val="009141C5"/>
    <w:rsid w:val="00914436"/>
    <w:rsid w:val="00914672"/>
    <w:rsid w:val="00914840"/>
    <w:rsid w:val="00914897"/>
    <w:rsid w:val="00914AD8"/>
    <w:rsid w:val="00914BDA"/>
    <w:rsid w:val="00914ECB"/>
    <w:rsid w:val="0091547A"/>
    <w:rsid w:val="00915481"/>
    <w:rsid w:val="00915917"/>
    <w:rsid w:val="009159D9"/>
    <w:rsid w:val="00915B70"/>
    <w:rsid w:val="00916079"/>
    <w:rsid w:val="0091617E"/>
    <w:rsid w:val="00916184"/>
    <w:rsid w:val="009161D8"/>
    <w:rsid w:val="009162C9"/>
    <w:rsid w:val="009163C6"/>
    <w:rsid w:val="00916930"/>
    <w:rsid w:val="00916B3D"/>
    <w:rsid w:val="00916CCC"/>
    <w:rsid w:val="00916CFD"/>
    <w:rsid w:val="00917346"/>
    <w:rsid w:val="00917416"/>
    <w:rsid w:val="009174E9"/>
    <w:rsid w:val="00917675"/>
    <w:rsid w:val="0091767F"/>
    <w:rsid w:val="00917840"/>
    <w:rsid w:val="0091791D"/>
    <w:rsid w:val="00917971"/>
    <w:rsid w:val="00917979"/>
    <w:rsid w:val="0091797D"/>
    <w:rsid w:val="00917CE9"/>
    <w:rsid w:val="00917D83"/>
    <w:rsid w:val="00917F90"/>
    <w:rsid w:val="009200C9"/>
    <w:rsid w:val="009200D0"/>
    <w:rsid w:val="009202DD"/>
    <w:rsid w:val="009202F3"/>
    <w:rsid w:val="0092034A"/>
    <w:rsid w:val="009203B5"/>
    <w:rsid w:val="009206A4"/>
    <w:rsid w:val="009206FE"/>
    <w:rsid w:val="0092079D"/>
    <w:rsid w:val="00920938"/>
    <w:rsid w:val="00920A0A"/>
    <w:rsid w:val="00920A82"/>
    <w:rsid w:val="00920BA2"/>
    <w:rsid w:val="00920BF2"/>
    <w:rsid w:val="00920C21"/>
    <w:rsid w:val="00920F78"/>
    <w:rsid w:val="009212CC"/>
    <w:rsid w:val="0092146D"/>
    <w:rsid w:val="00921671"/>
    <w:rsid w:val="00921887"/>
    <w:rsid w:val="00921899"/>
    <w:rsid w:val="00921B74"/>
    <w:rsid w:val="00922010"/>
    <w:rsid w:val="0092227D"/>
    <w:rsid w:val="00922568"/>
    <w:rsid w:val="00922637"/>
    <w:rsid w:val="00922715"/>
    <w:rsid w:val="009227B2"/>
    <w:rsid w:val="009228D8"/>
    <w:rsid w:val="00922E6A"/>
    <w:rsid w:val="00922EA9"/>
    <w:rsid w:val="00922EDC"/>
    <w:rsid w:val="00923032"/>
    <w:rsid w:val="0092325C"/>
    <w:rsid w:val="0092339D"/>
    <w:rsid w:val="0092342B"/>
    <w:rsid w:val="00923446"/>
    <w:rsid w:val="009234C1"/>
    <w:rsid w:val="009238DA"/>
    <w:rsid w:val="009238DF"/>
    <w:rsid w:val="009239DF"/>
    <w:rsid w:val="00923A6C"/>
    <w:rsid w:val="00923B0A"/>
    <w:rsid w:val="00923DA3"/>
    <w:rsid w:val="00924038"/>
    <w:rsid w:val="0092404C"/>
    <w:rsid w:val="009241BB"/>
    <w:rsid w:val="0092443C"/>
    <w:rsid w:val="00924672"/>
    <w:rsid w:val="0092468B"/>
    <w:rsid w:val="009246C8"/>
    <w:rsid w:val="009248D2"/>
    <w:rsid w:val="00924A7F"/>
    <w:rsid w:val="00924C6C"/>
    <w:rsid w:val="00924CC1"/>
    <w:rsid w:val="00924D60"/>
    <w:rsid w:val="00924D7B"/>
    <w:rsid w:val="00924E31"/>
    <w:rsid w:val="00924E4F"/>
    <w:rsid w:val="00924F11"/>
    <w:rsid w:val="00925288"/>
    <w:rsid w:val="0092555F"/>
    <w:rsid w:val="009256FF"/>
    <w:rsid w:val="00925B73"/>
    <w:rsid w:val="00925F57"/>
    <w:rsid w:val="00925F7C"/>
    <w:rsid w:val="009262AF"/>
    <w:rsid w:val="009263C2"/>
    <w:rsid w:val="0092688E"/>
    <w:rsid w:val="00926B49"/>
    <w:rsid w:val="00926DA8"/>
    <w:rsid w:val="00927263"/>
    <w:rsid w:val="00927286"/>
    <w:rsid w:val="00927325"/>
    <w:rsid w:val="00927431"/>
    <w:rsid w:val="00927445"/>
    <w:rsid w:val="00927480"/>
    <w:rsid w:val="00927499"/>
    <w:rsid w:val="009275CC"/>
    <w:rsid w:val="00927716"/>
    <w:rsid w:val="0092796F"/>
    <w:rsid w:val="00927AC0"/>
    <w:rsid w:val="00927DE0"/>
    <w:rsid w:val="00927F1E"/>
    <w:rsid w:val="00930357"/>
    <w:rsid w:val="0093044A"/>
    <w:rsid w:val="00930490"/>
    <w:rsid w:val="009304AB"/>
    <w:rsid w:val="0093050D"/>
    <w:rsid w:val="0093056B"/>
    <w:rsid w:val="00930623"/>
    <w:rsid w:val="00930671"/>
    <w:rsid w:val="009306AD"/>
    <w:rsid w:val="009308AD"/>
    <w:rsid w:val="00930CBE"/>
    <w:rsid w:val="00930DF3"/>
    <w:rsid w:val="00930EAE"/>
    <w:rsid w:val="00930EF4"/>
    <w:rsid w:val="00930F1A"/>
    <w:rsid w:val="00931277"/>
    <w:rsid w:val="0093143E"/>
    <w:rsid w:val="0093178C"/>
    <w:rsid w:val="00931B9C"/>
    <w:rsid w:val="00931BD9"/>
    <w:rsid w:val="00931E98"/>
    <w:rsid w:val="00931F7C"/>
    <w:rsid w:val="00931FC1"/>
    <w:rsid w:val="009326BB"/>
    <w:rsid w:val="0093280A"/>
    <w:rsid w:val="00932898"/>
    <w:rsid w:val="00932CB7"/>
    <w:rsid w:val="00932CD5"/>
    <w:rsid w:val="00932D83"/>
    <w:rsid w:val="00932DB6"/>
    <w:rsid w:val="00932E2B"/>
    <w:rsid w:val="0093303A"/>
    <w:rsid w:val="00933077"/>
    <w:rsid w:val="00933310"/>
    <w:rsid w:val="00933812"/>
    <w:rsid w:val="0093383F"/>
    <w:rsid w:val="00933CA5"/>
    <w:rsid w:val="00933CF6"/>
    <w:rsid w:val="00933DF1"/>
    <w:rsid w:val="00934360"/>
    <w:rsid w:val="00934397"/>
    <w:rsid w:val="009345B1"/>
    <w:rsid w:val="00934762"/>
    <w:rsid w:val="0093485E"/>
    <w:rsid w:val="0093495E"/>
    <w:rsid w:val="009349F2"/>
    <w:rsid w:val="00934B10"/>
    <w:rsid w:val="00934BED"/>
    <w:rsid w:val="00934F18"/>
    <w:rsid w:val="00935229"/>
    <w:rsid w:val="00935468"/>
    <w:rsid w:val="0093554C"/>
    <w:rsid w:val="009355C9"/>
    <w:rsid w:val="0093567B"/>
    <w:rsid w:val="00935733"/>
    <w:rsid w:val="00935C65"/>
    <w:rsid w:val="00935D46"/>
    <w:rsid w:val="00935E42"/>
    <w:rsid w:val="00936000"/>
    <w:rsid w:val="0093613E"/>
    <w:rsid w:val="00936469"/>
    <w:rsid w:val="009364C4"/>
    <w:rsid w:val="009367DD"/>
    <w:rsid w:val="00936840"/>
    <w:rsid w:val="009368F3"/>
    <w:rsid w:val="00936955"/>
    <w:rsid w:val="00936A15"/>
    <w:rsid w:val="00937222"/>
    <w:rsid w:val="0093732B"/>
    <w:rsid w:val="0093732D"/>
    <w:rsid w:val="00937366"/>
    <w:rsid w:val="009374BD"/>
    <w:rsid w:val="009374C6"/>
    <w:rsid w:val="00937557"/>
    <w:rsid w:val="00937600"/>
    <w:rsid w:val="009376C8"/>
    <w:rsid w:val="009376E2"/>
    <w:rsid w:val="00937777"/>
    <w:rsid w:val="00937A81"/>
    <w:rsid w:val="00937BE6"/>
    <w:rsid w:val="00937D0C"/>
    <w:rsid w:val="00940019"/>
    <w:rsid w:val="00940250"/>
    <w:rsid w:val="009403AE"/>
    <w:rsid w:val="00940426"/>
    <w:rsid w:val="0094045F"/>
    <w:rsid w:val="00940564"/>
    <w:rsid w:val="009407FA"/>
    <w:rsid w:val="00940A4F"/>
    <w:rsid w:val="00940C04"/>
    <w:rsid w:val="00941093"/>
    <w:rsid w:val="0094131B"/>
    <w:rsid w:val="00941636"/>
    <w:rsid w:val="0094176B"/>
    <w:rsid w:val="0094177F"/>
    <w:rsid w:val="00941799"/>
    <w:rsid w:val="00941A52"/>
    <w:rsid w:val="00941B8F"/>
    <w:rsid w:val="00941D14"/>
    <w:rsid w:val="00941DFD"/>
    <w:rsid w:val="00941E12"/>
    <w:rsid w:val="009421E1"/>
    <w:rsid w:val="0094254D"/>
    <w:rsid w:val="009426BA"/>
    <w:rsid w:val="009429B3"/>
    <w:rsid w:val="00942AAB"/>
    <w:rsid w:val="00942F57"/>
    <w:rsid w:val="00942FBD"/>
    <w:rsid w:val="00943149"/>
    <w:rsid w:val="00943204"/>
    <w:rsid w:val="009433C3"/>
    <w:rsid w:val="00943420"/>
    <w:rsid w:val="00943642"/>
    <w:rsid w:val="0094366C"/>
    <w:rsid w:val="00943742"/>
    <w:rsid w:val="0094387C"/>
    <w:rsid w:val="00943ACA"/>
    <w:rsid w:val="00943ADB"/>
    <w:rsid w:val="00943EFC"/>
    <w:rsid w:val="009440B9"/>
    <w:rsid w:val="009441D2"/>
    <w:rsid w:val="009443B7"/>
    <w:rsid w:val="009444A3"/>
    <w:rsid w:val="009444FB"/>
    <w:rsid w:val="009445DE"/>
    <w:rsid w:val="009449DE"/>
    <w:rsid w:val="00944F12"/>
    <w:rsid w:val="00944F1D"/>
    <w:rsid w:val="00944F51"/>
    <w:rsid w:val="00944F6A"/>
    <w:rsid w:val="009450BD"/>
    <w:rsid w:val="00945149"/>
    <w:rsid w:val="009451F4"/>
    <w:rsid w:val="00945213"/>
    <w:rsid w:val="00945298"/>
    <w:rsid w:val="00945623"/>
    <w:rsid w:val="00945754"/>
    <w:rsid w:val="0094579F"/>
    <w:rsid w:val="009457B9"/>
    <w:rsid w:val="00945B2A"/>
    <w:rsid w:val="00945C05"/>
    <w:rsid w:val="00945D38"/>
    <w:rsid w:val="00945D56"/>
    <w:rsid w:val="00946004"/>
    <w:rsid w:val="00946472"/>
    <w:rsid w:val="00946477"/>
    <w:rsid w:val="00946712"/>
    <w:rsid w:val="0094684F"/>
    <w:rsid w:val="00946945"/>
    <w:rsid w:val="00946B25"/>
    <w:rsid w:val="00946DFA"/>
    <w:rsid w:val="009473EC"/>
    <w:rsid w:val="00947691"/>
    <w:rsid w:val="009476E7"/>
    <w:rsid w:val="00947713"/>
    <w:rsid w:val="0094777D"/>
    <w:rsid w:val="0094777F"/>
    <w:rsid w:val="0094792B"/>
    <w:rsid w:val="00947AD3"/>
    <w:rsid w:val="00947B03"/>
    <w:rsid w:val="00947C4A"/>
    <w:rsid w:val="00947D77"/>
    <w:rsid w:val="00947D97"/>
    <w:rsid w:val="00947EBE"/>
    <w:rsid w:val="00950029"/>
    <w:rsid w:val="009500D0"/>
    <w:rsid w:val="0095069F"/>
    <w:rsid w:val="009506CF"/>
    <w:rsid w:val="00950864"/>
    <w:rsid w:val="009508FC"/>
    <w:rsid w:val="00950990"/>
    <w:rsid w:val="009509B9"/>
    <w:rsid w:val="00950A13"/>
    <w:rsid w:val="00950C38"/>
    <w:rsid w:val="00950CDC"/>
    <w:rsid w:val="00950DE7"/>
    <w:rsid w:val="00950F0C"/>
    <w:rsid w:val="00950F4B"/>
    <w:rsid w:val="00950FC1"/>
    <w:rsid w:val="00951119"/>
    <w:rsid w:val="00951530"/>
    <w:rsid w:val="0095155F"/>
    <w:rsid w:val="009515FD"/>
    <w:rsid w:val="00951678"/>
    <w:rsid w:val="00951713"/>
    <w:rsid w:val="00951895"/>
    <w:rsid w:val="00951931"/>
    <w:rsid w:val="00952787"/>
    <w:rsid w:val="009529E9"/>
    <w:rsid w:val="00952EEB"/>
    <w:rsid w:val="00952F37"/>
    <w:rsid w:val="0095312A"/>
    <w:rsid w:val="009531EE"/>
    <w:rsid w:val="00953343"/>
    <w:rsid w:val="009533E2"/>
    <w:rsid w:val="0095348E"/>
    <w:rsid w:val="00953755"/>
    <w:rsid w:val="00953920"/>
    <w:rsid w:val="00953C1F"/>
    <w:rsid w:val="00953C91"/>
    <w:rsid w:val="00953D47"/>
    <w:rsid w:val="0095404D"/>
    <w:rsid w:val="00954327"/>
    <w:rsid w:val="0095446A"/>
    <w:rsid w:val="009545BC"/>
    <w:rsid w:val="00954608"/>
    <w:rsid w:val="009546AF"/>
    <w:rsid w:val="00954798"/>
    <w:rsid w:val="009547ED"/>
    <w:rsid w:val="0095480A"/>
    <w:rsid w:val="009548A1"/>
    <w:rsid w:val="0095493B"/>
    <w:rsid w:val="00954BC1"/>
    <w:rsid w:val="00954C5C"/>
    <w:rsid w:val="00954E9C"/>
    <w:rsid w:val="00955185"/>
    <w:rsid w:val="009554AB"/>
    <w:rsid w:val="00955583"/>
    <w:rsid w:val="0095566F"/>
    <w:rsid w:val="00955953"/>
    <w:rsid w:val="009559D2"/>
    <w:rsid w:val="00955B8B"/>
    <w:rsid w:val="00955DB8"/>
    <w:rsid w:val="00955E18"/>
    <w:rsid w:val="00955FC8"/>
    <w:rsid w:val="0095615F"/>
    <w:rsid w:val="00956409"/>
    <w:rsid w:val="0095670B"/>
    <w:rsid w:val="0095681E"/>
    <w:rsid w:val="00956D0A"/>
    <w:rsid w:val="00956FEF"/>
    <w:rsid w:val="0095724D"/>
    <w:rsid w:val="009572D4"/>
    <w:rsid w:val="00957439"/>
    <w:rsid w:val="00957531"/>
    <w:rsid w:val="009575BC"/>
    <w:rsid w:val="009578FC"/>
    <w:rsid w:val="0095798F"/>
    <w:rsid w:val="00957D27"/>
    <w:rsid w:val="00960088"/>
    <w:rsid w:val="0096025A"/>
    <w:rsid w:val="0096029D"/>
    <w:rsid w:val="00960330"/>
    <w:rsid w:val="0096033B"/>
    <w:rsid w:val="0096050E"/>
    <w:rsid w:val="0096059D"/>
    <w:rsid w:val="00960BF3"/>
    <w:rsid w:val="00960C55"/>
    <w:rsid w:val="00960C75"/>
    <w:rsid w:val="00960C7F"/>
    <w:rsid w:val="00960DAB"/>
    <w:rsid w:val="00960E26"/>
    <w:rsid w:val="00961065"/>
    <w:rsid w:val="009613BF"/>
    <w:rsid w:val="00961921"/>
    <w:rsid w:val="00961AF5"/>
    <w:rsid w:val="00961AF7"/>
    <w:rsid w:val="00961B6A"/>
    <w:rsid w:val="00961BE0"/>
    <w:rsid w:val="00961CD1"/>
    <w:rsid w:val="009621E4"/>
    <w:rsid w:val="00962813"/>
    <w:rsid w:val="00962C59"/>
    <w:rsid w:val="00962D26"/>
    <w:rsid w:val="00962DFB"/>
    <w:rsid w:val="00963B51"/>
    <w:rsid w:val="00963BCC"/>
    <w:rsid w:val="00963C76"/>
    <w:rsid w:val="00963C8B"/>
    <w:rsid w:val="00963DAF"/>
    <w:rsid w:val="009640C7"/>
    <w:rsid w:val="009640E7"/>
    <w:rsid w:val="0096426B"/>
    <w:rsid w:val="00964277"/>
    <w:rsid w:val="009642D3"/>
    <w:rsid w:val="0096430A"/>
    <w:rsid w:val="00964596"/>
    <w:rsid w:val="00964708"/>
    <w:rsid w:val="0096471D"/>
    <w:rsid w:val="0096476D"/>
    <w:rsid w:val="00964B64"/>
    <w:rsid w:val="00964BC8"/>
    <w:rsid w:val="00964F16"/>
    <w:rsid w:val="00965089"/>
    <w:rsid w:val="0096554B"/>
    <w:rsid w:val="009656E9"/>
    <w:rsid w:val="009657C9"/>
    <w:rsid w:val="009657F9"/>
    <w:rsid w:val="0096584A"/>
    <w:rsid w:val="00965968"/>
    <w:rsid w:val="00965B5E"/>
    <w:rsid w:val="00966140"/>
    <w:rsid w:val="0096615B"/>
    <w:rsid w:val="00966218"/>
    <w:rsid w:val="0096661A"/>
    <w:rsid w:val="00966721"/>
    <w:rsid w:val="00966BF8"/>
    <w:rsid w:val="00966D97"/>
    <w:rsid w:val="00966EB8"/>
    <w:rsid w:val="009673D3"/>
    <w:rsid w:val="0096752A"/>
    <w:rsid w:val="00967CA2"/>
    <w:rsid w:val="00967D3C"/>
    <w:rsid w:val="00970288"/>
    <w:rsid w:val="00970578"/>
    <w:rsid w:val="00970725"/>
    <w:rsid w:val="00970770"/>
    <w:rsid w:val="00970790"/>
    <w:rsid w:val="00970883"/>
    <w:rsid w:val="00970946"/>
    <w:rsid w:val="00970A17"/>
    <w:rsid w:val="00970C2D"/>
    <w:rsid w:val="00970C66"/>
    <w:rsid w:val="00970DEE"/>
    <w:rsid w:val="00970EDF"/>
    <w:rsid w:val="00970FFA"/>
    <w:rsid w:val="00971036"/>
    <w:rsid w:val="00971148"/>
    <w:rsid w:val="00971304"/>
    <w:rsid w:val="00971477"/>
    <w:rsid w:val="00971531"/>
    <w:rsid w:val="009715D0"/>
    <w:rsid w:val="009717C6"/>
    <w:rsid w:val="00971A88"/>
    <w:rsid w:val="00971D02"/>
    <w:rsid w:val="00971F08"/>
    <w:rsid w:val="00971FD6"/>
    <w:rsid w:val="00972023"/>
    <w:rsid w:val="00972349"/>
    <w:rsid w:val="009724C1"/>
    <w:rsid w:val="00972563"/>
    <w:rsid w:val="00972604"/>
    <w:rsid w:val="009726F4"/>
    <w:rsid w:val="0097270E"/>
    <w:rsid w:val="00972757"/>
    <w:rsid w:val="0097278E"/>
    <w:rsid w:val="009728DD"/>
    <w:rsid w:val="009729D5"/>
    <w:rsid w:val="00972AFE"/>
    <w:rsid w:val="00972B4B"/>
    <w:rsid w:val="009731A3"/>
    <w:rsid w:val="00973507"/>
    <w:rsid w:val="0097389B"/>
    <w:rsid w:val="00973AFD"/>
    <w:rsid w:val="00973D0F"/>
    <w:rsid w:val="00973DB4"/>
    <w:rsid w:val="0097410D"/>
    <w:rsid w:val="009741F0"/>
    <w:rsid w:val="00974281"/>
    <w:rsid w:val="009744D8"/>
    <w:rsid w:val="00974543"/>
    <w:rsid w:val="009746E9"/>
    <w:rsid w:val="00974994"/>
    <w:rsid w:val="00974C4A"/>
    <w:rsid w:val="00974C68"/>
    <w:rsid w:val="00974E7F"/>
    <w:rsid w:val="00974EF2"/>
    <w:rsid w:val="00974F28"/>
    <w:rsid w:val="00975482"/>
    <w:rsid w:val="009755F2"/>
    <w:rsid w:val="00975BC9"/>
    <w:rsid w:val="00975CC2"/>
    <w:rsid w:val="00975D69"/>
    <w:rsid w:val="00975DAE"/>
    <w:rsid w:val="00975EE4"/>
    <w:rsid w:val="00975F3A"/>
    <w:rsid w:val="0097603D"/>
    <w:rsid w:val="00976103"/>
    <w:rsid w:val="0097614B"/>
    <w:rsid w:val="009761C8"/>
    <w:rsid w:val="009762E5"/>
    <w:rsid w:val="0097639B"/>
    <w:rsid w:val="00976949"/>
    <w:rsid w:val="00976A39"/>
    <w:rsid w:val="00976A9E"/>
    <w:rsid w:val="00976B41"/>
    <w:rsid w:val="00976C35"/>
    <w:rsid w:val="00976D28"/>
    <w:rsid w:val="00976D7D"/>
    <w:rsid w:val="00976F78"/>
    <w:rsid w:val="00976FC5"/>
    <w:rsid w:val="0097702B"/>
    <w:rsid w:val="00977136"/>
    <w:rsid w:val="0097736A"/>
    <w:rsid w:val="00977468"/>
    <w:rsid w:val="0097759D"/>
    <w:rsid w:val="0097759F"/>
    <w:rsid w:val="00977607"/>
    <w:rsid w:val="009777AC"/>
    <w:rsid w:val="00977883"/>
    <w:rsid w:val="00977A65"/>
    <w:rsid w:val="00977B35"/>
    <w:rsid w:val="00977DB4"/>
    <w:rsid w:val="00980307"/>
    <w:rsid w:val="00980477"/>
    <w:rsid w:val="009805BE"/>
    <w:rsid w:val="009806D2"/>
    <w:rsid w:val="009806E2"/>
    <w:rsid w:val="0098073B"/>
    <w:rsid w:val="009807FF"/>
    <w:rsid w:val="00980A4E"/>
    <w:rsid w:val="00980BA9"/>
    <w:rsid w:val="00980F5E"/>
    <w:rsid w:val="00981218"/>
    <w:rsid w:val="00981252"/>
    <w:rsid w:val="00981489"/>
    <w:rsid w:val="009814E1"/>
    <w:rsid w:val="00981663"/>
    <w:rsid w:val="009817B1"/>
    <w:rsid w:val="009817C3"/>
    <w:rsid w:val="0098187E"/>
    <w:rsid w:val="00981C54"/>
    <w:rsid w:val="00981CD9"/>
    <w:rsid w:val="00981DC4"/>
    <w:rsid w:val="009821FA"/>
    <w:rsid w:val="00982363"/>
    <w:rsid w:val="009823BC"/>
    <w:rsid w:val="00982405"/>
    <w:rsid w:val="009826FA"/>
    <w:rsid w:val="0098299A"/>
    <w:rsid w:val="00982F72"/>
    <w:rsid w:val="0098328A"/>
    <w:rsid w:val="00983349"/>
    <w:rsid w:val="009833A4"/>
    <w:rsid w:val="0098357F"/>
    <w:rsid w:val="009836F3"/>
    <w:rsid w:val="00983736"/>
    <w:rsid w:val="00983857"/>
    <w:rsid w:val="00983A48"/>
    <w:rsid w:val="00983B6E"/>
    <w:rsid w:val="00983D15"/>
    <w:rsid w:val="00983DDA"/>
    <w:rsid w:val="0098431D"/>
    <w:rsid w:val="009843C1"/>
    <w:rsid w:val="009844DB"/>
    <w:rsid w:val="009845D2"/>
    <w:rsid w:val="009846A1"/>
    <w:rsid w:val="009846CB"/>
    <w:rsid w:val="00984809"/>
    <w:rsid w:val="009848F9"/>
    <w:rsid w:val="00984C3D"/>
    <w:rsid w:val="00984EFF"/>
    <w:rsid w:val="0098516E"/>
    <w:rsid w:val="00985253"/>
    <w:rsid w:val="009853B3"/>
    <w:rsid w:val="009854ED"/>
    <w:rsid w:val="009855AA"/>
    <w:rsid w:val="00985B75"/>
    <w:rsid w:val="00985DE7"/>
    <w:rsid w:val="00985EE3"/>
    <w:rsid w:val="00985F71"/>
    <w:rsid w:val="00986300"/>
    <w:rsid w:val="00986508"/>
    <w:rsid w:val="009866D9"/>
    <w:rsid w:val="009867BC"/>
    <w:rsid w:val="0098682F"/>
    <w:rsid w:val="00986963"/>
    <w:rsid w:val="00986C22"/>
    <w:rsid w:val="00986EAF"/>
    <w:rsid w:val="0098745F"/>
    <w:rsid w:val="00987493"/>
    <w:rsid w:val="00987771"/>
    <w:rsid w:val="009878C2"/>
    <w:rsid w:val="00987999"/>
    <w:rsid w:val="00987D24"/>
    <w:rsid w:val="00987D2D"/>
    <w:rsid w:val="00987F79"/>
    <w:rsid w:val="0099017B"/>
    <w:rsid w:val="009901C3"/>
    <w:rsid w:val="009904F2"/>
    <w:rsid w:val="00990630"/>
    <w:rsid w:val="00990885"/>
    <w:rsid w:val="00990908"/>
    <w:rsid w:val="0099093A"/>
    <w:rsid w:val="009909A8"/>
    <w:rsid w:val="009909F3"/>
    <w:rsid w:val="00990B27"/>
    <w:rsid w:val="00990B5A"/>
    <w:rsid w:val="00990BA8"/>
    <w:rsid w:val="00990F95"/>
    <w:rsid w:val="0099106C"/>
    <w:rsid w:val="00991365"/>
    <w:rsid w:val="00991761"/>
    <w:rsid w:val="00991EAF"/>
    <w:rsid w:val="00991ED2"/>
    <w:rsid w:val="0099216B"/>
    <w:rsid w:val="0099245F"/>
    <w:rsid w:val="009926E5"/>
    <w:rsid w:val="00992735"/>
    <w:rsid w:val="0099286C"/>
    <w:rsid w:val="009928C6"/>
    <w:rsid w:val="00992906"/>
    <w:rsid w:val="00992936"/>
    <w:rsid w:val="00992B69"/>
    <w:rsid w:val="00992B77"/>
    <w:rsid w:val="00992C8E"/>
    <w:rsid w:val="00992F01"/>
    <w:rsid w:val="009930DD"/>
    <w:rsid w:val="009930F0"/>
    <w:rsid w:val="00993174"/>
    <w:rsid w:val="009931E0"/>
    <w:rsid w:val="0099366F"/>
    <w:rsid w:val="0099375A"/>
    <w:rsid w:val="009937AE"/>
    <w:rsid w:val="009937B2"/>
    <w:rsid w:val="009937FF"/>
    <w:rsid w:val="00993A78"/>
    <w:rsid w:val="00993AC9"/>
    <w:rsid w:val="00993C26"/>
    <w:rsid w:val="00994015"/>
    <w:rsid w:val="00994431"/>
    <w:rsid w:val="0099476C"/>
    <w:rsid w:val="00994885"/>
    <w:rsid w:val="009949EA"/>
    <w:rsid w:val="00994AA5"/>
    <w:rsid w:val="00994C7E"/>
    <w:rsid w:val="00994CE4"/>
    <w:rsid w:val="00994CF1"/>
    <w:rsid w:val="00994DCA"/>
    <w:rsid w:val="00995027"/>
    <w:rsid w:val="00995072"/>
    <w:rsid w:val="0099576A"/>
    <w:rsid w:val="00995812"/>
    <w:rsid w:val="009958C7"/>
    <w:rsid w:val="009958DE"/>
    <w:rsid w:val="009958F7"/>
    <w:rsid w:val="00995958"/>
    <w:rsid w:val="00995DE3"/>
    <w:rsid w:val="009960D4"/>
    <w:rsid w:val="009960EC"/>
    <w:rsid w:val="00996211"/>
    <w:rsid w:val="009962C5"/>
    <w:rsid w:val="009963CD"/>
    <w:rsid w:val="00996537"/>
    <w:rsid w:val="00996A06"/>
    <w:rsid w:val="00996A74"/>
    <w:rsid w:val="00996B79"/>
    <w:rsid w:val="00996DC0"/>
    <w:rsid w:val="00996F5F"/>
    <w:rsid w:val="009970A3"/>
    <w:rsid w:val="009970DD"/>
    <w:rsid w:val="00997549"/>
    <w:rsid w:val="00997A8F"/>
    <w:rsid w:val="00997ABE"/>
    <w:rsid w:val="00997B36"/>
    <w:rsid w:val="00997D6C"/>
    <w:rsid w:val="00997F0E"/>
    <w:rsid w:val="009A0390"/>
    <w:rsid w:val="009A03E0"/>
    <w:rsid w:val="009A07A0"/>
    <w:rsid w:val="009A0802"/>
    <w:rsid w:val="009A0831"/>
    <w:rsid w:val="009A0B1F"/>
    <w:rsid w:val="009A0C9C"/>
    <w:rsid w:val="009A0DAA"/>
    <w:rsid w:val="009A0F71"/>
    <w:rsid w:val="009A0FBA"/>
    <w:rsid w:val="009A13EB"/>
    <w:rsid w:val="009A145E"/>
    <w:rsid w:val="009A153E"/>
    <w:rsid w:val="009A1591"/>
    <w:rsid w:val="009A1601"/>
    <w:rsid w:val="009A161F"/>
    <w:rsid w:val="009A1645"/>
    <w:rsid w:val="009A172F"/>
    <w:rsid w:val="009A1863"/>
    <w:rsid w:val="009A1C19"/>
    <w:rsid w:val="009A2033"/>
    <w:rsid w:val="009A2AC6"/>
    <w:rsid w:val="009A2AD5"/>
    <w:rsid w:val="009A2D5F"/>
    <w:rsid w:val="009A2EA8"/>
    <w:rsid w:val="009A2F9F"/>
    <w:rsid w:val="009A2FF4"/>
    <w:rsid w:val="009A2FF5"/>
    <w:rsid w:val="009A3131"/>
    <w:rsid w:val="009A3153"/>
    <w:rsid w:val="009A3265"/>
    <w:rsid w:val="009A32E5"/>
    <w:rsid w:val="009A3475"/>
    <w:rsid w:val="009A37DE"/>
    <w:rsid w:val="009A38F8"/>
    <w:rsid w:val="009A3B7E"/>
    <w:rsid w:val="009A3BB6"/>
    <w:rsid w:val="009A3D0E"/>
    <w:rsid w:val="009A3FC7"/>
    <w:rsid w:val="009A417A"/>
    <w:rsid w:val="009A41BF"/>
    <w:rsid w:val="009A42D8"/>
    <w:rsid w:val="009A4349"/>
    <w:rsid w:val="009A4363"/>
    <w:rsid w:val="009A45E0"/>
    <w:rsid w:val="009A462D"/>
    <w:rsid w:val="009A4750"/>
    <w:rsid w:val="009A4784"/>
    <w:rsid w:val="009A4D42"/>
    <w:rsid w:val="009A4EA7"/>
    <w:rsid w:val="009A4FAA"/>
    <w:rsid w:val="009A4FBF"/>
    <w:rsid w:val="009A51C0"/>
    <w:rsid w:val="009A5263"/>
    <w:rsid w:val="009A57D3"/>
    <w:rsid w:val="009A59D4"/>
    <w:rsid w:val="009A5BF3"/>
    <w:rsid w:val="009A5CA3"/>
    <w:rsid w:val="009A5CBA"/>
    <w:rsid w:val="009A5D3D"/>
    <w:rsid w:val="009A5D50"/>
    <w:rsid w:val="009A60F5"/>
    <w:rsid w:val="009A649F"/>
    <w:rsid w:val="009A69C5"/>
    <w:rsid w:val="009A69D2"/>
    <w:rsid w:val="009A6A25"/>
    <w:rsid w:val="009A6B94"/>
    <w:rsid w:val="009A6BAB"/>
    <w:rsid w:val="009A6BBA"/>
    <w:rsid w:val="009A6DAA"/>
    <w:rsid w:val="009A6EE4"/>
    <w:rsid w:val="009A7155"/>
    <w:rsid w:val="009A7417"/>
    <w:rsid w:val="009A7C44"/>
    <w:rsid w:val="009A7DD6"/>
    <w:rsid w:val="009A7EC7"/>
    <w:rsid w:val="009A7EE0"/>
    <w:rsid w:val="009A7F62"/>
    <w:rsid w:val="009B0251"/>
    <w:rsid w:val="009B0255"/>
    <w:rsid w:val="009B030E"/>
    <w:rsid w:val="009B04B3"/>
    <w:rsid w:val="009B09E5"/>
    <w:rsid w:val="009B0CC0"/>
    <w:rsid w:val="009B0D3C"/>
    <w:rsid w:val="009B0DB8"/>
    <w:rsid w:val="009B0F0F"/>
    <w:rsid w:val="009B0F54"/>
    <w:rsid w:val="009B110E"/>
    <w:rsid w:val="009B125B"/>
    <w:rsid w:val="009B1301"/>
    <w:rsid w:val="009B1460"/>
    <w:rsid w:val="009B147B"/>
    <w:rsid w:val="009B14A1"/>
    <w:rsid w:val="009B16C0"/>
    <w:rsid w:val="009B1F30"/>
    <w:rsid w:val="009B22FE"/>
    <w:rsid w:val="009B236F"/>
    <w:rsid w:val="009B2612"/>
    <w:rsid w:val="009B265B"/>
    <w:rsid w:val="009B26F0"/>
    <w:rsid w:val="009B2789"/>
    <w:rsid w:val="009B27B7"/>
    <w:rsid w:val="009B28D8"/>
    <w:rsid w:val="009B2B89"/>
    <w:rsid w:val="009B2F59"/>
    <w:rsid w:val="009B3539"/>
    <w:rsid w:val="009B371A"/>
    <w:rsid w:val="009B3A03"/>
    <w:rsid w:val="009B3AC2"/>
    <w:rsid w:val="009B3E19"/>
    <w:rsid w:val="009B3E2A"/>
    <w:rsid w:val="009B3E68"/>
    <w:rsid w:val="009B40AB"/>
    <w:rsid w:val="009B40CB"/>
    <w:rsid w:val="009B40E6"/>
    <w:rsid w:val="009B44F8"/>
    <w:rsid w:val="009B48CE"/>
    <w:rsid w:val="009B4B45"/>
    <w:rsid w:val="009B4DF4"/>
    <w:rsid w:val="009B50AC"/>
    <w:rsid w:val="009B50BD"/>
    <w:rsid w:val="009B50E3"/>
    <w:rsid w:val="009B50E8"/>
    <w:rsid w:val="009B5103"/>
    <w:rsid w:val="009B5197"/>
    <w:rsid w:val="009B5452"/>
    <w:rsid w:val="009B564E"/>
    <w:rsid w:val="009B56F7"/>
    <w:rsid w:val="009B5A88"/>
    <w:rsid w:val="009B5B8E"/>
    <w:rsid w:val="009B634A"/>
    <w:rsid w:val="009B63C9"/>
    <w:rsid w:val="009B6670"/>
    <w:rsid w:val="009B667C"/>
    <w:rsid w:val="009B6BAB"/>
    <w:rsid w:val="009B6CDD"/>
    <w:rsid w:val="009B6F15"/>
    <w:rsid w:val="009B6F68"/>
    <w:rsid w:val="009B7119"/>
    <w:rsid w:val="009B7473"/>
    <w:rsid w:val="009B773C"/>
    <w:rsid w:val="009B7766"/>
    <w:rsid w:val="009B7775"/>
    <w:rsid w:val="009B77AB"/>
    <w:rsid w:val="009B78FF"/>
    <w:rsid w:val="009B7E74"/>
    <w:rsid w:val="009B7E87"/>
    <w:rsid w:val="009B7EB8"/>
    <w:rsid w:val="009C0093"/>
    <w:rsid w:val="009C0131"/>
    <w:rsid w:val="009C0169"/>
    <w:rsid w:val="009C02A7"/>
    <w:rsid w:val="009C03D2"/>
    <w:rsid w:val="009C0688"/>
    <w:rsid w:val="009C07F3"/>
    <w:rsid w:val="009C085F"/>
    <w:rsid w:val="009C0B98"/>
    <w:rsid w:val="009C0BAB"/>
    <w:rsid w:val="009C0BCF"/>
    <w:rsid w:val="009C0C2C"/>
    <w:rsid w:val="009C0DE4"/>
    <w:rsid w:val="009C133F"/>
    <w:rsid w:val="009C1353"/>
    <w:rsid w:val="009C13C0"/>
    <w:rsid w:val="009C15F2"/>
    <w:rsid w:val="009C189F"/>
    <w:rsid w:val="009C1D82"/>
    <w:rsid w:val="009C1EE4"/>
    <w:rsid w:val="009C26DB"/>
    <w:rsid w:val="009C27EC"/>
    <w:rsid w:val="009C28D0"/>
    <w:rsid w:val="009C28D6"/>
    <w:rsid w:val="009C2C1A"/>
    <w:rsid w:val="009C2C75"/>
    <w:rsid w:val="009C2D44"/>
    <w:rsid w:val="009C302C"/>
    <w:rsid w:val="009C3065"/>
    <w:rsid w:val="009C30A2"/>
    <w:rsid w:val="009C333B"/>
    <w:rsid w:val="009C33E3"/>
    <w:rsid w:val="009C3421"/>
    <w:rsid w:val="009C36D2"/>
    <w:rsid w:val="009C39DB"/>
    <w:rsid w:val="009C3BDC"/>
    <w:rsid w:val="009C3DE6"/>
    <w:rsid w:val="009C3E0D"/>
    <w:rsid w:val="009C3E77"/>
    <w:rsid w:val="009C3EA7"/>
    <w:rsid w:val="009C3F5F"/>
    <w:rsid w:val="009C403E"/>
    <w:rsid w:val="009C41C2"/>
    <w:rsid w:val="009C43EA"/>
    <w:rsid w:val="009C4492"/>
    <w:rsid w:val="009C4520"/>
    <w:rsid w:val="009C468C"/>
    <w:rsid w:val="009C477A"/>
    <w:rsid w:val="009C4813"/>
    <w:rsid w:val="009C48FF"/>
    <w:rsid w:val="009C4B16"/>
    <w:rsid w:val="009C4B27"/>
    <w:rsid w:val="009C4B43"/>
    <w:rsid w:val="009C4F91"/>
    <w:rsid w:val="009C527B"/>
    <w:rsid w:val="009C5478"/>
    <w:rsid w:val="009C54F3"/>
    <w:rsid w:val="009C5768"/>
    <w:rsid w:val="009C5781"/>
    <w:rsid w:val="009C58DF"/>
    <w:rsid w:val="009C5A57"/>
    <w:rsid w:val="009C5CAC"/>
    <w:rsid w:val="009C5E3C"/>
    <w:rsid w:val="009C6247"/>
    <w:rsid w:val="009C62FB"/>
    <w:rsid w:val="009C65EA"/>
    <w:rsid w:val="009C6693"/>
    <w:rsid w:val="009C6F0A"/>
    <w:rsid w:val="009C6F84"/>
    <w:rsid w:val="009C746B"/>
    <w:rsid w:val="009C74D2"/>
    <w:rsid w:val="009C7604"/>
    <w:rsid w:val="009C7633"/>
    <w:rsid w:val="009C76E7"/>
    <w:rsid w:val="009C793A"/>
    <w:rsid w:val="009C7C32"/>
    <w:rsid w:val="009C7F57"/>
    <w:rsid w:val="009D007C"/>
    <w:rsid w:val="009D046D"/>
    <w:rsid w:val="009D0661"/>
    <w:rsid w:val="009D096D"/>
    <w:rsid w:val="009D0B72"/>
    <w:rsid w:val="009D0E9A"/>
    <w:rsid w:val="009D1023"/>
    <w:rsid w:val="009D10BF"/>
    <w:rsid w:val="009D112A"/>
    <w:rsid w:val="009D1214"/>
    <w:rsid w:val="009D176E"/>
    <w:rsid w:val="009D1771"/>
    <w:rsid w:val="009D1871"/>
    <w:rsid w:val="009D1AC0"/>
    <w:rsid w:val="009D1E31"/>
    <w:rsid w:val="009D1EB0"/>
    <w:rsid w:val="009D23C9"/>
    <w:rsid w:val="009D242B"/>
    <w:rsid w:val="009D2518"/>
    <w:rsid w:val="009D271E"/>
    <w:rsid w:val="009D2819"/>
    <w:rsid w:val="009D2C6F"/>
    <w:rsid w:val="009D2CB2"/>
    <w:rsid w:val="009D2D0F"/>
    <w:rsid w:val="009D2D23"/>
    <w:rsid w:val="009D2FAD"/>
    <w:rsid w:val="009D2FC0"/>
    <w:rsid w:val="009D3051"/>
    <w:rsid w:val="009D3117"/>
    <w:rsid w:val="009D31D3"/>
    <w:rsid w:val="009D37E4"/>
    <w:rsid w:val="009D39BE"/>
    <w:rsid w:val="009D3B0C"/>
    <w:rsid w:val="009D3F0D"/>
    <w:rsid w:val="009D406D"/>
    <w:rsid w:val="009D43F6"/>
    <w:rsid w:val="009D4420"/>
    <w:rsid w:val="009D453C"/>
    <w:rsid w:val="009D454F"/>
    <w:rsid w:val="009D483A"/>
    <w:rsid w:val="009D4968"/>
    <w:rsid w:val="009D4B81"/>
    <w:rsid w:val="009D4CA4"/>
    <w:rsid w:val="009D4EBD"/>
    <w:rsid w:val="009D4EC5"/>
    <w:rsid w:val="009D4ECA"/>
    <w:rsid w:val="009D4F24"/>
    <w:rsid w:val="009D4FE9"/>
    <w:rsid w:val="009D4FF0"/>
    <w:rsid w:val="009D50A9"/>
    <w:rsid w:val="009D50BC"/>
    <w:rsid w:val="009D50D2"/>
    <w:rsid w:val="009D5200"/>
    <w:rsid w:val="009D536E"/>
    <w:rsid w:val="009D574B"/>
    <w:rsid w:val="009D5BE3"/>
    <w:rsid w:val="009D5E2B"/>
    <w:rsid w:val="009D5FA1"/>
    <w:rsid w:val="009D6006"/>
    <w:rsid w:val="009D6024"/>
    <w:rsid w:val="009D61A4"/>
    <w:rsid w:val="009D6494"/>
    <w:rsid w:val="009D64AB"/>
    <w:rsid w:val="009D65BA"/>
    <w:rsid w:val="009D665B"/>
    <w:rsid w:val="009D682E"/>
    <w:rsid w:val="009D6897"/>
    <w:rsid w:val="009D6915"/>
    <w:rsid w:val="009D69B5"/>
    <w:rsid w:val="009D6BE6"/>
    <w:rsid w:val="009D6EB3"/>
    <w:rsid w:val="009D703C"/>
    <w:rsid w:val="009D70E0"/>
    <w:rsid w:val="009D718F"/>
    <w:rsid w:val="009D7200"/>
    <w:rsid w:val="009D759C"/>
    <w:rsid w:val="009D7987"/>
    <w:rsid w:val="009D79EF"/>
    <w:rsid w:val="009D7B23"/>
    <w:rsid w:val="009D7B62"/>
    <w:rsid w:val="009D7B89"/>
    <w:rsid w:val="009D7C12"/>
    <w:rsid w:val="009D7C86"/>
    <w:rsid w:val="009D7E56"/>
    <w:rsid w:val="009D7F86"/>
    <w:rsid w:val="009DEDF2"/>
    <w:rsid w:val="009E0035"/>
    <w:rsid w:val="009E0047"/>
    <w:rsid w:val="009E00BC"/>
    <w:rsid w:val="009E023C"/>
    <w:rsid w:val="009E03B2"/>
    <w:rsid w:val="009E044A"/>
    <w:rsid w:val="009E068F"/>
    <w:rsid w:val="009E08D8"/>
    <w:rsid w:val="009E0957"/>
    <w:rsid w:val="009E0B69"/>
    <w:rsid w:val="009E0D0F"/>
    <w:rsid w:val="009E0E55"/>
    <w:rsid w:val="009E0E9A"/>
    <w:rsid w:val="009E0F10"/>
    <w:rsid w:val="009E100D"/>
    <w:rsid w:val="009E11DD"/>
    <w:rsid w:val="009E1377"/>
    <w:rsid w:val="009E143A"/>
    <w:rsid w:val="009E14E0"/>
    <w:rsid w:val="009E1513"/>
    <w:rsid w:val="009E1523"/>
    <w:rsid w:val="009E1BB6"/>
    <w:rsid w:val="009E1DA7"/>
    <w:rsid w:val="009E1DE9"/>
    <w:rsid w:val="009E1EBD"/>
    <w:rsid w:val="009E23B3"/>
    <w:rsid w:val="009E2678"/>
    <w:rsid w:val="009E26AF"/>
    <w:rsid w:val="009E27A7"/>
    <w:rsid w:val="009E27D1"/>
    <w:rsid w:val="009E283D"/>
    <w:rsid w:val="009E2BD7"/>
    <w:rsid w:val="009E2C07"/>
    <w:rsid w:val="009E2C8D"/>
    <w:rsid w:val="009E2CB9"/>
    <w:rsid w:val="009E2D26"/>
    <w:rsid w:val="009E2D67"/>
    <w:rsid w:val="009E3364"/>
    <w:rsid w:val="009E34AB"/>
    <w:rsid w:val="009E35DB"/>
    <w:rsid w:val="009E3605"/>
    <w:rsid w:val="009E3759"/>
    <w:rsid w:val="009E376C"/>
    <w:rsid w:val="009E3B14"/>
    <w:rsid w:val="009E3B48"/>
    <w:rsid w:val="009E4131"/>
    <w:rsid w:val="009E45C8"/>
    <w:rsid w:val="009E45EC"/>
    <w:rsid w:val="009E4699"/>
    <w:rsid w:val="009E47A3"/>
    <w:rsid w:val="009E47D0"/>
    <w:rsid w:val="009E4961"/>
    <w:rsid w:val="009E4A9D"/>
    <w:rsid w:val="009E4AA3"/>
    <w:rsid w:val="009E4CA2"/>
    <w:rsid w:val="009E5022"/>
    <w:rsid w:val="009E503F"/>
    <w:rsid w:val="009E52EB"/>
    <w:rsid w:val="009E5355"/>
    <w:rsid w:val="009E5466"/>
    <w:rsid w:val="009E54DE"/>
    <w:rsid w:val="009E5598"/>
    <w:rsid w:val="009E5892"/>
    <w:rsid w:val="009E5A33"/>
    <w:rsid w:val="009E5A3D"/>
    <w:rsid w:val="009E5AB6"/>
    <w:rsid w:val="009E5D77"/>
    <w:rsid w:val="009E5FC2"/>
    <w:rsid w:val="009E60BB"/>
    <w:rsid w:val="009E62C5"/>
    <w:rsid w:val="009E6372"/>
    <w:rsid w:val="009E66BC"/>
    <w:rsid w:val="009E68B4"/>
    <w:rsid w:val="009E6C59"/>
    <w:rsid w:val="009E6E45"/>
    <w:rsid w:val="009E6F45"/>
    <w:rsid w:val="009E700A"/>
    <w:rsid w:val="009E7056"/>
    <w:rsid w:val="009E75E6"/>
    <w:rsid w:val="009E76C4"/>
    <w:rsid w:val="009E786B"/>
    <w:rsid w:val="009E79A2"/>
    <w:rsid w:val="009E7AE2"/>
    <w:rsid w:val="009E7B38"/>
    <w:rsid w:val="009E7E38"/>
    <w:rsid w:val="009F0079"/>
    <w:rsid w:val="009F01CA"/>
    <w:rsid w:val="009F08B3"/>
    <w:rsid w:val="009F08F3"/>
    <w:rsid w:val="009F09A0"/>
    <w:rsid w:val="009F0AB9"/>
    <w:rsid w:val="009F0AFE"/>
    <w:rsid w:val="009F0FD8"/>
    <w:rsid w:val="009F152E"/>
    <w:rsid w:val="009F179F"/>
    <w:rsid w:val="009F17E9"/>
    <w:rsid w:val="009F1F88"/>
    <w:rsid w:val="009F1FC6"/>
    <w:rsid w:val="009F210E"/>
    <w:rsid w:val="009F22E7"/>
    <w:rsid w:val="009F24D9"/>
    <w:rsid w:val="009F24E8"/>
    <w:rsid w:val="009F2523"/>
    <w:rsid w:val="009F2737"/>
    <w:rsid w:val="009F28A8"/>
    <w:rsid w:val="009F295C"/>
    <w:rsid w:val="009F2AA8"/>
    <w:rsid w:val="009F2BD7"/>
    <w:rsid w:val="009F2CDB"/>
    <w:rsid w:val="009F306E"/>
    <w:rsid w:val="009F3277"/>
    <w:rsid w:val="009F3359"/>
    <w:rsid w:val="009F33AA"/>
    <w:rsid w:val="009F3443"/>
    <w:rsid w:val="009F344F"/>
    <w:rsid w:val="009F35ED"/>
    <w:rsid w:val="009F360E"/>
    <w:rsid w:val="009F39E8"/>
    <w:rsid w:val="009F3B5F"/>
    <w:rsid w:val="009F3C4B"/>
    <w:rsid w:val="009F3E7A"/>
    <w:rsid w:val="009F4403"/>
    <w:rsid w:val="009F45D0"/>
    <w:rsid w:val="009F471C"/>
    <w:rsid w:val="009F47CE"/>
    <w:rsid w:val="009F49C0"/>
    <w:rsid w:val="009F49EF"/>
    <w:rsid w:val="009F4DF8"/>
    <w:rsid w:val="009F502B"/>
    <w:rsid w:val="009F58FF"/>
    <w:rsid w:val="009F60D6"/>
    <w:rsid w:val="009F61C6"/>
    <w:rsid w:val="009F6236"/>
    <w:rsid w:val="009F6683"/>
    <w:rsid w:val="009F6756"/>
    <w:rsid w:val="009F68F8"/>
    <w:rsid w:val="009F6C33"/>
    <w:rsid w:val="009F6C8A"/>
    <w:rsid w:val="009F71F0"/>
    <w:rsid w:val="009F7611"/>
    <w:rsid w:val="009F788C"/>
    <w:rsid w:val="009F78EA"/>
    <w:rsid w:val="009F7B38"/>
    <w:rsid w:val="009F7BF5"/>
    <w:rsid w:val="009F7C16"/>
    <w:rsid w:val="009F7DA2"/>
    <w:rsid w:val="00A00110"/>
    <w:rsid w:val="00A00302"/>
    <w:rsid w:val="00A005D0"/>
    <w:rsid w:val="00A00767"/>
    <w:rsid w:val="00A00879"/>
    <w:rsid w:val="00A009B2"/>
    <w:rsid w:val="00A00D08"/>
    <w:rsid w:val="00A00F48"/>
    <w:rsid w:val="00A0161E"/>
    <w:rsid w:val="00A01BDE"/>
    <w:rsid w:val="00A01DEB"/>
    <w:rsid w:val="00A01F01"/>
    <w:rsid w:val="00A02188"/>
    <w:rsid w:val="00A0218E"/>
    <w:rsid w:val="00A0219F"/>
    <w:rsid w:val="00A025F1"/>
    <w:rsid w:val="00A02612"/>
    <w:rsid w:val="00A026B7"/>
    <w:rsid w:val="00A0271A"/>
    <w:rsid w:val="00A02A86"/>
    <w:rsid w:val="00A02D12"/>
    <w:rsid w:val="00A031D8"/>
    <w:rsid w:val="00A03264"/>
    <w:rsid w:val="00A03396"/>
    <w:rsid w:val="00A03613"/>
    <w:rsid w:val="00A036E7"/>
    <w:rsid w:val="00A03779"/>
    <w:rsid w:val="00A038F3"/>
    <w:rsid w:val="00A03A8F"/>
    <w:rsid w:val="00A03ED0"/>
    <w:rsid w:val="00A0402B"/>
    <w:rsid w:val="00A04088"/>
    <w:rsid w:val="00A041B2"/>
    <w:rsid w:val="00A0430E"/>
    <w:rsid w:val="00A0445B"/>
    <w:rsid w:val="00A046F4"/>
    <w:rsid w:val="00A048A8"/>
    <w:rsid w:val="00A0490C"/>
    <w:rsid w:val="00A049E8"/>
    <w:rsid w:val="00A04ADC"/>
    <w:rsid w:val="00A04B9D"/>
    <w:rsid w:val="00A04C01"/>
    <w:rsid w:val="00A04C23"/>
    <w:rsid w:val="00A04F49"/>
    <w:rsid w:val="00A051BD"/>
    <w:rsid w:val="00A053C5"/>
    <w:rsid w:val="00A058D9"/>
    <w:rsid w:val="00A05BB1"/>
    <w:rsid w:val="00A05F61"/>
    <w:rsid w:val="00A06107"/>
    <w:rsid w:val="00A0616D"/>
    <w:rsid w:val="00A0642D"/>
    <w:rsid w:val="00A0650E"/>
    <w:rsid w:val="00A06A17"/>
    <w:rsid w:val="00A06A97"/>
    <w:rsid w:val="00A06B4B"/>
    <w:rsid w:val="00A06C22"/>
    <w:rsid w:val="00A06CF5"/>
    <w:rsid w:val="00A0721B"/>
    <w:rsid w:val="00A073C5"/>
    <w:rsid w:val="00A075B4"/>
    <w:rsid w:val="00A076A0"/>
    <w:rsid w:val="00A078C9"/>
    <w:rsid w:val="00A07970"/>
    <w:rsid w:val="00A07B3E"/>
    <w:rsid w:val="00A07EEC"/>
    <w:rsid w:val="00A07EF8"/>
    <w:rsid w:val="00A07F29"/>
    <w:rsid w:val="00A1003D"/>
    <w:rsid w:val="00A100AF"/>
    <w:rsid w:val="00A1017A"/>
    <w:rsid w:val="00A1052A"/>
    <w:rsid w:val="00A10A6F"/>
    <w:rsid w:val="00A10AAC"/>
    <w:rsid w:val="00A10ABD"/>
    <w:rsid w:val="00A10B56"/>
    <w:rsid w:val="00A10CAA"/>
    <w:rsid w:val="00A10D0E"/>
    <w:rsid w:val="00A10D39"/>
    <w:rsid w:val="00A10E3D"/>
    <w:rsid w:val="00A115CB"/>
    <w:rsid w:val="00A119C1"/>
    <w:rsid w:val="00A11AC8"/>
    <w:rsid w:val="00A11D07"/>
    <w:rsid w:val="00A11D3A"/>
    <w:rsid w:val="00A1224F"/>
    <w:rsid w:val="00A12802"/>
    <w:rsid w:val="00A128B5"/>
    <w:rsid w:val="00A12A07"/>
    <w:rsid w:val="00A12A7A"/>
    <w:rsid w:val="00A12AF5"/>
    <w:rsid w:val="00A12B3F"/>
    <w:rsid w:val="00A12F6E"/>
    <w:rsid w:val="00A12FE5"/>
    <w:rsid w:val="00A130EB"/>
    <w:rsid w:val="00A13189"/>
    <w:rsid w:val="00A131C6"/>
    <w:rsid w:val="00A134E9"/>
    <w:rsid w:val="00A134EB"/>
    <w:rsid w:val="00A1356F"/>
    <w:rsid w:val="00A13581"/>
    <w:rsid w:val="00A135EF"/>
    <w:rsid w:val="00A136D6"/>
    <w:rsid w:val="00A13ABF"/>
    <w:rsid w:val="00A13B0A"/>
    <w:rsid w:val="00A13C1F"/>
    <w:rsid w:val="00A13C24"/>
    <w:rsid w:val="00A13D47"/>
    <w:rsid w:val="00A13E54"/>
    <w:rsid w:val="00A140E6"/>
    <w:rsid w:val="00A14363"/>
    <w:rsid w:val="00A14543"/>
    <w:rsid w:val="00A14B66"/>
    <w:rsid w:val="00A14CD1"/>
    <w:rsid w:val="00A14CE2"/>
    <w:rsid w:val="00A14D94"/>
    <w:rsid w:val="00A14DB5"/>
    <w:rsid w:val="00A14E36"/>
    <w:rsid w:val="00A14F9E"/>
    <w:rsid w:val="00A151BE"/>
    <w:rsid w:val="00A1520E"/>
    <w:rsid w:val="00A1524D"/>
    <w:rsid w:val="00A152A9"/>
    <w:rsid w:val="00A155A3"/>
    <w:rsid w:val="00A1560C"/>
    <w:rsid w:val="00A157F6"/>
    <w:rsid w:val="00A15A68"/>
    <w:rsid w:val="00A15B64"/>
    <w:rsid w:val="00A15B93"/>
    <w:rsid w:val="00A15CB7"/>
    <w:rsid w:val="00A15EBD"/>
    <w:rsid w:val="00A15EDA"/>
    <w:rsid w:val="00A16073"/>
    <w:rsid w:val="00A16086"/>
    <w:rsid w:val="00A163D8"/>
    <w:rsid w:val="00A16453"/>
    <w:rsid w:val="00A166DD"/>
    <w:rsid w:val="00A168AD"/>
    <w:rsid w:val="00A169F5"/>
    <w:rsid w:val="00A16A61"/>
    <w:rsid w:val="00A16AC6"/>
    <w:rsid w:val="00A16DCE"/>
    <w:rsid w:val="00A17303"/>
    <w:rsid w:val="00A17BDC"/>
    <w:rsid w:val="00A17DBF"/>
    <w:rsid w:val="00A17E76"/>
    <w:rsid w:val="00A17F4E"/>
    <w:rsid w:val="00A17F63"/>
    <w:rsid w:val="00A2049C"/>
    <w:rsid w:val="00A20641"/>
    <w:rsid w:val="00A20851"/>
    <w:rsid w:val="00A2094E"/>
    <w:rsid w:val="00A209FA"/>
    <w:rsid w:val="00A20B7B"/>
    <w:rsid w:val="00A2108A"/>
    <w:rsid w:val="00A211FB"/>
    <w:rsid w:val="00A2137A"/>
    <w:rsid w:val="00A21448"/>
    <w:rsid w:val="00A2158F"/>
    <w:rsid w:val="00A2159B"/>
    <w:rsid w:val="00A2159F"/>
    <w:rsid w:val="00A215FA"/>
    <w:rsid w:val="00A2193B"/>
    <w:rsid w:val="00A219F9"/>
    <w:rsid w:val="00A21A4F"/>
    <w:rsid w:val="00A21E75"/>
    <w:rsid w:val="00A22140"/>
    <w:rsid w:val="00A22208"/>
    <w:rsid w:val="00A22335"/>
    <w:rsid w:val="00A22737"/>
    <w:rsid w:val="00A22901"/>
    <w:rsid w:val="00A22B20"/>
    <w:rsid w:val="00A23369"/>
    <w:rsid w:val="00A2351A"/>
    <w:rsid w:val="00A23569"/>
    <w:rsid w:val="00A2382C"/>
    <w:rsid w:val="00A23894"/>
    <w:rsid w:val="00A23BE7"/>
    <w:rsid w:val="00A23F4F"/>
    <w:rsid w:val="00A240EA"/>
    <w:rsid w:val="00A24206"/>
    <w:rsid w:val="00A244BE"/>
    <w:rsid w:val="00A24669"/>
    <w:rsid w:val="00A24ABB"/>
    <w:rsid w:val="00A24AF9"/>
    <w:rsid w:val="00A24BE3"/>
    <w:rsid w:val="00A24C97"/>
    <w:rsid w:val="00A24CA0"/>
    <w:rsid w:val="00A24DCD"/>
    <w:rsid w:val="00A24F78"/>
    <w:rsid w:val="00A250FF"/>
    <w:rsid w:val="00A25155"/>
    <w:rsid w:val="00A25188"/>
    <w:rsid w:val="00A2519D"/>
    <w:rsid w:val="00A25206"/>
    <w:rsid w:val="00A25381"/>
    <w:rsid w:val="00A253B4"/>
    <w:rsid w:val="00A255DD"/>
    <w:rsid w:val="00A25A0C"/>
    <w:rsid w:val="00A25B78"/>
    <w:rsid w:val="00A25C43"/>
    <w:rsid w:val="00A25D4C"/>
    <w:rsid w:val="00A2603D"/>
    <w:rsid w:val="00A264A9"/>
    <w:rsid w:val="00A26521"/>
    <w:rsid w:val="00A26552"/>
    <w:rsid w:val="00A26727"/>
    <w:rsid w:val="00A26763"/>
    <w:rsid w:val="00A26783"/>
    <w:rsid w:val="00A2690F"/>
    <w:rsid w:val="00A26928"/>
    <w:rsid w:val="00A2694E"/>
    <w:rsid w:val="00A26956"/>
    <w:rsid w:val="00A26A54"/>
    <w:rsid w:val="00A26B79"/>
    <w:rsid w:val="00A26C69"/>
    <w:rsid w:val="00A26D01"/>
    <w:rsid w:val="00A26DBC"/>
    <w:rsid w:val="00A26DCF"/>
    <w:rsid w:val="00A270E0"/>
    <w:rsid w:val="00A271B8"/>
    <w:rsid w:val="00A27785"/>
    <w:rsid w:val="00A27B15"/>
    <w:rsid w:val="00A27E35"/>
    <w:rsid w:val="00A27F31"/>
    <w:rsid w:val="00A27F7C"/>
    <w:rsid w:val="00A30017"/>
    <w:rsid w:val="00A300E0"/>
    <w:rsid w:val="00A30187"/>
    <w:rsid w:val="00A302AD"/>
    <w:rsid w:val="00A3073D"/>
    <w:rsid w:val="00A307FD"/>
    <w:rsid w:val="00A30886"/>
    <w:rsid w:val="00A30947"/>
    <w:rsid w:val="00A30ABD"/>
    <w:rsid w:val="00A30EF7"/>
    <w:rsid w:val="00A30F5A"/>
    <w:rsid w:val="00A31097"/>
    <w:rsid w:val="00A312AB"/>
    <w:rsid w:val="00A313BD"/>
    <w:rsid w:val="00A317E4"/>
    <w:rsid w:val="00A31C43"/>
    <w:rsid w:val="00A320FC"/>
    <w:rsid w:val="00A32156"/>
    <w:rsid w:val="00A3259D"/>
    <w:rsid w:val="00A32915"/>
    <w:rsid w:val="00A32AA1"/>
    <w:rsid w:val="00A33113"/>
    <w:rsid w:val="00A331C8"/>
    <w:rsid w:val="00A336D2"/>
    <w:rsid w:val="00A33772"/>
    <w:rsid w:val="00A33D39"/>
    <w:rsid w:val="00A33D77"/>
    <w:rsid w:val="00A33DC5"/>
    <w:rsid w:val="00A341CD"/>
    <w:rsid w:val="00A34216"/>
    <w:rsid w:val="00A3421D"/>
    <w:rsid w:val="00A3448A"/>
    <w:rsid w:val="00A34751"/>
    <w:rsid w:val="00A349D3"/>
    <w:rsid w:val="00A34A41"/>
    <w:rsid w:val="00A34A5D"/>
    <w:rsid w:val="00A34B46"/>
    <w:rsid w:val="00A34E9C"/>
    <w:rsid w:val="00A34EB9"/>
    <w:rsid w:val="00A34F3E"/>
    <w:rsid w:val="00A34F61"/>
    <w:rsid w:val="00A34F6A"/>
    <w:rsid w:val="00A34F99"/>
    <w:rsid w:val="00A351B5"/>
    <w:rsid w:val="00A3520B"/>
    <w:rsid w:val="00A35235"/>
    <w:rsid w:val="00A352EB"/>
    <w:rsid w:val="00A35462"/>
    <w:rsid w:val="00A355C5"/>
    <w:rsid w:val="00A359E4"/>
    <w:rsid w:val="00A35A9C"/>
    <w:rsid w:val="00A35B31"/>
    <w:rsid w:val="00A361C8"/>
    <w:rsid w:val="00A36297"/>
    <w:rsid w:val="00A362D9"/>
    <w:rsid w:val="00A36368"/>
    <w:rsid w:val="00A3638F"/>
    <w:rsid w:val="00A3685D"/>
    <w:rsid w:val="00A36A7B"/>
    <w:rsid w:val="00A36D49"/>
    <w:rsid w:val="00A36D7F"/>
    <w:rsid w:val="00A36DD6"/>
    <w:rsid w:val="00A36DE3"/>
    <w:rsid w:val="00A36E5A"/>
    <w:rsid w:val="00A36FC5"/>
    <w:rsid w:val="00A371E7"/>
    <w:rsid w:val="00A373AA"/>
    <w:rsid w:val="00A373D3"/>
    <w:rsid w:val="00A376FA"/>
    <w:rsid w:val="00A37C46"/>
    <w:rsid w:val="00A37DBB"/>
    <w:rsid w:val="00A37EE7"/>
    <w:rsid w:val="00A37FE2"/>
    <w:rsid w:val="00A400F8"/>
    <w:rsid w:val="00A4028A"/>
    <w:rsid w:val="00A4031D"/>
    <w:rsid w:val="00A40C90"/>
    <w:rsid w:val="00A40CB1"/>
    <w:rsid w:val="00A40CB3"/>
    <w:rsid w:val="00A40D37"/>
    <w:rsid w:val="00A40DEA"/>
    <w:rsid w:val="00A41270"/>
    <w:rsid w:val="00A413AC"/>
    <w:rsid w:val="00A4173D"/>
    <w:rsid w:val="00A4187F"/>
    <w:rsid w:val="00A4190B"/>
    <w:rsid w:val="00A419AC"/>
    <w:rsid w:val="00A419CF"/>
    <w:rsid w:val="00A41E09"/>
    <w:rsid w:val="00A41E2B"/>
    <w:rsid w:val="00A41FC6"/>
    <w:rsid w:val="00A4248E"/>
    <w:rsid w:val="00A425E2"/>
    <w:rsid w:val="00A425FB"/>
    <w:rsid w:val="00A42718"/>
    <w:rsid w:val="00A42A36"/>
    <w:rsid w:val="00A42B6C"/>
    <w:rsid w:val="00A42D4E"/>
    <w:rsid w:val="00A42E8D"/>
    <w:rsid w:val="00A42F7E"/>
    <w:rsid w:val="00A42FB2"/>
    <w:rsid w:val="00A434C1"/>
    <w:rsid w:val="00A435AF"/>
    <w:rsid w:val="00A43609"/>
    <w:rsid w:val="00A43611"/>
    <w:rsid w:val="00A43668"/>
    <w:rsid w:val="00A438AF"/>
    <w:rsid w:val="00A439B0"/>
    <w:rsid w:val="00A43A13"/>
    <w:rsid w:val="00A43C60"/>
    <w:rsid w:val="00A43CB3"/>
    <w:rsid w:val="00A44143"/>
    <w:rsid w:val="00A44154"/>
    <w:rsid w:val="00A44158"/>
    <w:rsid w:val="00A44424"/>
    <w:rsid w:val="00A4449F"/>
    <w:rsid w:val="00A4468D"/>
    <w:rsid w:val="00A4494E"/>
    <w:rsid w:val="00A44B78"/>
    <w:rsid w:val="00A44BAB"/>
    <w:rsid w:val="00A44EF8"/>
    <w:rsid w:val="00A45090"/>
    <w:rsid w:val="00A453A3"/>
    <w:rsid w:val="00A457F8"/>
    <w:rsid w:val="00A45898"/>
    <w:rsid w:val="00A45B74"/>
    <w:rsid w:val="00A45DF9"/>
    <w:rsid w:val="00A45E8A"/>
    <w:rsid w:val="00A46374"/>
    <w:rsid w:val="00A46658"/>
    <w:rsid w:val="00A466F9"/>
    <w:rsid w:val="00A4686D"/>
    <w:rsid w:val="00A468DE"/>
    <w:rsid w:val="00A46992"/>
    <w:rsid w:val="00A469DB"/>
    <w:rsid w:val="00A46A1A"/>
    <w:rsid w:val="00A46F37"/>
    <w:rsid w:val="00A471A9"/>
    <w:rsid w:val="00A471DB"/>
    <w:rsid w:val="00A47388"/>
    <w:rsid w:val="00A473E0"/>
    <w:rsid w:val="00A476E6"/>
    <w:rsid w:val="00A478D1"/>
    <w:rsid w:val="00A47917"/>
    <w:rsid w:val="00A47AE2"/>
    <w:rsid w:val="00A47CC2"/>
    <w:rsid w:val="00A47D4E"/>
    <w:rsid w:val="00A47DEF"/>
    <w:rsid w:val="00A50245"/>
    <w:rsid w:val="00A50265"/>
    <w:rsid w:val="00A50A6D"/>
    <w:rsid w:val="00A514DB"/>
    <w:rsid w:val="00A5163A"/>
    <w:rsid w:val="00A51A7A"/>
    <w:rsid w:val="00A51BFF"/>
    <w:rsid w:val="00A51D6C"/>
    <w:rsid w:val="00A51DDD"/>
    <w:rsid w:val="00A520BE"/>
    <w:rsid w:val="00A52181"/>
    <w:rsid w:val="00A521BC"/>
    <w:rsid w:val="00A5222F"/>
    <w:rsid w:val="00A5242F"/>
    <w:rsid w:val="00A52509"/>
    <w:rsid w:val="00A52669"/>
    <w:rsid w:val="00A52752"/>
    <w:rsid w:val="00A5293B"/>
    <w:rsid w:val="00A529DE"/>
    <w:rsid w:val="00A52AAE"/>
    <w:rsid w:val="00A52AF3"/>
    <w:rsid w:val="00A52C1A"/>
    <w:rsid w:val="00A52E1D"/>
    <w:rsid w:val="00A52FAD"/>
    <w:rsid w:val="00A5320E"/>
    <w:rsid w:val="00A5329F"/>
    <w:rsid w:val="00A532AA"/>
    <w:rsid w:val="00A532E1"/>
    <w:rsid w:val="00A5335D"/>
    <w:rsid w:val="00A533F7"/>
    <w:rsid w:val="00A5357E"/>
    <w:rsid w:val="00A539A5"/>
    <w:rsid w:val="00A53C5D"/>
    <w:rsid w:val="00A53DC2"/>
    <w:rsid w:val="00A53FB5"/>
    <w:rsid w:val="00A5420F"/>
    <w:rsid w:val="00A543C2"/>
    <w:rsid w:val="00A5470A"/>
    <w:rsid w:val="00A54753"/>
    <w:rsid w:val="00A5488E"/>
    <w:rsid w:val="00A549EF"/>
    <w:rsid w:val="00A54AD1"/>
    <w:rsid w:val="00A54C4B"/>
    <w:rsid w:val="00A54D74"/>
    <w:rsid w:val="00A54E28"/>
    <w:rsid w:val="00A5508F"/>
    <w:rsid w:val="00A551A1"/>
    <w:rsid w:val="00A551FB"/>
    <w:rsid w:val="00A555DF"/>
    <w:rsid w:val="00A55804"/>
    <w:rsid w:val="00A5582B"/>
    <w:rsid w:val="00A55929"/>
    <w:rsid w:val="00A559BA"/>
    <w:rsid w:val="00A559D8"/>
    <w:rsid w:val="00A55CA1"/>
    <w:rsid w:val="00A56015"/>
    <w:rsid w:val="00A5603B"/>
    <w:rsid w:val="00A560B1"/>
    <w:rsid w:val="00A56169"/>
    <w:rsid w:val="00A565FE"/>
    <w:rsid w:val="00A566AE"/>
    <w:rsid w:val="00A56810"/>
    <w:rsid w:val="00A568D0"/>
    <w:rsid w:val="00A569C6"/>
    <w:rsid w:val="00A56EEE"/>
    <w:rsid w:val="00A56F4C"/>
    <w:rsid w:val="00A5709D"/>
    <w:rsid w:val="00A57435"/>
    <w:rsid w:val="00A57801"/>
    <w:rsid w:val="00A57921"/>
    <w:rsid w:val="00A57968"/>
    <w:rsid w:val="00A600C8"/>
    <w:rsid w:val="00A60148"/>
    <w:rsid w:val="00A601C6"/>
    <w:rsid w:val="00A6097A"/>
    <w:rsid w:val="00A60AAD"/>
    <w:rsid w:val="00A60DB8"/>
    <w:rsid w:val="00A60E5B"/>
    <w:rsid w:val="00A60F1D"/>
    <w:rsid w:val="00A60F49"/>
    <w:rsid w:val="00A61245"/>
    <w:rsid w:val="00A612C8"/>
    <w:rsid w:val="00A61444"/>
    <w:rsid w:val="00A61499"/>
    <w:rsid w:val="00A6183D"/>
    <w:rsid w:val="00A6189E"/>
    <w:rsid w:val="00A618A9"/>
    <w:rsid w:val="00A619AD"/>
    <w:rsid w:val="00A61C6E"/>
    <w:rsid w:val="00A61CC7"/>
    <w:rsid w:val="00A61DDC"/>
    <w:rsid w:val="00A61DFF"/>
    <w:rsid w:val="00A61FFF"/>
    <w:rsid w:val="00A6213B"/>
    <w:rsid w:val="00A62656"/>
    <w:rsid w:val="00A62870"/>
    <w:rsid w:val="00A62A77"/>
    <w:rsid w:val="00A62DEF"/>
    <w:rsid w:val="00A631C3"/>
    <w:rsid w:val="00A63483"/>
    <w:rsid w:val="00A63A8D"/>
    <w:rsid w:val="00A63D3F"/>
    <w:rsid w:val="00A63D84"/>
    <w:rsid w:val="00A640DA"/>
    <w:rsid w:val="00A6412E"/>
    <w:rsid w:val="00A64208"/>
    <w:rsid w:val="00A64305"/>
    <w:rsid w:val="00A643B0"/>
    <w:rsid w:val="00A644F5"/>
    <w:rsid w:val="00A64789"/>
    <w:rsid w:val="00A64A5B"/>
    <w:rsid w:val="00A64F3F"/>
    <w:rsid w:val="00A65219"/>
    <w:rsid w:val="00A6539C"/>
    <w:rsid w:val="00A65508"/>
    <w:rsid w:val="00A657D7"/>
    <w:rsid w:val="00A6589A"/>
    <w:rsid w:val="00A65ABA"/>
    <w:rsid w:val="00A65C97"/>
    <w:rsid w:val="00A6603C"/>
    <w:rsid w:val="00A660AC"/>
    <w:rsid w:val="00A6620F"/>
    <w:rsid w:val="00A664FA"/>
    <w:rsid w:val="00A6684B"/>
    <w:rsid w:val="00A66A1C"/>
    <w:rsid w:val="00A66BC7"/>
    <w:rsid w:val="00A670D6"/>
    <w:rsid w:val="00A67121"/>
    <w:rsid w:val="00A6716C"/>
    <w:rsid w:val="00A671B9"/>
    <w:rsid w:val="00A67302"/>
    <w:rsid w:val="00A67637"/>
    <w:rsid w:val="00A67A44"/>
    <w:rsid w:val="00A67A81"/>
    <w:rsid w:val="00A67CD3"/>
    <w:rsid w:val="00A67E6C"/>
    <w:rsid w:val="00A700E9"/>
    <w:rsid w:val="00A70231"/>
    <w:rsid w:val="00A7046F"/>
    <w:rsid w:val="00A70708"/>
    <w:rsid w:val="00A7083E"/>
    <w:rsid w:val="00A709B7"/>
    <w:rsid w:val="00A70A8F"/>
    <w:rsid w:val="00A70C26"/>
    <w:rsid w:val="00A70C50"/>
    <w:rsid w:val="00A70D70"/>
    <w:rsid w:val="00A70E08"/>
    <w:rsid w:val="00A7105C"/>
    <w:rsid w:val="00A711B2"/>
    <w:rsid w:val="00A7155F"/>
    <w:rsid w:val="00A7163D"/>
    <w:rsid w:val="00A7172A"/>
    <w:rsid w:val="00A7199E"/>
    <w:rsid w:val="00A71AB6"/>
    <w:rsid w:val="00A71B99"/>
    <w:rsid w:val="00A71D1F"/>
    <w:rsid w:val="00A71FC8"/>
    <w:rsid w:val="00A720BC"/>
    <w:rsid w:val="00A721B0"/>
    <w:rsid w:val="00A724E4"/>
    <w:rsid w:val="00A72545"/>
    <w:rsid w:val="00A72800"/>
    <w:rsid w:val="00A72899"/>
    <w:rsid w:val="00A72A74"/>
    <w:rsid w:val="00A72CC8"/>
    <w:rsid w:val="00A72CD7"/>
    <w:rsid w:val="00A72E08"/>
    <w:rsid w:val="00A72EA1"/>
    <w:rsid w:val="00A72F0C"/>
    <w:rsid w:val="00A72F21"/>
    <w:rsid w:val="00A7311C"/>
    <w:rsid w:val="00A73142"/>
    <w:rsid w:val="00A731A8"/>
    <w:rsid w:val="00A7336F"/>
    <w:rsid w:val="00A7349C"/>
    <w:rsid w:val="00A73793"/>
    <w:rsid w:val="00A738DF"/>
    <w:rsid w:val="00A738F5"/>
    <w:rsid w:val="00A739D0"/>
    <w:rsid w:val="00A739F3"/>
    <w:rsid w:val="00A73A1E"/>
    <w:rsid w:val="00A73A21"/>
    <w:rsid w:val="00A73D44"/>
    <w:rsid w:val="00A73E19"/>
    <w:rsid w:val="00A73FF8"/>
    <w:rsid w:val="00A741D1"/>
    <w:rsid w:val="00A743DD"/>
    <w:rsid w:val="00A744D7"/>
    <w:rsid w:val="00A74788"/>
    <w:rsid w:val="00A748D4"/>
    <w:rsid w:val="00A74946"/>
    <w:rsid w:val="00A74BB9"/>
    <w:rsid w:val="00A74CA4"/>
    <w:rsid w:val="00A7541A"/>
    <w:rsid w:val="00A75842"/>
    <w:rsid w:val="00A75AE9"/>
    <w:rsid w:val="00A75C56"/>
    <w:rsid w:val="00A75C7F"/>
    <w:rsid w:val="00A75CF0"/>
    <w:rsid w:val="00A75D7F"/>
    <w:rsid w:val="00A75D87"/>
    <w:rsid w:val="00A75F80"/>
    <w:rsid w:val="00A761C7"/>
    <w:rsid w:val="00A761D4"/>
    <w:rsid w:val="00A76607"/>
    <w:rsid w:val="00A7667C"/>
    <w:rsid w:val="00A76703"/>
    <w:rsid w:val="00A7670B"/>
    <w:rsid w:val="00A7672F"/>
    <w:rsid w:val="00A76834"/>
    <w:rsid w:val="00A76ADB"/>
    <w:rsid w:val="00A76EA9"/>
    <w:rsid w:val="00A76F08"/>
    <w:rsid w:val="00A77096"/>
    <w:rsid w:val="00A77268"/>
    <w:rsid w:val="00A77A44"/>
    <w:rsid w:val="00A77EC4"/>
    <w:rsid w:val="00A80115"/>
    <w:rsid w:val="00A8021F"/>
    <w:rsid w:val="00A8022A"/>
    <w:rsid w:val="00A8029F"/>
    <w:rsid w:val="00A808AE"/>
    <w:rsid w:val="00A809D5"/>
    <w:rsid w:val="00A80A11"/>
    <w:rsid w:val="00A80EE4"/>
    <w:rsid w:val="00A80F2E"/>
    <w:rsid w:val="00A8126B"/>
    <w:rsid w:val="00A8139E"/>
    <w:rsid w:val="00A81566"/>
    <w:rsid w:val="00A8174D"/>
    <w:rsid w:val="00A8183B"/>
    <w:rsid w:val="00A8187E"/>
    <w:rsid w:val="00A819A0"/>
    <w:rsid w:val="00A81D60"/>
    <w:rsid w:val="00A81ED5"/>
    <w:rsid w:val="00A81FC7"/>
    <w:rsid w:val="00A820F1"/>
    <w:rsid w:val="00A822E2"/>
    <w:rsid w:val="00A82535"/>
    <w:rsid w:val="00A82602"/>
    <w:rsid w:val="00A826DC"/>
    <w:rsid w:val="00A82B3B"/>
    <w:rsid w:val="00A82C7E"/>
    <w:rsid w:val="00A82E22"/>
    <w:rsid w:val="00A8324E"/>
    <w:rsid w:val="00A838F0"/>
    <w:rsid w:val="00A83904"/>
    <w:rsid w:val="00A83925"/>
    <w:rsid w:val="00A8397F"/>
    <w:rsid w:val="00A83991"/>
    <w:rsid w:val="00A83B2A"/>
    <w:rsid w:val="00A83C75"/>
    <w:rsid w:val="00A83D49"/>
    <w:rsid w:val="00A83D8B"/>
    <w:rsid w:val="00A83E3F"/>
    <w:rsid w:val="00A8409C"/>
    <w:rsid w:val="00A844FA"/>
    <w:rsid w:val="00A84A03"/>
    <w:rsid w:val="00A84D10"/>
    <w:rsid w:val="00A84D1E"/>
    <w:rsid w:val="00A84D32"/>
    <w:rsid w:val="00A85E4F"/>
    <w:rsid w:val="00A85EBE"/>
    <w:rsid w:val="00A860C0"/>
    <w:rsid w:val="00A86337"/>
    <w:rsid w:val="00A86605"/>
    <w:rsid w:val="00A86869"/>
    <w:rsid w:val="00A86C2F"/>
    <w:rsid w:val="00A86E0C"/>
    <w:rsid w:val="00A86E18"/>
    <w:rsid w:val="00A87168"/>
    <w:rsid w:val="00A87281"/>
    <w:rsid w:val="00A8735F"/>
    <w:rsid w:val="00A8738B"/>
    <w:rsid w:val="00A873C5"/>
    <w:rsid w:val="00A8771B"/>
    <w:rsid w:val="00A877EC"/>
    <w:rsid w:val="00A878D4"/>
    <w:rsid w:val="00A87DF6"/>
    <w:rsid w:val="00A87E1E"/>
    <w:rsid w:val="00A87E81"/>
    <w:rsid w:val="00A87EA0"/>
    <w:rsid w:val="00A90197"/>
    <w:rsid w:val="00A902CB"/>
    <w:rsid w:val="00A904D1"/>
    <w:rsid w:val="00A908B9"/>
    <w:rsid w:val="00A90CF6"/>
    <w:rsid w:val="00A90F71"/>
    <w:rsid w:val="00A91067"/>
    <w:rsid w:val="00A910AD"/>
    <w:rsid w:val="00A913B2"/>
    <w:rsid w:val="00A9152E"/>
    <w:rsid w:val="00A915E9"/>
    <w:rsid w:val="00A9163A"/>
    <w:rsid w:val="00A91B31"/>
    <w:rsid w:val="00A91D66"/>
    <w:rsid w:val="00A91DEE"/>
    <w:rsid w:val="00A91E87"/>
    <w:rsid w:val="00A92565"/>
    <w:rsid w:val="00A9267D"/>
    <w:rsid w:val="00A926D4"/>
    <w:rsid w:val="00A92773"/>
    <w:rsid w:val="00A92879"/>
    <w:rsid w:val="00A9295D"/>
    <w:rsid w:val="00A92A2B"/>
    <w:rsid w:val="00A92D79"/>
    <w:rsid w:val="00A92E97"/>
    <w:rsid w:val="00A93031"/>
    <w:rsid w:val="00A9314F"/>
    <w:rsid w:val="00A93343"/>
    <w:rsid w:val="00A93483"/>
    <w:rsid w:val="00A93594"/>
    <w:rsid w:val="00A9382F"/>
    <w:rsid w:val="00A939D8"/>
    <w:rsid w:val="00A93A59"/>
    <w:rsid w:val="00A93AE5"/>
    <w:rsid w:val="00A93B8F"/>
    <w:rsid w:val="00A93C6C"/>
    <w:rsid w:val="00A93E3E"/>
    <w:rsid w:val="00A93EC0"/>
    <w:rsid w:val="00A940C4"/>
    <w:rsid w:val="00A940D2"/>
    <w:rsid w:val="00A94277"/>
    <w:rsid w:val="00A9442A"/>
    <w:rsid w:val="00A944BC"/>
    <w:rsid w:val="00A944EF"/>
    <w:rsid w:val="00A944FF"/>
    <w:rsid w:val="00A94793"/>
    <w:rsid w:val="00A9490A"/>
    <w:rsid w:val="00A94D46"/>
    <w:rsid w:val="00A95128"/>
    <w:rsid w:val="00A9539E"/>
    <w:rsid w:val="00A95455"/>
    <w:rsid w:val="00A954C0"/>
    <w:rsid w:val="00A9557D"/>
    <w:rsid w:val="00A95627"/>
    <w:rsid w:val="00A956C6"/>
    <w:rsid w:val="00A957C0"/>
    <w:rsid w:val="00A95864"/>
    <w:rsid w:val="00A959CE"/>
    <w:rsid w:val="00A95B7D"/>
    <w:rsid w:val="00A95CEA"/>
    <w:rsid w:val="00A9660F"/>
    <w:rsid w:val="00A96694"/>
    <w:rsid w:val="00A967C5"/>
    <w:rsid w:val="00A96908"/>
    <w:rsid w:val="00A96B82"/>
    <w:rsid w:val="00A96DFF"/>
    <w:rsid w:val="00A97088"/>
    <w:rsid w:val="00A97208"/>
    <w:rsid w:val="00A9720F"/>
    <w:rsid w:val="00A97394"/>
    <w:rsid w:val="00A976AA"/>
    <w:rsid w:val="00A97992"/>
    <w:rsid w:val="00A97A87"/>
    <w:rsid w:val="00A97FCD"/>
    <w:rsid w:val="00AA016F"/>
    <w:rsid w:val="00AA03AC"/>
    <w:rsid w:val="00AA03F1"/>
    <w:rsid w:val="00AA066B"/>
    <w:rsid w:val="00AA06AD"/>
    <w:rsid w:val="00AA08D2"/>
    <w:rsid w:val="00AA0D2D"/>
    <w:rsid w:val="00AA128E"/>
    <w:rsid w:val="00AA12F4"/>
    <w:rsid w:val="00AA1777"/>
    <w:rsid w:val="00AA1B0D"/>
    <w:rsid w:val="00AA1B90"/>
    <w:rsid w:val="00AA1C75"/>
    <w:rsid w:val="00AA1C83"/>
    <w:rsid w:val="00AA1D2C"/>
    <w:rsid w:val="00AA1DDC"/>
    <w:rsid w:val="00AA1ED6"/>
    <w:rsid w:val="00AA20F1"/>
    <w:rsid w:val="00AA2267"/>
    <w:rsid w:val="00AA23A0"/>
    <w:rsid w:val="00AA23AF"/>
    <w:rsid w:val="00AA23F6"/>
    <w:rsid w:val="00AA2894"/>
    <w:rsid w:val="00AA293B"/>
    <w:rsid w:val="00AA298F"/>
    <w:rsid w:val="00AA2A24"/>
    <w:rsid w:val="00AA2BB3"/>
    <w:rsid w:val="00AA30B3"/>
    <w:rsid w:val="00AA37E8"/>
    <w:rsid w:val="00AA3A50"/>
    <w:rsid w:val="00AA3C32"/>
    <w:rsid w:val="00AA3C82"/>
    <w:rsid w:val="00AA3CFA"/>
    <w:rsid w:val="00AA3D9A"/>
    <w:rsid w:val="00AA3E84"/>
    <w:rsid w:val="00AA3E89"/>
    <w:rsid w:val="00AA429D"/>
    <w:rsid w:val="00AA437E"/>
    <w:rsid w:val="00AA4497"/>
    <w:rsid w:val="00AA466C"/>
    <w:rsid w:val="00AA4954"/>
    <w:rsid w:val="00AA4A94"/>
    <w:rsid w:val="00AA4C1C"/>
    <w:rsid w:val="00AA4C65"/>
    <w:rsid w:val="00AA4ED9"/>
    <w:rsid w:val="00AA4F3E"/>
    <w:rsid w:val="00AA5076"/>
    <w:rsid w:val="00AA51D6"/>
    <w:rsid w:val="00AA52CD"/>
    <w:rsid w:val="00AA5578"/>
    <w:rsid w:val="00AA5707"/>
    <w:rsid w:val="00AA5E4E"/>
    <w:rsid w:val="00AA5ECB"/>
    <w:rsid w:val="00AA5F75"/>
    <w:rsid w:val="00AA627B"/>
    <w:rsid w:val="00AA644E"/>
    <w:rsid w:val="00AA647A"/>
    <w:rsid w:val="00AA67A4"/>
    <w:rsid w:val="00AA6859"/>
    <w:rsid w:val="00AA6CAC"/>
    <w:rsid w:val="00AA6F59"/>
    <w:rsid w:val="00AA7352"/>
    <w:rsid w:val="00AA75D5"/>
    <w:rsid w:val="00AA760F"/>
    <w:rsid w:val="00AA7749"/>
    <w:rsid w:val="00AA7768"/>
    <w:rsid w:val="00AA7806"/>
    <w:rsid w:val="00AA7849"/>
    <w:rsid w:val="00AA7ACE"/>
    <w:rsid w:val="00AA7CFB"/>
    <w:rsid w:val="00AA7E95"/>
    <w:rsid w:val="00AB00B3"/>
    <w:rsid w:val="00AB0379"/>
    <w:rsid w:val="00AB046A"/>
    <w:rsid w:val="00AB04CA"/>
    <w:rsid w:val="00AB06F4"/>
    <w:rsid w:val="00AB0867"/>
    <w:rsid w:val="00AB09EC"/>
    <w:rsid w:val="00AB0A86"/>
    <w:rsid w:val="00AB0BC8"/>
    <w:rsid w:val="00AB0DCF"/>
    <w:rsid w:val="00AB11CA"/>
    <w:rsid w:val="00AB124E"/>
    <w:rsid w:val="00AB1322"/>
    <w:rsid w:val="00AB14D9"/>
    <w:rsid w:val="00AB1A0C"/>
    <w:rsid w:val="00AB1B15"/>
    <w:rsid w:val="00AB1B2C"/>
    <w:rsid w:val="00AB1B32"/>
    <w:rsid w:val="00AB2156"/>
    <w:rsid w:val="00AB2221"/>
    <w:rsid w:val="00AB247B"/>
    <w:rsid w:val="00AB267D"/>
    <w:rsid w:val="00AB28B2"/>
    <w:rsid w:val="00AB2947"/>
    <w:rsid w:val="00AB2D0A"/>
    <w:rsid w:val="00AB2E2D"/>
    <w:rsid w:val="00AB2EB6"/>
    <w:rsid w:val="00AB318E"/>
    <w:rsid w:val="00AB32D2"/>
    <w:rsid w:val="00AB33C1"/>
    <w:rsid w:val="00AB3986"/>
    <w:rsid w:val="00AB39D4"/>
    <w:rsid w:val="00AB3AB7"/>
    <w:rsid w:val="00AB3B66"/>
    <w:rsid w:val="00AB3D3A"/>
    <w:rsid w:val="00AB3FDE"/>
    <w:rsid w:val="00AB406A"/>
    <w:rsid w:val="00AB41A1"/>
    <w:rsid w:val="00AB431D"/>
    <w:rsid w:val="00AB472E"/>
    <w:rsid w:val="00AB489D"/>
    <w:rsid w:val="00AB4AB8"/>
    <w:rsid w:val="00AB4B65"/>
    <w:rsid w:val="00AB50C0"/>
    <w:rsid w:val="00AB5294"/>
    <w:rsid w:val="00AB533F"/>
    <w:rsid w:val="00AB5340"/>
    <w:rsid w:val="00AB53D0"/>
    <w:rsid w:val="00AB55BA"/>
    <w:rsid w:val="00AB563D"/>
    <w:rsid w:val="00AB56AC"/>
    <w:rsid w:val="00AB594E"/>
    <w:rsid w:val="00AB5952"/>
    <w:rsid w:val="00AB5A3C"/>
    <w:rsid w:val="00AB5AA6"/>
    <w:rsid w:val="00AB5C37"/>
    <w:rsid w:val="00AB5EA2"/>
    <w:rsid w:val="00AB5FC0"/>
    <w:rsid w:val="00AB618B"/>
    <w:rsid w:val="00AB63AE"/>
    <w:rsid w:val="00AB655E"/>
    <w:rsid w:val="00AB69D9"/>
    <w:rsid w:val="00AB6D76"/>
    <w:rsid w:val="00AB6D8C"/>
    <w:rsid w:val="00AB6FA0"/>
    <w:rsid w:val="00AB701F"/>
    <w:rsid w:val="00AB70DE"/>
    <w:rsid w:val="00AB71D1"/>
    <w:rsid w:val="00AB7209"/>
    <w:rsid w:val="00AB7303"/>
    <w:rsid w:val="00AB7444"/>
    <w:rsid w:val="00AB78FF"/>
    <w:rsid w:val="00AB7DD4"/>
    <w:rsid w:val="00AB7E92"/>
    <w:rsid w:val="00AC007F"/>
    <w:rsid w:val="00AC0225"/>
    <w:rsid w:val="00AC03E0"/>
    <w:rsid w:val="00AC04E5"/>
    <w:rsid w:val="00AC05F8"/>
    <w:rsid w:val="00AC0616"/>
    <w:rsid w:val="00AC0772"/>
    <w:rsid w:val="00AC079D"/>
    <w:rsid w:val="00AC0E19"/>
    <w:rsid w:val="00AC0E37"/>
    <w:rsid w:val="00AC0EF4"/>
    <w:rsid w:val="00AC0F07"/>
    <w:rsid w:val="00AC1134"/>
    <w:rsid w:val="00AC11C3"/>
    <w:rsid w:val="00AC139A"/>
    <w:rsid w:val="00AC154B"/>
    <w:rsid w:val="00AC15BF"/>
    <w:rsid w:val="00AC1835"/>
    <w:rsid w:val="00AC19E5"/>
    <w:rsid w:val="00AC1A72"/>
    <w:rsid w:val="00AC1AEA"/>
    <w:rsid w:val="00AC1B2A"/>
    <w:rsid w:val="00AC1D7F"/>
    <w:rsid w:val="00AC1DA6"/>
    <w:rsid w:val="00AC25FC"/>
    <w:rsid w:val="00AC2742"/>
    <w:rsid w:val="00AC294C"/>
    <w:rsid w:val="00AC2B61"/>
    <w:rsid w:val="00AC2E40"/>
    <w:rsid w:val="00AC2ECD"/>
    <w:rsid w:val="00AC3037"/>
    <w:rsid w:val="00AC3067"/>
    <w:rsid w:val="00AC3119"/>
    <w:rsid w:val="00AC31AA"/>
    <w:rsid w:val="00AC35BE"/>
    <w:rsid w:val="00AC3696"/>
    <w:rsid w:val="00AC36EC"/>
    <w:rsid w:val="00AC3F2B"/>
    <w:rsid w:val="00AC3FB4"/>
    <w:rsid w:val="00AC3FD0"/>
    <w:rsid w:val="00AC4359"/>
    <w:rsid w:val="00AC445A"/>
    <w:rsid w:val="00AC47A7"/>
    <w:rsid w:val="00AC49FB"/>
    <w:rsid w:val="00AC4B5D"/>
    <w:rsid w:val="00AC5041"/>
    <w:rsid w:val="00AC515D"/>
    <w:rsid w:val="00AC51E4"/>
    <w:rsid w:val="00AC524F"/>
    <w:rsid w:val="00AC5306"/>
    <w:rsid w:val="00AC5470"/>
    <w:rsid w:val="00AC54B8"/>
    <w:rsid w:val="00AC5697"/>
    <w:rsid w:val="00AC5898"/>
    <w:rsid w:val="00AC5A10"/>
    <w:rsid w:val="00AC5B2C"/>
    <w:rsid w:val="00AC5ED2"/>
    <w:rsid w:val="00AC5FF9"/>
    <w:rsid w:val="00AC61C5"/>
    <w:rsid w:val="00AC6714"/>
    <w:rsid w:val="00AC69D4"/>
    <w:rsid w:val="00AC6BA2"/>
    <w:rsid w:val="00AC6DFE"/>
    <w:rsid w:val="00AC706A"/>
    <w:rsid w:val="00AC7162"/>
    <w:rsid w:val="00AC741F"/>
    <w:rsid w:val="00AC7589"/>
    <w:rsid w:val="00AC7632"/>
    <w:rsid w:val="00AC794A"/>
    <w:rsid w:val="00AC7AF6"/>
    <w:rsid w:val="00AC7B36"/>
    <w:rsid w:val="00AC7BD9"/>
    <w:rsid w:val="00AC7E9E"/>
    <w:rsid w:val="00AC7EB8"/>
    <w:rsid w:val="00AC7F97"/>
    <w:rsid w:val="00AC7FD1"/>
    <w:rsid w:val="00AC7FE3"/>
    <w:rsid w:val="00AD011B"/>
    <w:rsid w:val="00AD037B"/>
    <w:rsid w:val="00AD038C"/>
    <w:rsid w:val="00AD040C"/>
    <w:rsid w:val="00AD044A"/>
    <w:rsid w:val="00AD0673"/>
    <w:rsid w:val="00AD08D7"/>
    <w:rsid w:val="00AD0AA3"/>
    <w:rsid w:val="00AD0B68"/>
    <w:rsid w:val="00AD0B6E"/>
    <w:rsid w:val="00AD0C17"/>
    <w:rsid w:val="00AD1389"/>
    <w:rsid w:val="00AD1642"/>
    <w:rsid w:val="00AD171E"/>
    <w:rsid w:val="00AD17E8"/>
    <w:rsid w:val="00AD1830"/>
    <w:rsid w:val="00AD1F08"/>
    <w:rsid w:val="00AD233B"/>
    <w:rsid w:val="00AD2444"/>
    <w:rsid w:val="00AD25FE"/>
    <w:rsid w:val="00AD28FF"/>
    <w:rsid w:val="00AD2B7B"/>
    <w:rsid w:val="00AD2BC7"/>
    <w:rsid w:val="00AD2D93"/>
    <w:rsid w:val="00AD2ED0"/>
    <w:rsid w:val="00AD303D"/>
    <w:rsid w:val="00AD3239"/>
    <w:rsid w:val="00AD33E3"/>
    <w:rsid w:val="00AD397E"/>
    <w:rsid w:val="00AD3F94"/>
    <w:rsid w:val="00AD44E5"/>
    <w:rsid w:val="00AD4600"/>
    <w:rsid w:val="00AD4727"/>
    <w:rsid w:val="00AD47BC"/>
    <w:rsid w:val="00AD4A5A"/>
    <w:rsid w:val="00AD4ABC"/>
    <w:rsid w:val="00AD4CD4"/>
    <w:rsid w:val="00AD4E01"/>
    <w:rsid w:val="00AD4E6D"/>
    <w:rsid w:val="00AD4F13"/>
    <w:rsid w:val="00AD513E"/>
    <w:rsid w:val="00AD52C2"/>
    <w:rsid w:val="00AD561E"/>
    <w:rsid w:val="00AD5652"/>
    <w:rsid w:val="00AD56C0"/>
    <w:rsid w:val="00AD56E2"/>
    <w:rsid w:val="00AD57B7"/>
    <w:rsid w:val="00AD580A"/>
    <w:rsid w:val="00AD586A"/>
    <w:rsid w:val="00AD59C6"/>
    <w:rsid w:val="00AD59E4"/>
    <w:rsid w:val="00AD5B7A"/>
    <w:rsid w:val="00AD5D39"/>
    <w:rsid w:val="00AD5E40"/>
    <w:rsid w:val="00AD5FA6"/>
    <w:rsid w:val="00AD5FBA"/>
    <w:rsid w:val="00AD6258"/>
    <w:rsid w:val="00AD630B"/>
    <w:rsid w:val="00AD6378"/>
    <w:rsid w:val="00AD658C"/>
    <w:rsid w:val="00AD663D"/>
    <w:rsid w:val="00AD66FD"/>
    <w:rsid w:val="00AD67B3"/>
    <w:rsid w:val="00AD6D72"/>
    <w:rsid w:val="00AD6E0B"/>
    <w:rsid w:val="00AD6E1E"/>
    <w:rsid w:val="00AD6F0F"/>
    <w:rsid w:val="00AD71D9"/>
    <w:rsid w:val="00AD746A"/>
    <w:rsid w:val="00AD74B6"/>
    <w:rsid w:val="00AD7858"/>
    <w:rsid w:val="00AD78D8"/>
    <w:rsid w:val="00AD79C4"/>
    <w:rsid w:val="00AD7A78"/>
    <w:rsid w:val="00AD7B06"/>
    <w:rsid w:val="00AD7B78"/>
    <w:rsid w:val="00AD7E0A"/>
    <w:rsid w:val="00AD7F42"/>
    <w:rsid w:val="00AE0323"/>
    <w:rsid w:val="00AE0393"/>
    <w:rsid w:val="00AE09A3"/>
    <w:rsid w:val="00AE09D1"/>
    <w:rsid w:val="00AE0BA5"/>
    <w:rsid w:val="00AE0BDA"/>
    <w:rsid w:val="00AE0E72"/>
    <w:rsid w:val="00AE1158"/>
    <w:rsid w:val="00AE12B4"/>
    <w:rsid w:val="00AE12FB"/>
    <w:rsid w:val="00AE13B6"/>
    <w:rsid w:val="00AE13E8"/>
    <w:rsid w:val="00AE1501"/>
    <w:rsid w:val="00AE1A94"/>
    <w:rsid w:val="00AE1FB6"/>
    <w:rsid w:val="00AE20CB"/>
    <w:rsid w:val="00AE21EA"/>
    <w:rsid w:val="00AE22C4"/>
    <w:rsid w:val="00AE22E5"/>
    <w:rsid w:val="00AE2403"/>
    <w:rsid w:val="00AE25C5"/>
    <w:rsid w:val="00AE2605"/>
    <w:rsid w:val="00AE2761"/>
    <w:rsid w:val="00AE27AC"/>
    <w:rsid w:val="00AE29CF"/>
    <w:rsid w:val="00AE2A45"/>
    <w:rsid w:val="00AE2D02"/>
    <w:rsid w:val="00AE2DF6"/>
    <w:rsid w:val="00AE3135"/>
    <w:rsid w:val="00AE3299"/>
    <w:rsid w:val="00AE3434"/>
    <w:rsid w:val="00AE361F"/>
    <w:rsid w:val="00AE36FF"/>
    <w:rsid w:val="00AE3877"/>
    <w:rsid w:val="00AE38BC"/>
    <w:rsid w:val="00AE3A6C"/>
    <w:rsid w:val="00AE40E0"/>
    <w:rsid w:val="00AE432C"/>
    <w:rsid w:val="00AE45DD"/>
    <w:rsid w:val="00AE49A8"/>
    <w:rsid w:val="00AE49AF"/>
    <w:rsid w:val="00AE4DBA"/>
    <w:rsid w:val="00AE4EFE"/>
    <w:rsid w:val="00AE4F07"/>
    <w:rsid w:val="00AE5136"/>
    <w:rsid w:val="00AE5A5A"/>
    <w:rsid w:val="00AE5F6B"/>
    <w:rsid w:val="00AE5FF6"/>
    <w:rsid w:val="00AE6114"/>
    <w:rsid w:val="00AE617C"/>
    <w:rsid w:val="00AE6366"/>
    <w:rsid w:val="00AE63B0"/>
    <w:rsid w:val="00AE63E3"/>
    <w:rsid w:val="00AE653C"/>
    <w:rsid w:val="00AE660A"/>
    <w:rsid w:val="00AE662A"/>
    <w:rsid w:val="00AE6740"/>
    <w:rsid w:val="00AE691B"/>
    <w:rsid w:val="00AE6A1F"/>
    <w:rsid w:val="00AE6A2C"/>
    <w:rsid w:val="00AE6A8B"/>
    <w:rsid w:val="00AE6B4F"/>
    <w:rsid w:val="00AE6C47"/>
    <w:rsid w:val="00AE6CC0"/>
    <w:rsid w:val="00AE6D03"/>
    <w:rsid w:val="00AE6E31"/>
    <w:rsid w:val="00AE6E85"/>
    <w:rsid w:val="00AE7043"/>
    <w:rsid w:val="00AE73A2"/>
    <w:rsid w:val="00AE73A4"/>
    <w:rsid w:val="00AE73E0"/>
    <w:rsid w:val="00AE73E2"/>
    <w:rsid w:val="00AE743F"/>
    <w:rsid w:val="00AE748A"/>
    <w:rsid w:val="00AE7A16"/>
    <w:rsid w:val="00AE7A2F"/>
    <w:rsid w:val="00AE7ABF"/>
    <w:rsid w:val="00AE7B75"/>
    <w:rsid w:val="00AE7CD8"/>
    <w:rsid w:val="00AE7D89"/>
    <w:rsid w:val="00AE7E58"/>
    <w:rsid w:val="00AF007B"/>
    <w:rsid w:val="00AF0266"/>
    <w:rsid w:val="00AF02C8"/>
    <w:rsid w:val="00AF05BB"/>
    <w:rsid w:val="00AF0737"/>
    <w:rsid w:val="00AF081D"/>
    <w:rsid w:val="00AF0AD8"/>
    <w:rsid w:val="00AF0C4C"/>
    <w:rsid w:val="00AF0F9A"/>
    <w:rsid w:val="00AF108D"/>
    <w:rsid w:val="00AF1110"/>
    <w:rsid w:val="00AF1165"/>
    <w:rsid w:val="00AF136D"/>
    <w:rsid w:val="00AF17A0"/>
    <w:rsid w:val="00AF187F"/>
    <w:rsid w:val="00AF1937"/>
    <w:rsid w:val="00AF1A79"/>
    <w:rsid w:val="00AF1C5D"/>
    <w:rsid w:val="00AF1EF1"/>
    <w:rsid w:val="00AF1F6E"/>
    <w:rsid w:val="00AF222B"/>
    <w:rsid w:val="00AF2307"/>
    <w:rsid w:val="00AF2637"/>
    <w:rsid w:val="00AF2684"/>
    <w:rsid w:val="00AF272D"/>
    <w:rsid w:val="00AF2801"/>
    <w:rsid w:val="00AF293F"/>
    <w:rsid w:val="00AF2A2C"/>
    <w:rsid w:val="00AF2D73"/>
    <w:rsid w:val="00AF2DC1"/>
    <w:rsid w:val="00AF2F33"/>
    <w:rsid w:val="00AF3274"/>
    <w:rsid w:val="00AF3341"/>
    <w:rsid w:val="00AF375C"/>
    <w:rsid w:val="00AF386F"/>
    <w:rsid w:val="00AF3938"/>
    <w:rsid w:val="00AF3A72"/>
    <w:rsid w:val="00AF3AC5"/>
    <w:rsid w:val="00AF3B83"/>
    <w:rsid w:val="00AF3BB4"/>
    <w:rsid w:val="00AF3DB2"/>
    <w:rsid w:val="00AF3E90"/>
    <w:rsid w:val="00AF40A9"/>
    <w:rsid w:val="00AF40FA"/>
    <w:rsid w:val="00AF417A"/>
    <w:rsid w:val="00AF4265"/>
    <w:rsid w:val="00AF42D7"/>
    <w:rsid w:val="00AF46FD"/>
    <w:rsid w:val="00AF47CA"/>
    <w:rsid w:val="00AF486A"/>
    <w:rsid w:val="00AF4933"/>
    <w:rsid w:val="00AF499A"/>
    <w:rsid w:val="00AF4B3E"/>
    <w:rsid w:val="00AF4BB5"/>
    <w:rsid w:val="00AF4D2E"/>
    <w:rsid w:val="00AF4D71"/>
    <w:rsid w:val="00AF4D79"/>
    <w:rsid w:val="00AF4DAB"/>
    <w:rsid w:val="00AF54A2"/>
    <w:rsid w:val="00AF5975"/>
    <w:rsid w:val="00AF5D6E"/>
    <w:rsid w:val="00AF5FD3"/>
    <w:rsid w:val="00AF6083"/>
    <w:rsid w:val="00AF618E"/>
    <w:rsid w:val="00AF6896"/>
    <w:rsid w:val="00AF68A5"/>
    <w:rsid w:val="00AF69C1"/>
    <w:rsid w:val="00AF6A24"/>
    <w:rsid w:val="00AF6C5F"/>
    <w:rsid w:val="00AF6E4C"/>
    <w:rsid w:val="00AF6E5F"/>
    <w:rsid w:val="00AF6EF1"/>
    <w:rsid w:val="00AF70BF"/>
    <w:rsid w:val="00AF73A6"/>
    <w:rsid w:val="00AF73C7"/>
    <w:rsid w:val="00AF740D"/>
    <w:rsid w:val="00AF746A"/>
    <w:rsid w:val="00AF76A5"/>
    <w:rsid w:val="00AF7717"/>
    <w:rsid w:val="00AF773F"/>
    <w:rsid w:val="00AF784C"/>
    <w:rsid w:val="00AF7C51"/>
    <w:rsid w:val="00AF7D09"/>
    <w:rsid w:val="00AF7D53"/>
    <w:rsid w:val="00AF7D84"/>
    <w:rsid w:val="00AF7D92"/>
    <w:rsid w:val="00B00470"/>
    <w:rsid w:val="00B005D3"/>
    <w:rsid w:val="00B006FE"/>
    <w:rsid w:val="00B007CB"/>
    <w:rsid w:val="00B00827"/>
    <w:rsid w:val="00B009A2"/>
    <w:rsid w:val="00B00ECE"/>
    <w:rsid w:val="00B00FAF"/>
    <w:rsid w:val="00B0102F"/>
    <w:rsid w:val="00B01080"/>
    <w:rsid w:val="00B01173"/>
    <w:rsid w:val="00B012AE"/>
    <w:rsid w:val="00B01536"/>
    <w:rsid w:val="00B0170B"/>
    <w:rsid w:val="00B0183C"/>
    <w:rsid w:val="00B01843"/>
    <w:rsid w:val="00B01A75"/>
    <w:rsid w:val="00B01D10"/>
    <w:rsid w:val="00B01D3D"/>
    <w:rsid w:val="00B02446"/>
    <w:rsid w:val="00B024DF"/>
    <w:rsid w:val="00B02545"/>
    <w:rsid w:val="00B026B0"/>
    <w:rsid w:val="00B0281B"/>
    <w:rsid w:val="00B02AA9"/>
    <w:rsid w:val="00B02B4C"/>
    <w:rsid w:val="00B02FA3"/>
    <w:rsid w:val="00B02FDF"/>
    <w:rsid w:val="00B032BC"/>
    <w:rsid w:val="00B03513"/>
    <w:rsid w:val="00B03641"/>
    <w:rsid w:val="00B036D5"/>
    <w:rsid w:val="00B036E3"/>
    <w:rsid w:val="00B038AB"/>
    <w:rsid w:val="00B0390D"/>
    <w:rsid w:val="00B039EC"/>
    <w:rsid w:val="00B04154"/>
    <w:rsid w:val="00B04283"/>
    <w:rsid w:val="00B04412"/>
    <w:rsid w:val="00B0455B"/>
    <w:rsid w:val="00B04587"/>
    <w:rsid w:val="00B0464A"/>
    <w:rsid w:val="00B04A43"/>
    <w:rsid w:val="00B04BC3"/>
    <w:rsid w:val="00B04C08"/>
    <w:rsid w:val="00B04EEC"/>
    <w:rsid w:val="00B04FE7"/>
    <w:rsid w:val="00B05084"/>
    <w:rsid w:val="00B05148"/>
    <w:rsid w:val="00B05197"/>
    <w:rsid w:val="00B054ED"/>
    <w:rsid w:val="00B05629"/>
    <w:rsid w:val="00B0583E"/>
    <w:rsid w:val="00B05A0D"/>
    <w:rsid w:val="00B05A4A"/>
    <w:rsid w:val="00B05B0F"/>
    <w:rsid w:val="00B05CC2"/>
    <w:rsid w:val="00B05F4A"/>
    <w:rsid w:val="00B06171"/>
    <w:rsid w:val="00B064D0"/>
    <w:rsid w:val="00B065E1"/>
    <w:rsid w:val="00B069A5"/>
    <w:rsid w:val="00B07256"/>
    <w:rsid w:val="00B073C1"/>
    <w:rsid w:val="00B077AF"/>
    <w:rsid w:val="00B079A9"/>
    <w:rsid w:val="00B07B01"/>
    <w:rsid w:val="00B07C0D"/>
    <w:rsid w:val="00B07EC4"/>
    <w:rsid w:val="00B07F7B"/>
    <w:rsid w:val="00B10358"/>
    <w:rsid w:val="00B10378"/>
    <w:rsid w:val="00B106B7"/>
    <w:rsid w:val="00B1091B"/>
    <w:rsid w:val="00B10C2B"/>
    <w:rsid w:val="00B10E50"/>
    <w:rsid w:val="00B110BC"/>
    <w:rsid w:val="00B114E9"/>
    <w:rsid w:val="00B11514"/>
    <w:rsid w:val="00B116F5"/>
    <w:rsid w:val="00B11A59"/>
    <w:rsid w:val="00B11AFE"/>
    <w:rsid w:val="00B11B25"/>
    <w:rsid w:val="00B11F71"/>
    <w:rsid w:val="00B12153"/>
    <w:rsid w:val="00B122AC"/>
    <w:rsid w:val="00B12333"/>
    <w:rsid w:val="00B1239E"/>
    <w:rsid w:val="00B12662"/>
    <w:rsid w:val="00B126B9"/>
    <w:rsid w:val="00B127ED"/>
    <w:rsid w:val="00B128B9"/>
    <w:rsid w:val="00B12C48"/>
    <w:rsid w:val="00B12E13"/>
    <w:rsid w:val="00B130C6"/>
    <w:rsid w:val="00B13239"/>
    <w:rsid w:val="00B13330"/>
    <w:rsid w:val="00B1353C"/>
    <w:rsid w:val="00B136DB"/>
    <w:rsid w:val="00B1372A"/>
    <w:rsid w:val="00B137CB"/>
    <w:rsid w:val="00B139D7"/>
    <w:rsid w:val="00B13B19"/>
    <w:rsid w:val="00B13BF3"/>
    <w:rsid w:val="00B13BF5"/>
    <w:rsid w:val="00B13C34"/>
    <w:rsid w:val="00B143A2"/>
    <w:rsid w:val="00B144DB"/>
    <w:rsid w:val="00B14759"/>
    <w:rsid w:val="00B14960"/>
    <w:rsid w:val="00B149A3"/>
    <w:rsid w:val="00B14E17"/>
    <w:rsid w:val="00B1516F"/>
    <w:rsid w:val="00B1554E"/>
    <w:rsid w:val="00B156BE"/>
    <w:rsid w:val="00B157F9"/>
    <w:rsid w:val="00B158A5"/>
    <w:rsid w:val="00B15A1A"/>
    <w:rsid w:val="00B15A6F"/>
    <w:rsid w:val="00B15CC0"/>
    <w:rsid w:val="00B15D76"/>
    <w:rsid w:val="00B16130"/>
    <w:rsid w:val="00B161E8"/>
    <w:rsid w:val="00B16386"/>
    <w:rsid w:val="00B165D0"/>
    <w:rsid w:val="00B16818"/>
    <w:rsid w:val="00B16EB4"/>
    <w:rsid w:val="00B170CB"/>
    <w:rsid w:val="00B170CF"/>
    <w:rsid w:val="00B17100"/>
    <w:rsid w:val="00B17B88"/>
    <w:rsid w:val="00B17B8D"/>
    <w:rsid w:val="00B17C2C"/>
    <w:rsid w:val="00B200E1"/>
    <w:rsid w:val="00B20224"/>
    <w:rsid w:val="00B20256"/>
    <w:rsid w:val="00B20279"/>
    <w:rsid w:val="00B20341"/>
    <w:rsid w:val="00B2039D"/>
    <w:rsid w:val="00B204CF"/>
    <w:rsid w:val="00B2064D"/>
    <w:rsid w:val="00B20782"/>
    <w:rsid w:val="00B2092D"/>
    <w:rsid w:val="00B20B88"/>
    <w:rsid w:val="00B20C8A"/>
    <w:rsid w:val="00B20CE5"/>
    <w:rsid w:val="00B20D09"/>
    <w:rsid w:val="00B214A4"/>
    <w:rsid w:val="00B2151A"/>
    <w:rsid w:val="00B21578"/>
    <w:rsid w:val="00B21878"/>
    <w:rsid w:val="00B21A87"/>
    <w:rsid w:val="00B21C5A"/>
    <w:rsid w:val="00B223FE"/>
    <w:rsid w:val="00B2242C"/>
    <w:rsid w:val="00B226D6"/>
    <w:rsid w:val="00B22801"/>
    <w:rsid w:val="00B22924"/>
    <w:rsid w:val="00B229D6"/>
    <w:rsid w:val="00B22AE0"/>
    <w:rsid w:val="00B22BDE"/>
    <w:rsid w:val="00B22CF9"/>
    <w:rsid w:val="00B23068"/>
    <w:rsid w:val="00B232A2"/>
    <w:rsid w:val="00B232C3"/>
    <w:rsid w:val="00B2330A"/>
    <w:rsid w:val="00B2331D"/>
    <w:rsid w:val="00B23488"/>
    <w:rsid w:val="00B235B3"/>
    <w:rsid w:val="00B235D8"/>
    <w:rsid w:val="00B23834"/>
    <w:rsid w:val="00B23B28"/>
    <w:rsid w:val="00B23D99"/>
    <w:rsid w:val="00B23E81"/>
    <w:rsid w:val="00B2430C"/>
    <w:rsid w:val="00B24382"/>
    <w:rsid w:val="00B2465F"/>
    <w:rsid w:val="00B2472E"/>
    <w:rsid w:val="00B247BF"/>
    <w:rsid w:val="00B24AFA"/>
    <w:rsid w:val="00B24DBE"/>
    <w:rsid w:val="00B24F0A"/>
    <w:rsid w:val="00B250EE"/>
    <w:rsid w:val="00B258FF"/>
    <w:rsid w:val="00B259CA"/>
    <w:rsid w:val="00B259E3"/>
    <w:rsid w:val="00B260BE"/>
    <w:rsid w:val="00B26446"/>
    <w:rsid w:val="00B264E9"/>
    <w:rsid w:val="00B26D6A"/>
    <w:rsid w:val="00B26E4C"/>
    <w:rsid w:val="00B26E66"/>
    <w:rsid w:val="00B27259"/>
    <w:rsid w:val="00B274A4"/>
    <w:rsid w:val="00B2759F"/>
    <w:rsid w:val="00B27607"/>
    <w:rsid w:val="00B2763F"/>
    <w:rsid w:val="00B27739"/>
    <w:rsid w:val="00B27AAC"/>
    <w:rsid w:val="00B27F97"/>
    <w:rsid w:val="00B27FD7"/>
    <w:rsid w:val="00B30074"/>
    <w:rsid w:val="00B30079"/>
    <w:rsid w:val="00B30150"/>
    <w:rsid w:val="00B305C6"/>
    <w:rsid w:val="00B30618"/>
    <w:rsid w:val="00B3079B"/>
    <w:rsid w:val="00B30929"/>
    <w:rsid w:val="00B3095F"/>
    <w:rsid w:val="00B30A29"/>
    <w:rsid w:val="00B30B80"/>
    <w:rsid w:val="00B30EC4"/>
    <w:rsid w:val="00B30F20"/>
    <w:rsid w:val="00B30F60"/>
    <w:rsid w:val="00B312F8"/>
    <w:rsid w:val="00B31461"/>
    <w:rsid w:val="00B314CF"/>
    <w:rsid w:val="00B31673"/>
    <w:rsid w:val="00B31712"/>
    <w:rsid w:val="00B317E3"/>
    <w:rsid w:val="00B3186E"/>
    <w:rsid w:val="00B31C29"/>
    <w:rsid w:val="00B322BF"/>
    <w:rsid w:val="00B326C8"/>
    <w:rsid w:val="00B32793"/>
    <w:rsid w:val="00B329F7"/>
    <w:rsid w:val="00B329FB"/>
    <w:rsid w:val="00B329FE"/>
    <w:rsid w:val="00B32DC9"/>
    <w:rsid w:val="00B32E1C"/>
    <w:rsid w:val="00B32FBB"/>
    <w:rsid w:val="00B330D6"/>
    <w:rsid w:val="00B33297"/>
    <w:rsid w:val="00B337BA"/>
    <w:rsid w:val="00B339CA"/>
    <w:rsid w:val="00B33BBA"/>
    <w:rsid w:val="00B33BF3"/>
    <w:rsid w:val="00B33D37"/>
    <w:rsid w:val="00B33DB5"/>
    <w:rsid w:val="00B347FF"/>
    <w:rsid w:val="00B34828"/>
    <w:rsid w:val="00B34A46"/>
    <w:rsid w:val="00B34E0D"/>
    <w:rsid w:val="00B3512D"/>
    <w:rsid w:val="00B35296"/>
    <w:rsid w:val="00B355E5"/>
    <w:rsid w:val="00B35710"/>
    <w:rsid w:val="00B3578A"/>
    <w:rsid w:val="00B35E94"/>
    <w:rsid w:val="00B36072"/>
    <w:rsid w:val="00B36208"/>
    <w:rsid w:val="00B363C6"/>
    <w:rsid w:val="00B36783"/>
    <w:rsid w:val="00B368F7"/>
    <w:rsid w:val="00B36FD8"/>
    <w:rsid w:val="00B37001"/>
    <w:rsid w:val="00B37043"/>
    <w:rsid w:val="00B37074"/>
    <w:rsid w:val="00B37228"/>
    <w:rsid w:val="00B372AA"/>
    <w:rsid w:val="00B37353"/>
    <w:rsid w:val="00B37424"/>
    <w:rsid w:val="00B3742E"/>
    <w:rsid w:val="00B378BE"/>
    <w:rsid w:val="00B37B47"/>
    <w:rsid w:val="00B37B83"/>
    <w:rsid w:val="00B37D3E"/>
    <w:rsid w:val="00B37EC7"/>
    <w:rsid w:val="00B37F24"/>
    <w:rsid w:val="00B40360"/>
    <w:rsid w:val="00B403AB"/>
    <w:rsid w:val="00B40445"/>
    <w:rsid w:val="00B405C9"/>
    <w:rsid w:val="00B405FA"/>
    <w:rsid w:val="00B407FA"/>
    <w:rsid w:val="00B409C0"/>
    <w:rsid w:val="00B409E0"/>
    <w:rsid w:val="00B40ABC"/>
    <w:rsid w:val="00B40AEC"/>
    <w:rsid w:val="00B40B5B"/>
    <w:rsid w:val="00B40CF5"/>
    <w:rsid w:val="00B40D77"/>
    <w:rsid w:val="00B40FCD"/>
    <w:rsid w:val="00B41073"/>
    <w:rsid w:val="00B410B5"/>
    <w:rsid w:val="00B415AC"/>
    <w:rsid w:val="00B4161E"/>
    <w:rsid w:val="00B4183B"/>
    <w:rsid w:val="00B41888"/>
    <w:rsid w:val="00B419C4"/>
    <w:rsid w:val="00B41ABE"/>
    <w:rsid w:val="00B41B46"/>
    <w:rsid w:val="00B41F61"/>
    <w:rsid w:val="00B41FA8"/>
    <w:rsid w:val="00B42355"/>
    <w:rsid w:val="00B42576"/>
    <w:rsid w:val="00B425F4"/>
    <w:rsid w:val="00B42639"/>
    <w:rsid w:val="00B42D2E"/>
    <w:rsid w:val="00B42E54"/>
    <w:rsid w:val="00B42EA5"/>
    <w:rsid w:val="00B4309F"/>
    <w:rsid w:val="00B4330D"/>
    <w:rsid w:val="00B433CF"/>
    <w:rsid w:val="00B43498"/>
    <w:rsid w:val="00B436CC"/>
    <w:rsid w:val="00B43858"/>
    <w:rsid w:val="00B438E8"/>
    <w:rsid w:val="00B43A42"/>
    <w:rsid w:val="00B43DF7"/>
    <w:rsid w:val="00B43EF4"/>
    <w:rsid w:val="00B44209"/>
    <w:rsid w:val="00B4422F"/>
    <w:rsid w:val="00B444BF"/>
    <w:rsid w:val="00B44683"/>
    <w:rsid w:val="00B44800"/>
    <w:rsid w:val="00B448E4"/>
    <w:rsid w:val="00B44D8B"/>
    <w:rsid w:val="00B44D9A"/>
    <w:rsid w:val="00B451BD"/>
    <w:rsid w:val="00B452C1"/>
    <w:rsid w:val="00B4577D"/>
    <w:rsid w:val="00B459E0"/>
    <w:rsid w:val="00B45A52"/>
    <w:rsid w:val="00B45B9A"/>
    <w:rsid w:val="00B45D5E"/>
    <w:rsid w:val="00B45DFC"/>
    <w:rsid w:val="00B45EA6"/>
    <w:rsid w:val="00B45EB4"/>
    <w:rsid w:val="00B46175"/>
    <w:rsid w:val="00B461A6"/>
    <w:rsid w:val="00B4668F"/>
    <w:rsid w:val="00B466CE"/>
    <w:rsid w:val="00B4685A"/>
    <w:rsid w:val="00B47477"/>
    <w:rsid w:val="00B47513"/>
    <w:rsid w:val="00B47571"/>
    <w:rsid w:val="00B479C0"/>
    <w:rsid w:val="00B47BF3"/>
    <w:rsid w:val="00B47C7F"/>
    <w:rsid w:val="00B47DE2"/>
    <w:rsid w:val="00B47DE6"/>
    <w:rsid w:val="00B47F96"/>
    <w:rsid w:val="00B500CA"/>
    <w:rsid w:val="00B501AF"/>
    <w:rsid w:val="00B5028D"/>
    <w:rsid w:val="00B502C4"/>
    <w:rsid w:val="00B509A8"/>
    <w:rsid w:val="00B509C2"/>
    <w:rsid w:val="00B50D02"/>
    <w:rsid w:val="00B50EE7"/>
    <w:rsid w:val="00B50F85"/>
    <w:rsid w:val="00B50F96"/>
    <w:rsid w:val="00B5120B"/>
    <w:rsid w:val="00B514EC"/>
    <w:rsid w:val="00B51AA4"/>
    <w:rsid w:val="00B51C4D"/>
    <w:rsid w:val="00B51CC8"/>
    <w:rsid w:val="00B523F4"/>
    <w:rsid w:val="00B52739"/>
    <w:rsid w:val="00B52889"/>
    <w:rsid w:val="00B52AD9"/>
    <w:rsid w:val="00B52B57"/>
    <w:rsid w:val="00B52B7A"/>
    <w:rsid w:val="00B52C41"/>
    <w:rsid w:val="00B52D0E"/>
    <w:rsid w:val="00B52DFC"/>
    <w:rsid w:val="00B52F36"/>
    <w:rsid w:val="00B53168"/>
    <w:rsid w:val="00B53220"/>
    <w:rsid w:val="00B53222"/>
    <w:rsid w:val="00B53651"/>
    <w:rsid w:val="00B53706"/>
    <w:rsid w:val="00B537D6"/>
    <w:rsid w:val="00B537F8"/>
    <w:rsid w:val="00B538A1"/>
    <w:rsid w:val="00B5393B"/>
    <w:rsid w:val="00B53B18"/>
    <w:rsid w:val="00B53CFF"/>
    <w:rsid w:val="00B53D14"/>
    <w:rsid w:val="00B53D98"/>
    <w:rsid w:val="00B53F1F"/>
    <w:rsid w:val="00B54024"/>
    <w:rsid w:val="00B540CE"/>
    <w:rsid w:val="00B54260"/>
    <w:rsid w:val="00B543FA"/>
    <w:rsid w:val="00B54521"/>
    <w:rsid w:val="00B545F4"/>
    <w:rsid w:val="00B54653"/>
    <w:rsid w:val="00B54704"/>
    <w:rsid w:val="00B548B7"/>
    <w:rsid w:val="00B549E8"/>
    <w:rsid w:val="00B54AD1"/>
    <w:rsid w:val="00B54BDF"/>
    <w:rsid w:val="00B54C71"/>
    <w:rsid w:val="00B54CE8"/>
    <w:rsid w:val="00B54D93"/>
    <w:rsid w:val="00B54DC8"/>
    <w:rsid w:val="00B55200"/>
    <w:rsid w:val="00B552ED"/>
    <w:rsid w:val="00B55464"/>
    <w:rsid w:val="00B5549D"/>
    <w:rsid w:val="00B55515"/>
    <w:rsid w:val="00B5556C"/>
    <w:rsid w:val="00B55628"/>
    <w:rsid w:val="00B55819"/>
    <w:rsid w:val="00B55DB8"/>
    <w:rsid w:val="00B56769"/>
    <w:rsid w:val="00B567E0"/>
    <w:rsid w:val="00B5694E"/>
    <w:rsid w:val="00B56D88"/>
    <w:rsid w:val="00B56EAC"/>
    <w:rsid w:val="00B57031"/>
    <w:rsid w:val="00B57169"/>
    <w:rsid w:val="00B57405"/>
    <w:rsid w:val="00B5745C"/>
    <w:rsid w:val="00B575C8"/>
    <w:rsid w:val="00B578D5"/>
    <w:rsid w:val="00B579A5"/>
    <w:rsid w:val="00B57B0D"/>
    <w:rsid w:val="00B57BD2"/>
    <w:rsid w:val="00B57CE3"/>
    <w:rsid w:val="00B57D00"/>
    <w:rsid w:val="00B57D41"/>
    <w:rsid w:val="00B6037A"/>
    <w:rsid w:val="00B6045E"/>
    <w:rsid w:val="00B60A08"/>
    <w:rsid w:val="00B60A7D"/>
    <w:rsid w:val="00B60A83"/>
    <w:rsid w:val="00B60C1F"/>
    <w:rsid w:val="00B60D8D"/>
    <w:rsid w:val="00B61068"/>
    <w:rsid w:val="00B611BB"/>
    <w:rsid w:val="00B612FD"/>
    <w:rsid w:val="00B61419"/>
    <w:rsid w:val="00B6194D"/>
    <w:rsid w:val="00B61AB2"/>
    <w:rsid w:val="00B61BBB"/>
    <w:rsid w:val="00B61D1F"/>
    <w:rsid w:val="00B61FA2"/>
    <w:rsid w:val="00B622D6"/>
    <w:rsid w:val="00B6240B"/>
    <w:rsid w:val="00B62693"/>
    <w:rsid w:val="00B627B3"/>
    <w:rsid w:val="00B62A39"/>
    <w:rsid w:val="00B62B8A"/>
    <w:rsid w:val="00B62E2A"/>
    <w:rsid w:val="00B6334B"/>
    <w:rsid w:val="00B633D9"/>
    <w:rsid w:val="00B639D2"/>
    <w:rsid w:val="00B63A84"/>
    <w:rsid w:val="00B63FCE"/>
    <w:rsid w:val="00B640B6"/>
    <w:rsid w:val="00B64176"/>
    <w:rsid w:val="00B641A0"/>
    <w:rsid w:val="00B642BB"/>
    <w:rsid w:val="00B64496"/>
    <w:rsid w:val="00B646B2"/>
    <w:rsid w:val="00B64807"/>
    <w:rsid w:val="00B648A3"/>
    <w:rsid w:val="00B649C6"/>
    <w:rsid w:val="00B651B2"/>
    <w:rsid w:val="00B6548D"/>
    <w:rsid w:val="00B65564"/>
    <w:rsid w:val="00B65BE1"/>
    <w:rsid w:val="00B65C52"/>
    <w:rsid w:val="00B65C57"/>
    <w:rsid w:val="00B65DC6"/>
    <w:rsid w:val="00B661CA"/>
    <w:rsid w:val="00B66207"/>
    <w:rsid w:val="00B664C7"/>
    <w:rsid w:val="00B66760"/>
    <w:rsid w:val="00B668B3"/>
    <w:rsid w:val="00B66976"/>
    <w:rsid w:val="00B669C2"/>
    <w:rsid w:val="00B66BBD"/>
    <w:rsid w:val="00B66C4E"/>
    <w:rsid w:val="00B66E3F"/>
    <w:rsid w:val="00B66EA0"/>
    <w:rsid w:val="00B66FA5"/>
    <w:rsid w:val="00B66FC2"/>
    <w:rsid w:val="00B67199"/>
    <w:rsid w:val="00B6728D"/>
    <w:rsid w:val="00B67407"/>
    <w:rsid w:val="00B6759E"/>
    <w:rsid w:val="00B6764A"/>
    <w:rsid w:val="00B676D4"/>
    <w:rsid w:val="00B67929"/>
    <w:rsid w:val="00B67AD5"/>
    <w:rsid w:val="00B67C8F"/>
    <w:rsid w:val="00B67D53"/>
    <w:rsid w:val="00B70009"/>
    <w:rsid w:val="00B70875"/>
    <w:rsid w:val="00B70DAA"/>
    <w:rsid w:val="00B70F23"/>
    <w:rsid w:val="00B70F9C"/>
    <w:rsid w:val="00B7115C"/>
    <w:rsid w:val="00B71184"/>
    <w:rsid w:val="00B71186"/>
    <w:rsid w:val="00B713BA"/>
    <w:rsid w:val="00B713F7"/>
    <w:rsid w:val="00B71424"/>
    <w:rsid w:val="00B715E9"/>
    <w:rsid w:val="00B7176F"/>
    <w:rsid w:val="00B71BFC"/>
    <w:rsid w:val="00B71D04"/>
    <w:rsid w:val="00B71D87"/>
    <w:rsid w:val="00B71E6A"/>
    <w:rsid w:val="00B71F66"/>
    <w:rsid w:val="00B724D9"/>
    <w:rsid w:val="00B7255D"/>
    <w:rsid w:val="00B725B7"/>
    <w:rsid w:val="00B7265C"/>
    <w:rsid w:val="00B72869"/>
    <w:rsid w:val="00B72B4C"/>
    <w:rsid w:val="00B72B4D"/>
    <w:rsid w:val="00B72B63"/>
    <w:rsid w:val="00B72C53"/>
    <w:rsid w:val="00B72FA4"/>
    <w:rsid w:val="00B732AA"/>
    <w:rsid w:val="00B732DE"/>
    <w:rsid w:val="00B7331E"/>
    <w:rsid w:val="00B733A4"/>
    <w:rsid w:val="00B735B6"/>
    <w:rsid w:val="00B7378A"/>
    <w:rsid w:val="00B73874"/>
    <w:rsid w:val="00B7391E"/>
    <w:rsid w:val="00B739DA"/>
    <w:rsid w:val="00B739F6"/>
    <w:rsid w:val="00B73B5B"/>
    <w:rsid w:val="00B73B76"/>
    <w:rsid w:val="00B73BDE"/>
    <w:rsid w:val="00B73C94"/>
    <w:rsid w:val="00B73D96"/>
    <w:rsid w:val="00B73DCD"/>
    <w:rsid w:val="00B7424A"/>
    <w:rsid w:val="00B742A5"/>
    <w:rsid w:val="00B742E2"/>
    <w:rsid w:val="00B74365"/>
    <w:rsid w:val="00B74498"/>
    <w:rsid w:val="00B7483C"/>
    <w:rsid w:val="00B749FB"/>
    <w:rsid w:val="00B74AA2"/>
    <w:rsid w:val="00B74C77"/>
    <w:rsid w:val="00B74DA9"/>
    <w:rsid w:val="00B74EC2"/>
    <w:rsid w:val="00B7512B"/>
    <w:rsid w:val="00B75356"/>
    <w:rsid w:val="00B754F4"/>
    <w:rsid w:val="00B75728"/>
    <w:rsid w:val="00B759B7"/>
    <w:rsid w:val="00B75EE5"/>
    <w:rsid w:val="00B75F40"/>
    <w:rsid w:val="00B7616A"/>
    <w:rsid w:val="00B761C1"/>
    <w:rsid w:val="00B7621E"/>
    <w:rsid w:val="00B763D6"/>
    <w:rsid w:val="00B7642B"/>
    <w:rsid w:val="00B76765"/>
    <w:rsid w:val="00B767B7"/>
    <w:rsid w:val="00B76A92"/>
    <w:rsid w:val="00B76BD3"/>
    <w:rsid w:val="00B76D84"/>
    <w:rsid w:val="00B76DE7"/>
    <w:rsid w:val="00B76E00"/>
    <w:rsid w:val="00B76E30"/>
    <w:rsid w:val="00B76EFB"/>
    <w:rsid w:val="00B7715B"/>
    <w:rsid w:val="00B77181"/>
    <w:rsid w:val="00B77189"/>
    <w:rsid w:val="00B77315"/>
    <w:rsid w:val="00B7735A"/>
    <w:rsid w:val="00B774AD"/>
    <w:rsid w:val="00B77619"/>
    <w:rsid w:val="00B77699"/>
    <w:rsid w:val="00B7772E"/>
    <w:rsid w:val="00B778E8"/>
    <w:rsid w:val="00B77A69"/>
    <w:rsid w:val="00B77CE8"/>
    <w:rsid w:val="00B77ECC"/>
    <w:rsid w:val="00B77F2C"/>
    <w:rsid w:val="00B80229"/>
    <w:rsid w:val="00B80337"/>
    <w:rsid w:val="00B80563"/>
    <w:rsid w:val="00B808F0"/>
    <w:rsid w:val="00B80B06"/>
    <w:rsid w:val="00B8101D"/>
    <w:rsid w:val="00B811F8"/>
    <w:rsid w:val="00B815B4"/>
    <w:rsid w:val="00B815EE"/>
    <w:rsid w:val="00B8161E"/>
    <w:rsid w:val="00B81A6C"/>
    <w:rsid w:val="00B81D59"/>
    <w:rsid w:val="00B820AA"/>
    <w:rsid w:val="00B82295"/>
    <w:rsid w:val="00B822F0"/>
    <w:rsid w:val="00B825DD"/>
    <w:rsid w:val="00B82778"/>
    <w:rsid w:val="00B8292A"/>
    <w:rsid w:val="00B829E2"/>
    <w:rsid w:val="00B82A96"/>
    <w:rsid w:val="00B82ABA"/>
    <w:rsid w:val="00B82BF3"/>
    <w:rsid w:val="00B82DEB"/>
    <w:rsid w:val="00B82E7C"/>
    <w:rsid w:val="00B83035"/>
    <w:rsid w:val="00B8318A"/>
    <w:rsid w:val="00B8366F"/>
    <w:rsid w:val="00B8384C"/>
    <w:rsid w:val="00B83870"/>
    <w:rsid w:val="00B83973"/>
    <w:rsid w:val="00B83AE6"/>
    <w:rsid w:val="00B840C4"/>
    <w:rsid w:val="00B84335"/>
    <w:rsid w:val="00B84356"/>
    <w:rsid w:val="00B84419"/>
    <w:rsid w:val="00B8453B"/>
    <w:rsid w:val="00B847A3"/>
    <w:rsid w:val="00B848E7"/>
    <w:rsid w:val="00B84A84"/>
    <w:rsid w:val="00B84BE3"/>
    <w:rsid w:val="00B84BEC"/>
    <w:rsid w:val="00B84C2B"/>
    <w:rsid w:val="00B84C74"/>
    <w:rsid w:val="00B84E3A"/>
    <w:rsid w:val="00B84F30"/>
    <w:rsid w:val="00B84F6F"/>
    <w:rsid w:val="00B85128"/>
    <w:rsid w:val="00B8524B"/>
    <w:rsid w:val="00B8552B"/>
    <w:rsid w:val="00B85731"/>
    <w:rsid w:val="00B858A3"/>
    <w:rsid w:val="00B858C6"/>
    <w:rsid w:val="00B85B4D"/>
    <w:rsid w:val="00B85DE5"/>
    <w:rsid w:val="00B85E7D"/>
    <w:rsid w:val="00B8603A"/>
    <w:rsid w:val="00B862A8"/>
    <w:rsid w:val="00B864D1"/>
    <w:rsid w:val="00B864DD"/>
    <w:rsid w:val="00B86849"/>
    <w:rsid w:val="00B86962"/>
    <w:rsid w:val="00B86B03"/>
    <w:rsid w:val="00B86B80"/>
    <w:rsid w:val="00B86BB9"/>
    <w:rsid w:val="00B86E1E"/>
    <w:rsid w:val="00B86E5C"/>
    <w:rsid w:val="00B86EA6"/>
    <w:rsid w:val="00B870A6"/>
    <w:rsid w:val="00B8754E"/>
    <w:rsid w:val="00B8769D"/>
    <w:rsid w:val="00B8790D"/>
    <w:rsid w:val="00B879FA"/>
    <w:rsid w:val="00B87A03"/>
    <w:rsid w:val="00B87D90"/>
    <w:rsid w:val="00B90132"/>
    <w:rsid w:val="00B90593"/>
    <w:rsid w:val="00B90D13"/>
    <w:rsid w:val="00B90D31"/>
    <w:rsid w:val="00B90F73"/>
    <w:rsid w:val="00B91295"/>
    <w:rsid w:val="00B91340"/>
    <w:rsid w:val="00B91531"/>
    <w:rsid w:val="00B91577"/>
    <w:rsid w:val="00B9178B"/>
    <w:rsid w:val="00B91A05"/>
    <w:rsid w:val="00B91A15"/>
    <w:rsid w:val="00B91C72"/>
    <w:rsid w:val="00B91E0F"/>
    <w:rsid w:val="00B91FF6"/>
    <w:rsid w:val="00B92072"/>
    <w:rsid w:val="00B92299"/>
    <w:rsid w:val="00B92A5C"/>
    <w:rsid w:val="00B92A8B"/>
    <w:rsid w:val="00B92FFC"/>
    <w:rsid w:val="00B930D7"/>
    <w:rsid w:val="00B931BC"/>
    <w:rsid w:val="00B93280"/>
    <w:rsid w:val="00B933F6"/>
    <w:rsid w:val="00B93699"/>
    <w:rsid w:val="00B9369C"/>
    <w:rsid w:val="00B93773"/>
    <w:rsid w:val="00B9397E"/>
    <w:rsid w:val="00B939EC"/>
    <w:rsid w:val="00B93B59"/>
    <w:rsid w:val="00B93BB0"/>
    <w:rsid w:val="00B93F4A"/>
    <w:rsid w:val="00B93F6B"/>
    <w:rsid w:val="00B9406A"/>
    <w:rsid w:val="00B9412D"/>
    <w:rsid w:val="00B94150"/>
    <w:rsid w:val="00B944E9"/>
    <w:rsid w:val="00B94614"/>
    <w:rsid w:val="00B9475D"/>
    <w:rsid w:val="00B94A41"/>
    <w:rsid w:val="00B94B09"/>
    <w:rsid w:val="00B94DE6"/>
    <w:rsid w:val="00B94EB8"/>
    <w:rsid w:val="00B94F18"/>
    <w:rsid w:val="00B95011"/>
    <w:rsid w:val="00B950BF"/>
    <w:rsid w:val="00B9535C"/>
    <w:rsid w:val="00B95610"/>
    <w:rsid w:val="00B956E2"/>
    <w:rsid w:val="00B95828"/>
    <w:rsid w:val="00B95C2D"/>
    <w:rsid w:val="00B95D6F"/>
    <w:rsid w:val="00B96717"/>
    <w:rsid w:val="00B9673E"/>
    <w:rsid w:val="00B96802"/>
    <w:rsid w:val="00B96899"/>
    <w:rsid w:val="00B96BF6"/>
    <w:rsid w:val="00B96C15"/>
    <w:rsid w:val="00B96D72"/>
    <w:rsid w:val="00B96DF0"/>
    <w:rsid w:val="00B96E55"/>
    <w:rsid w:val="00B97083"/>
    <w:rsid w:val="00B975B0"/>
    <w:rsid w:val="00B97645"/>
    <w:rsid w:val="00B976CE"/>
    <w:rsid w:val="00B97832"/>
    <w:rsid w:val="00B978D1"/>
    <w:rsid w:val="00B97B22"/>
    <w:rsid w:val="00B97B63"/>
    <w:rsid w:val="00B97CDA"/>
    <w:rsid w:val="00B97D9E"/>
    <w:rsid w:val="00B97E16"/>
    <w:rsid w:val="00BA00BB"/>
    <w:rsid w:val="00BA0143"/>
    <w:rsid w:val="00BA038B"/>
    <w:rsid w:val="00BA047E"/>
    <w:rsid w:val="00BA0790"/>
    <w:rsid w:val="00BA08D8"/>
    <w:rsid w:val="00BA0AA7"/>
    <w:rsid w:val="00BA0B85"/>
    <w:rsid w:val="00BA0D63"/>
    <w:rsid w:val="00BA0E24"/>
    <w:rsid w:val="00BA0F94"/>
    <w:rsid w:val="00BA10C9"/>
    <w:rsid w:val="00BA11DA"/>
    <w:rsid w:val="00BA12CE"/>
    <w:rsid w:val="00BA14DC"/>
    <w:rsid w:val="00BA1505"/>
    <w:rsid w:val="00BA1506"/>
    <w:rsid w:val="00BA169B"/>
    <w:rsid w:val="00BA1C73"/>
    <w:rsid w:val="00BA1D70"/>
    <w:rsid w:val="00BA1DB3"/>
    <w:rsid w:val="00BA1EE0"/>
    <w:rsid w:val="00BA2280"/>
    <w:rsid w:val="00BA246E"/>
    <w:rsid w:val="00BA26A3"/>
    <w:rsid w:val="00BA27B6"/>
    <w:rsid w:val="00BA2940"/>
    <w:rsid w:val="00BA29AE"/>
    <w:rsid w:val="00BA2A08"/>
    <w:rsid w:val="00BA2AAE"/>
    <w:rsid w:val="00BA2E17"/>
    <w:rsid w:val="00BA2E49"/>
    <w:rsid w:val="00BA3012"/>
    <w:rsid w:val="00BA306B"/>
    <w:rsid w:val="00BA31A3"/>
    <w:rsid w:val="00BA324E"/>
    <w:rsid w:val="00BA34F4"/>
    <w:rsid w:val="00BA354B"/>
    <w:rsid w:val="00BA35FE"/>
    <w:rsid w:val="00BA37EE"/>
    <w:rsid w:val="00BA3C80"/>
    <w:rsid w:val="00BA3CDE"/>
    <w:rsid w:val="00BA3D0A"/>
    <w:rsid w:val="00BA3E75"/>
    <w:rsid w:val="00BA3E94"/>
    <w:rsid w:val="00BA413C"/>
    <w:rsid w:val="00BA4306"/>
    <w:rsid w:val="00BA45D7"/>
    <w:rsid w:val="00BA4857"/>
    <w:rsid w:val="00BA48B3"/>
    <w:rsid w:val="00BA4B18"/>
    <w:rsid w:val="00BA4C1B"/>
    <w:rsid w:val="00BA4DD6"/>
    <w:rsid w:val="00BA4EB0"/>
    <w:rsid w:val="00BA4EB3"/>
    <w:rsid w:val="00BA5032"/>
    <w:rsid w:val="00BA533A"/>
    <w:rsid w:val="00BA56D2"/>
    <w:rsid w:val="00BA56DF"/>
    <w:rsid w:val="00BA57CB"/>
    <w:rsid w:val="00BA5805"/>
    <w:rsid w:val="00BA5829"/>
    <w:rsid w:val="00BA595D"/>
    <w:rsid w:val="00BA5AC1"/>
    <w:rsid w:val="00BA5B19"/>
    <w:rsid w:val="00BA5D16"/>
    <w:rsid w:val="00BA5FC7"/>
    <w:rsid w:val="00BA6290"/>
    <w:rsid w:val="00BA6829"/>
    <w:rsid w:val="00BA68F8"/>
    <w:rsid w:val="00BA6909"/>
    <w:rsid w:val="00BA6A08"/>
    <w:rsid w:val="00BA6A10"/>
    <w:rsid w:val="00BA6ADA"/>
    <w:rsid w:val="00BA6B06"/>
    <w:rsid w:val="00BA6B50"/>
    <w:rsid w:val="00BA6B63"/>
    <w:rsid w:val="00BA6E85"/>
    <w:rsid w:val="00BA6ED2"/>
    <w:rsid w:val="00BA6F13"/>
    <w:rsid w:val="00BA712A"/>
    <w:rsid w:val="00BA716F"/>
    <w:rsid w:val="00BA71B5"/>
    <w:rsid w:val="00BA755E"/>
    <w:rsid w:val="00BA765D"/>
    <w:rsid w:val="00BA769E"/>
    <w:rsid w:val="00BA76E0"/>
    <w:rsid w:val="00BA7700"/>
    <w:rsid w:val="00BA7F14"/>
    <w:rsid w:val="00BB0069"/>
    <w:rsid w:val="00BB0114"/>
    <w:rsid w:val="00BB024D"/>
    <w:rsid w:val="00BB0299"/>
    <w:rsid w:val="00BB09B3"/>
    <w:rsid w:val="00BB0C58"/>
    <w:rsid w:val="00BB0C5D"/>
    <w:rsid w:val="00BB0CE8"/>
    <w:rsid w:val="00BB0D90"/>
    <w:rsid w:val="00BB0DFB"/>
    <w:rsid w:val="00BB0FCA"/>
    <w:rsid w:val="00BB1032"/>
    <w:rsid w:val="00BB1251"/>
    <w:rsid w:val="00BB12A9"/>
    <w:rsid w:val="00BB13DB"/>
    <w:rsid w:val="00BB1746"/>
    <w:rsid w:val="00BB17B1"/>
    <w:rsid w:val="00BB1A32"/>
    <w:rsid w:val="00BB1BDF"/>
    <w:rsid w:val="00BB1E41"/>
    <w:rsid w:val="00BB1EBE"/>
    <w:rsid w:val="00BB2241"/>
    <w:rsid w:val="00BB24BA"/>
    <w:rsid w:val="00BB24E3"/>
    <w:rsid w:val="00BB26B5"/>
    <w:rsid w:val="00BB28B3"/>
    <w:rsid w:val="00BB2968"/>
    <w:rsid w:val="00BB2A25"/>
    <w:rsid w:val="00BB2A95"/>
    <w:rsid w:val="00BB2AB1"/>
    <w:rsid w:val="00BB2AE9"/>
    <w:rsid w:val="00BB2BFF"/>
    <w:rsid w:val="00BB2C7A"/>
    <w:rsid w:val="00BB2D13"/>
    <w:rsid w:val="00BB2DBB"/>
    <w:rsid w:val="00BB2E1D"/>
    <w:rsid w:val="00BB2EEE"/>
    <w:rsid w:val="00BB2F3F"/>
    <w:rsid w:val="00BB2FF7"/>
    <w:rsid w:val="00BB3171"/>
    <w:rsid w:val="00BB31BF"/>
    <w:rsid w:val="00BB31FF"/>
    <w:rsid w:val="00BB3247"/>
    <w:rsid w:val="00BB396B"/>
    <w:rsid w:val="00BB3A1C"/>
    <w:rsid w:val="00BB3CD9"/>
    <w:rsid w:val="00BB40AA"/>
    <w:rsid w:val="00BB40BD"/>
    <w:rsid w:val="00BB463F"/>
    <w:rsid w:val="00BB48A5"/>
    <w:rsid w:val="00BB4970"/>
    <w:rsid w:val="00BB4C4C"/>
    <w:rsid w:val="00BB50E8"/>
    <w:rsid w:val="00BB51E9"/>
    <w:rsid w:val="00BB54E5"/>
    <w:rsid w:val="00BB557C"/>
    <w:rsid w:val="00BB58AC"/>
    <w:rsid w:val="00BB59D1"/>
    <w:rsid w:val="00BB5A2F"/>
    <w:rsid w:val="00BB5AF6"/>
    <w:rsid w:val="00BB5B0F"/>
    <w:rsid w:val="00BB5E34"/>
    <w:rsid w:val="00BB6045"/>
    <w:rsid w:val="00BB613A"/>
    <w:rsid w:val="00BB64A5"/>
    <w:rsid w:val="00BB6512"/>
    <w:rsid w:val="00BB6D05"/>
    <w:rsid w:val="00BB6D0F"/>
    <w:rsid w:val="00BB6DFD"/>
    <w:rsid w:val="00BB6EAD"/>
    <w:rsid w:val="00BB72D8"/>
    <w:rsid w:val="00BB7304"/>
    <w:rsid w:val="00BB7587"/>
    <w:rsid w:val="00BB764B"/>
    <w:rsid w:val="00BB76DD"/>
    <w:rsid w:val="00BB7CCF"/>
    <w:rsid w:val="00BB7F72"/>
    <w:rsid w:val="00BB7F85"/>
    <w:rsid w:val="00BB7F88"/>
    <w:rsid w:val="00BC0507"/>
    <w:rsid w:val="00BC0509"/>
    <w:rsid w:val="00BC06AB"/>
    <w:rsid w:val="00BC074C"/>
    <w:rsid w:val="00BC07C7"/>
    <w:rsid w:val="00BC0AEB"/>
    <w:rsid w:val="00BC0DC2"/>
    <w:rsid w:val="00BC0DD3"/>
    <w:rsid w:val="00BC0F03"/>
    <w:rsid w:val="00BC0FDC"/>
    <w:rsid w:val="00BC12D8"/>
    <w:rsid w:val="00BC12E9"/>
    <w:rsid w:val="00BC14CD"/>
    <w:rsid w:val="00BC1696"/>
    <w:rsid w:val="00BC17FE"/>
    <w:rsid w:val="00BC18F0"/>
    <w:rsid w:val="00BC1B8D"/>
    <w:rsid w:val="00BC1BA0"/>
    <w:rsid w:val="00BC1D4A"/>
    <w:rsid w:val="00BC1E06"/>
    <w:rsid w:val="00BC25BB"/>
    <w:rsid w:val="00BC25E4"/>
    <w:rsid w:val="00BC27D7"/>
    <w:rsid w:val="00BC2888"/>
    <w:rsid w:val="00BC2C29"/>
    <w:rsid w:val="00BC3053"/>
    <w:rsid w:val="00BC306F"/>
    <w:rsid w:val="00BC33BF"/>
    <w:rsid w:val="00BC33DF"/>
    <w:rsid w:val="00BC33F9"/>
    <w:rsid w:val="00BC34D1"/>
    <w:rsid w:val="00BC34F3"/>
    <w:rsid w:val="00BC35C8"/>
    <w:rsid w:val="00BC380D"/>
    <w:rsid w:val="00BC3A8D"/>
    <w:rsid w:val="00BC3F10"/>
    <w:rsid w:val="00BC409E"/>
    <w:rsid w:val="00BC4387"/>
    <w:rsid w:val="00BC4785"/>
    <w:rsid w:val="00BC4B84"/>
    <w:rsid w:val="00BC4C77"/>
    <w:rsid w:val="00BC4D2E"/>
    <w:rsid w:val="00BC4F90"/>
    <w:rsid w:val="00BC5355"/>
    <w:rsid w:val="00BC569D"/>
    <w:rsid w:val="00BC57F6"/>
    <w:rsid w:val="00BC5868"/>
    <w:rsid w:val="00BC5CA2"/>
    <w:rsid w:val="00BC5D6E"/>
    <w:rsid w:val="00BC5DE5"/>
    <w:rsid w:val="00BC5EF7"/>
    <w:rsid w:val="00BC6783"/>
    <w:rsid w:val="00BC689A"/>
    <w:rsid w:val="00BC69BD"/>
    <w:rsid w:val="00BC69F3"/>
    <w:rsid w:val="00BC6A36"/>
    <w:rsid w:val="00BC6A3B"/>
    <w:rsid w:val="00BC6AA3"/>
    <w:rsid w:val="00BC6AF5"/>
    <w:rsid w:val="00BC6BD4"/>
    <w:rsid w:val="00BC6D1D"/>
    <w:rsid w:val="00BC6FE5"/>
    <w:rsid w:val="00BC77D8"/>
    <w:rsid w:val="00BC78EA"/>
    <w:rsid w:val="00BC7A1B"/>
    <w:rsid w:val="00BC7A82"/>
    <w:rsid w:val="00BC7E87"/>
    <w:rsid w:val="00BC7FF9"/>
    <w:rsid w:val="00BD0267"/>
    <w:rsid w:val="00BD042D"/>
    <w:rsid w:val="00BD0586"/>
    <w:rsid w:val="00BD09C3"/>
    <w:rsid w:val="00BD0AFF"/>
    <w:rsid w:val="00BD0BD0"/>
    <w:rsid w:val="00BD1321"/>
    <w:rsid w:val="00BD13B0"/>
    <w:rsid w:val="00BD13DD"/>
    <w:rsid w:val="00BD147F"/>
    <w:rsid w:val="00BD1529"/>
    <w:rsid w:val="00BD1775"/>
    <w:rsid w:val="00BD17AF"/>
    <w:rsid w:val="00BD18B7"/>
    <w:rsid w:val="00BD1CA6"/>
    <w:rsid w:val="00BD1EF0"/>
    <w:rsid w:val="00BD1F26"/>
    <w:rsid w:val="00BD20C1"/>
    <w:rsid w:val="00BD2177"/>
    <w:rsid w:val="00BD2268"/>
    <w:rsid w:val="00BD237E"/>
    <w:rsid w:val="00BD23D6"/>
    <w:rsid w:val="00BD2491"/>
    <w:rsid w:val="00BD25F7"/>
    <w:rsid w:val="00BD277C"/>
    <w:rsid w:val="00BD2955"/>
    <w:rsid w:val="00BD2B1F"/>
    <w:rsid w:val="00BD2B60"/>
    <w:rsid w:val="00BD2C53"/>
    <w:rsid w:val="00BD2CA8"/>
    <w:rsid w:val="00BD3342"/>
    <w:rsid w:val="00BD33D2"/>
    <w:rsid w:val="00BD38C6"/>
    <w:rsid w:val="00BD3D68"/>
    <w:rsid w:val="00BD3D8A"/>
    <w:rsid w:val="00BD3DAC"/>
    <w:rsid w:val="00BD439E"/>
    <w:rsid w:val="00BD4473"/>
    <w:rsid w:val="00BD4577"/>
    <w:rsid w:val="00BD45EF"/>
    <w:rsid w:val="00BD48AC"/>
    <w:rsid w:val="00BD4BF0"/>
    <w:rsid w:val="00BD4D92"/>
    <w:rsid w:val="00BD5223"/>
    <w:rsid w:val="00BD54F1"/>
    <w:rsid w:val="00BD5F1A"/>
    <w:rsid w:val="00BD5F1B"/>
    <w:rsid w:val="00BD5F8C"/>
    <w:rsid w:val="00BD5FF1"/>
    <w:rsid w:val="00BD614C"/>
    <w:rsid w:val="00BD625D"/>
    <w:rsid w:val="00BD659C"/>
    <w:rsid w:val="00BD6627"/>
    <w:rsid w:val="00BD66B8"/>
    <w:rsid w:val="00BD6748"/>
    <w:rsid w:val="00BD6F5E"/>
    <w:rsid w:val="00BD717D"/>
    <w:rsid w:val="00BD71F9"/>
    <w:rsid w:val="00BD72D9"/>
    <w:rsid w:val="00BD745D"/>
    <w:rsid w:val="00BD7519"/>
    <w:rsid w:val="00BD763C"/>
    <w:rsid w:val="00BD795D"/>
    <w:rsid w:val="00BD7B03"/>
    <w:rsid w:val="00BD7D20"/>
    <w:rsid w:val="00BD7DF1"/>
    <w:rsid w:val="00BD7E11"/>
    <w:rsid w:val="00BD7EC6"/>
    <w:rsid w:val="00BE0173"/>
    <w:rsid w:val="00BE0174"/>
    <w:rsid w:val="00BE02A1"/>
    <w:rsid w:val="00BE035D"/>
    <w:rsid w:val="00BE09C6"/>
    <w:rsid w:val="00BE0A6F"/>
    <w:rsid w:val="00BE0BCA"/>
    <w:rsid w:val="00BE0CB5"/>
    <w:rsid w:val="00BE0CE5"/>
    <w:rsid w:val="00BE0DA5"/>
    <w:rsid w:val="00BE1112"/>
    <w:rsid w:val="00BE11AC"/>
    <w:rsid w:val="00BE1234"/>
    <w:rsid w:val="00BE1775"/>
    <w:rsid w:val="00BE19C8"/>
    <w:rsid w:val="00BE1AD9"/>
    <w:rsid w:val="00BE1C4C"/>
    <w:rsid w:val="00BE1CAF"/>
    <w:rsid w:val="00BE1D23"/>
    <w:rsid w:val="00BE1D7E"/>
    <w:rsid w:val="00BE1D83"/>
    <w:rsid w:val="00BE1EEE"/>
    <w:rsid w:val="00BE20DB"/>
    <w:rsid w:val="00BE2679"/>
    <w:rsid w:val="00BE26EE"/>
    <w:rsid w:val="00BE2724"/>
    <w:rsid w:val="00BE27DA"/>
    <w:rsid w:val="00BE27E7"/>
    <w:rsid w:val="00BE292A"/>
    <w:rsid w:val="00BE2BE0"/>
    <w:rsid w:val="00BE2CA0"/>
    <w:rsid w:val="00BE2CB9"/>
    <w:rsid w:val="00BE2FA6"/>
    <w:rsid w:val="00BE333F"/>
    <w:rsid w:val="00BE371C"/>
    <w:rsid w:val="00BE388D"/>
    <w:rsid w:val="00BE3ADA"/>
    <w:rsid w:val="00BE3AEB"/>
    <w:rsid w:val="00BE3C7A"/>
    <w:rsid w:val="00BE3C7C"/>
    <w:rsid w:val="00BE4103"/>
    <w:rsid w:val="00BE4224"/>
    <w:rsid w:val="00BE435C"/>
    <w:rsid w:val="00BE4373"/>
    <w:rsid w:val="00BE43F2"/>
    <w:rsid w:val="00BE446D"/>
    <w:rsid w:val="00BE451A"/>
    <w:rsid w:val="00BE4775"/>
    <w:rsid w:val="00BE4777"/>
    <w:rsid w:val="00BE4C4A"/>
    <w:rsid w:val="00BE4D7D"/>
    <w:rsid w:val="00BE4E1D"/>
    <w:rsid w:val="00BE51BB"/>
    <w:rsid w:val="00BE538A"/>
    <w:rsid w:val="00BE5414"/>
    <w:rsid w:val="00BE5990"/>
    <w:rsid w:val="00BE59EC"/>
    <w:rsid w:val="00BE5A64"/>
    <w:rsid w:val="00BE626D"/>
    <w:rsid w:val="00BE63DD"/>
    <w:rsid w:val="00BE6483"/>
    <w:rsid w:val="00BE666C"/>
    <w:rsid w:val="00BE6822"/>
    <w:rsid w:val="00BE6848"/>
    <w:rsid w:val="00BE6A36"/>
    <w:rsid w:val="00BE6DFF"/>
    <w:rsid w:val="00BE6E70"/>
    <w:rsid w:val="00BE7227"/>
    <w:rsid w:val="00BE724E"/>
    <w:rsid w:val="00BE7271"/>
    <w:rsid w:val="00BE7289"/>
    <w:rsid w:val="00BE72E4"/>
    <w:rsid w:val="00BE7406"/>
    <w:rsid w:val="00BE74FE"/>
    <w:rsid w:val="00BE751B"/>
    <w:rsid w:val="00BE7603"/>
    <w:rsid w:val="00BE76F1"/>
    <w:rsid w:val="00BE7787"/>
    <w:rsid w:val="00BE7CB6"/>
    <w:rsid w:val="00BE7D07"/>
    <w:rsid w:val="00BF0329"/>
    <w:rsid w:val="00BF03BA"/>
    <w:rsid w:val="00BF041A"/>
    <w:rsid w:val="00BF0590"/>
    <w:rsid w:val="00BF07CD"/>
    <w:rsid w:val="00BF0916"/>
    <w:rsid w:val="00BF0A26"/>
    <w:rsid w:val="00BF0AB1"/>
    <w:rsid w:val="00BF0D7F"/>
    <w:rsid w:val="00BF0F2B"/>
    <w:rsid w:val="00BF12BA"/>
    <w:rsid w:val="00BF14E9"/>
    <w:rsid w:val="00BF1566"/>
    <w:rsid w:val="00BF1664"/>
    <w:rsid w:val="00BF1930"/>
    <w:rsid w:val="00BF1C2E"/>
    <w:rsid w:val="00BF1DEE"/>
    <w:rsid w:val="00BF20BA"/>
    <w:rsid w:val="00BF21D0"/>
    <w:rsid w:val="00BF28DC"/>
    <w:rsid w:val="00BF292C"/>
    <w:rsid w:val="00BF2947"/>
    <w:rsid w:val="00BF2B76"/>
    <w:rsid w:val="00BF2F73"/>
    <w:rsid w:val="00BF30F3"/>
    <w:rsid w:val="00BF3279"/>
    <w:rsid w:val="00BF32A7"/>
    <w:rsid w:val="00BF33B0"/>
    <w:rsid w:val="00BF33C2"/>
    <w:rsid w:val="00BF345C"/>
    <w:rsid w:val="00BF357F"/>
    <w:rsid w:val="00BF3609"/>
    <w:rsid w:val="00BF3795"/>
    <w:rsid w:val="00BF38A8"/>
    <w:rsid w:val="00BF3A50"/>
    <w:rsid w:val="00BF3ACC"/>
    <w:rsid w:val="00BF3BCF"/>
    <w:rsid w:val="00BF3D0F"/>
    <w:rsid w:val="00BF3E54"/>
    <w:rsid w:val="00BF4088"/>
    <w:rsid w:val="00BF41B8"/>
    <w:rsid w:val="00BF446D"/>
    <w:rsid w:val="00BF4758"/>
    <w:rsid w:val="00BF485B"/>
    <w:rsid w:val="00BF4B2D"/>
    <w:rsid w:val="00BF4D71"/>
    <w:rsid w:val="00BF4F29"/>
    <w:rsid w:val="00BF500F"/>
    <w:rsid w:val="00BF510E"/>
    <w:rsid w:val="00BF52A6"/>
    <w:rsid w:val="00BF53F4"/>
    <w:rsid w:val="00BF5648"/>
    <w:rsid w:val="00BF5A2E"/>
    <w:rsid w:val="00BF5A8F"/>
    <w:rsid w:val="00BF5D87"/>
    <w:rsid w:val="00BF5DC3"/>
    <w:rsid w:val="00BF5ED5"/>
    <w:rsid w:val="00BF6160"/>
    <w:rsid w:val="00BF61E2"/>
    <w:rsid w:val="00BF64E3"/>
    <w:rsid w:val="00BF68FF"/>
    <w:rsid w:val="00BF692A"/>
    <w:rsid w:val="00BF6C19"/>
    <w:rsid w:val="00BF6FE9"/>
    <w:rsid w:val="00BF71F9"/>
    <w:rsid w:val="00BF7316"/>
    <w:rsid w:val="00BF736B"/>
    <w:rsid w:val="00BF74C7"/>
    <w:rsid w:val="00BF755B"/>
    <w:rsid w:val="00BF75D6"/>
    <w:rsid w:val="00BF7A74"/>
    <w:rsid w:val="00BF7BB0"/>
    <w:rsid w:val="00BF7D6A"/>
    <w:rsid w:val="00BF7E5C"/>
    <w:rsid w:val="00C00112"/>
    <w:rsid w:val="00C00339"/>
    <w:rsid w:val="00C0046D"/>
    <w:rsid w:val="00C00A07"/>
    <w:rsid w:val="00C00F0D"/>
    <w:rsid w:val="00C00F61"/>
    <w:rsid w:val="00C00FB6"/>
    <w:rsid w:val="00C0101C"/>
    <w:rsid w:val="00C01279"/>
    <w:rsid w:val="00C015E3"/>
    <w:rsid w:val="00C015F1"/>
    <w:rsid w:val="00C01862"/>
    <w:rsid w:val="00C01881"/>
    <w:rsid w:val="00C01D88"/>
    <w:rsid w:val="00C01F33"/>
    <w:rsid w:val="00C0218B"/>
    <w:rsid w:val="00C02391"/>
    <w:rsid w:val="00C02C9A"/>
    <w:rsid w:val="00C02CC6"/>
    <w:rsid w:val="00C03636"/>
    <w:rsid w:val="00C03715"/>
    <w:rsid w:val="00C03A5C"/>
    <w:rsid w:val="00C03AEE"/>
    <w:rsid w:val="00C03BA0"/>
    <w:rsid w:val="00C040F7"/>
    <w:rsid w:val="00C0416E"/>
    <w:rsid w:val="00C04301"/>
    <w:rsid w:val="00C043BD"/>
    <w:rsid w:val="00C0447D"/>
    <w:rsid w:val="00C044AB"/>
    <w:rsid w:val="00C044C5"/>
    <w:rsid w:val="00C04614"/>
    <w:rsid w:val="00C04955"/>
    <w:rsid w:val="00C04B0E"/>
    <w:rsid w:val="00C04B21"/>
    <w:rsid w:val="00C04C50"/>
    <w:rsid w:val="00C04D61"/>
    <w:rsid w:val="00C04E35"/>
    <w:rsid w:val="00C051D2"/>
    <w:rsid w:val="00C054AF"/>
    <w:rsid w:val="00C056B3"/>
    <w:rsid w:val="00C05706"/>
    <w:rsid w:val="00C058B2"/>
    <w:rsid w:val="00C05AB2"/>
    <w:rsid w:val="00C05B68"/>
    <w:rsid w:val="00C05BAC"/>
    <w:rsid w:val="00C05D3F"/>
    <w:rsid w:val="00C05D96"/>
    <w:rsid w:val="00C05EA7"/>
    <w:rsid w:val="00C05ED4"/>
    <w:rsid w:val="00C06208"/>
    <w:rsid w:val="00C06266"/>
    <w:rsid w:val="00C065B2"/>
    <w:rsid w:val="00C06802"/>
    <w:rsid w:val="00C06819"/>
    <w:rsid w:val="00C06C54"/>
    <w:rsid w:val="00C06CED"/>
    <w:rsid w:val="00C07193"/>
    <w:rsid w:val="00C071B0"/>
    <w:rsid w:val="00C071DE"/>
    <w:rsid w:val="00C07377"/>
    <w:rsid w:val="00C07BF6"/>
    <w:rsid w:val="00C10124"/>
    <w:rsid w:val="00C10131"/>
    <w:rsid w:val="00C102AB"/>
    <w:rsid w:val="00C103BB"/>
    <w:rsid w:val="00C103D6"/>
    <w:rsid w:val="00C10438"/>
    <w:rsid w:val="00C10478"/>
    <w:rsid w:val="00C10675"/>
    <w:rsid w:val="00C10778"/>
    <w:rsid w:val="00C10920"/>
    <w:rsid w:val="00C10ACF"/>
    <w:rsid w:val="00C10B40"/>
    <w:rsid w:val="00C10CAE"/>
    <w:rsid w:val="00C10E97"/>
    <w:rsid w:val="00C1105D"/>
    <w:rsid w:val="00C113A6"/>
    <w:rsid w:val="00C115A3"/>
    <w:rsid w:val="00C115CA"/>
    <w:rsid w:val="00C11665"/>
    <w:rsid w:val="00C11786"/>
    <w:rsid w:val="00C118AA"/>
    <w:rsid w:val="00C118C2"/>
    <w:rsid w:val="00C119A4"/>
    <w:rsid w:val="00C11BB3"/>
    <w:rsid w:val="00C11CEA"/>
    <w:rsid w:val="00C11DDA"/>
    <w:rsid w:val="00C11FCB"/>
    <w:rsid w:val="00C1200D"/>
    <w:rsid w:val="00C12107"/>
    <w:rsid w:val="00C12527"/>
    <w:rsid w:val="00C12559"/>
    <w:rsid w:val="00C12667"/>
    <w:rsid w:val="00C126BA"/>
    <w:rsid w:val="00C12781"/>
    <w:rsid w:val="00C12AFC"/>
    <w:rsid w:val="00C12BBC"/>
    <w:rsid w:val="00C12C8F"/>
    <w:rsid w:val="00C12FC6"/>
    <w:rsid w:val="00C130A3"/>
    <w:rsid w:val="00C13395"/>
    <w:rsid w:val="00C133C8"/>
    <w:rsid w:val="00C134C3"/>
    <w:rsid w:val="00C1353B"/>
    <w:rsid w:val="00C136F6"/>
    <w:rsid w:val="00C13741"/>
    <w:rsid w:val="00C13C74"/>
    <w:rsid w:val="00C14112"/>
    <w:rsid w:val="00C1412B"/>
    <w:rsid w:val="00C1436B"/>
    <w:rsid w:val="00C143C0"/>
    <w:rsid w:val="00C145AE"/>
    <w:rsid w:val="00C14760"/>
    <w:rsid w:val="00C1499A"/>
    <w:rsid w:val="00C14C20"/>
    <w:rsid w:val="00C14D4B"/>
    <w:rsid w:val="00C14FF8"/>
    <w:rsid w:val="00C15040"/>
    <w:rsid w:val="00C1506F"/>
    <w:rsid w:val="00C15105"/>
    <w:rsid w:val="00C151CC"/>
    <w:rsid w:val="00C1528F"/>
    <w:rsid w:val="00C154A0"/>
    <w:rsid w:val="00C154BB"/>
    <w:rsid w:val="00C157EE"/>
    <w:rsid w:val="00C15AD9"/>
    <w:rsid w:val="00C15B15"/>
    <w:rsid w:val="00C15CDA"/>
    <w:rsid w:val="00C15CE0"/>
    <w:rsid w:val="00C15E98"/>
    <w:rsid w:val="00C161E6"/>
    <w:rsid w:val="00C16494"/>
    <w:rsid w:val="00C16A82"/>
    <w:rsid w:val="00C16CED"/>
    <w:rsid w:val="00C16D80"/>
    <w:rsid w:val="00C16E2B"/>
    <w:rsid w:val="00C16F64"/>
    <w:rsid w:val="00C17103"/>
    <w:rsid w:val="00C17197"/>
    <w:rsid w:val="00C172E2"/>
    <w:rsid w:val="00C174D1"/>
    <w:rsid w:val="00C17616"/>
    <w:rsid w:val="00C17765"/>
    <w:rsid w:val="00C17895"/>
    <w:rsid w:val="00C1789F"/>
    <w:rsid w:val="00C17D81"/>
    <w:rsid w:val="00C17DD2"/>
    <w:rsid w:val="00C17EF1"/>
    <w:rsid w:val="00C2003F"/>
    <w:rsid w:val="00C20067"/>
    <w:rsid w:val="00C20262"/>
    <w:rsid w:val="00C202E1"/>
    <w:rsid w:val="00C20446"/>
    <w:rsid w:val="00C2045F"/>
    <w:rsid w:val="00C205C9"/>
    <w:rsid w:val="00C20835"/>
    <w:rsid w:val="00C2087B"/>
    <w:rsid w:val="00C2099B"/>
    <w:rsid w:val="00C20A21"/>
    <w:rsid w:val="00C20ABD"/>
    <w:rsid w:val="00C20B07"/>
    <w:rsid w:val="00C20B7B"/>
    <w:rsid w:val="00C20CEC"/>
    <w:rsid w:val="00C20F3A"/>
    <w:rsid w:val="00C20FEE"/>
    <w:rsid w:val="00C21266"/>
    <w:rsid w:val="00C2139D"/>
    <w:rsid w:val="00C2159C"/>
    <w:rsid w:val="00C21720"/>
    <w:rsid w:val="00C2182D"/>
    <w:rsid w:val="00C21BD9"/>
    <w:rsid w:val="00C21F12"/>
    <w:rsid w:val="00C21FBA"/>
    <w:rsid w:val="00C220B3"/>
    <w:rsid w:val="00C222F4"/>
    <w:rsid w:val="00C2245D"/>
    <w:rsid w:val="00C22471"/>
    <w:rsid w:val="00C22663"/>
    <w:rsid w:val="00C22724"/>
    <w:rsid w:val="00C227BA"/>
    <w:rsid w:val="00C22A65"/>
    <w:rsid w:val="00C22E40"/>
    <w:rsid w:val="00C2307D"/>
    <w:rsid w:val="00C23084"/>
    <w:rsid w:val="00C234B1"/>
    <w:rsid w:val="00C2361E"/>
    <w:rsid w:val="00C23649"/>
    <w:rsid w:val="00C23670"/>
    <w:rsid w:val="00C2370A"/>
    <w:rsid w:val="00C2379A"/>
    <w:rsid w:val="00C23874"/>
    <w:rsid w:val="00C23A1C"/>
    <w:rsid w:val="00C23CD5"/>
    <w:rsid w:val="00C24047"/>
    <w:rsid w:val="00C24081"/>
    <w:rsid w:val="00C24119"/>
    <w:rsid w:val="00C2420F"/>
    <w:rsid w:val="00C242CD"/>
    <w:rsid w:val="00C243D6"/>
    <w:rsid w:val="00C244D7"/>
    <w:rsid w:val="00C24520"/>
    <w:rsid w:val="00C2462B"/>
    <w:rsid w:val="00C2465E"/>
    <w:rsid w:val="00C249F6"/>
    <w:rsid w:val="00C24AFC"/>
    <w:rsid w:val="00C24D22"/>
    <w:rsid w:val="00C24F91"/>
    <w:rsid w:val="00C2502A"/>
    <w:rsid w:val="00C2505C"/>
    <w:rsid w:val="00C25067"/>
    <w:rsid w:val="00C25157"/>
    <w:rsid w:val="00C2515A"/>
    <w:rsid w:val="00C25543"/>
    <w:rsid w:val="00C25640"/>
    <w:rsid w:val="00C256A2"/>
    <w:rsid w:val="00C2574B"/>
    <w:rsid w:val="00C25916"/>
    <w:rsid w:val="00C25BBA"/>
    <w:rsid w:val="00C25C21"/>
    <w:rsid w:val="00C25D40"/>
    <w:rsid w:val="00C25FB4"/>
    <w:rsid w:val="00C2608C"/>
    <w:rsid w:val="00C2610B"/>
    <w:rsid w:val="00C262B0"/>
    <w:rsid w:val="00C2694E"/>
    <w:rsid w:val="00C26CC7"/>
    <w:rsid w:val="00C26D7D"/>
    <w:rsid w:val="00C26DED"/>
    <w:rsid w:val="00C2710A"/>
    <w:rsid w:val="00C275CD"/>
    <w:rsid w:val="00C27846"/>
    <w:rsid w:val="00C27863"/>
    <w:rsid w:val="00C27902"/>
    <w:rsid w:val="00C279B5"/>
    <w:rsid w:val="00C27B6F"/>
    <w:rsid w:val="00C27C19"/>
    <w:rsid w:val="00C27C45"/>
    <w:rsid w:val="00C30129"/>
    <w:rsid w:val="00C3015D"/>
    <w:rsid w:val="00C30469"/>
    <w:rsid w:val="00C304FE"/>
    <w:rsid w:val="00C3071E"/>
    <w:rsid w:val="00C307F5"/>
    <w:rsid w:val="00C3086B"/>
    <w:rsid w:val="00C308BB"/>
    <w:rsid w:val="00C30971"/>
    <w:rsid w:val="00C309E5"/>
    <w:rsid w:val="00C30AC5"/>
    <w:rsid w:val="00C30CEA"/>
    <w:rsid w:val="00C30E7B"/>
    <w:rsid w:val="00C315F4"/>
    <w:rsid w:val="00C31605"/>
    <w:rsid w:val="00C31AA5"/>
    <w:rsid w:val="00C31BE5"/>
    <w:rsid w:val="00C31D9D"/>
    <w:rsid w:val="00C31E26"/>
    <w:rsid w:val="00C31ED5"/>
    <w:rsid w:val="00C3217D"/>
    <w:rsid w:val="00C32489"/>
    <w:rsid w:val="00C3258C"/>
    <w:rsid w:val="00C326BB"/>
    <w:rsid w:val="00C32AB6"/>
    <w:rsid w:val="00C32C62"/>
    <w:rsid w:val="00C32EF2"/>
    <w:rsid w:val="00C32FAD"/>
    <w:rsid w:val="00C330A3"/>
    <w:rsid w:val="00C33243"/>
    <w:rsid w:val="00C3326B"/>
    <w:rsid w:val="00C3326C"/>
    <w:rsid w:val="00C3365B"/>
    <w:rsid w:val="00C339D9"/>
    <w:rsid w:val="00C33DCC"/>
    <w:rsid w:val="00C33DF2"/>
    <w:rsid w:val="00C33F52"/>
    <w:rsid w:val="00C3402E"/>
    <w:rsid w:val="00C34034"/>
    <w:rsid w:val="00C34279"/>
    <w:rsid w:val="00C34A09"/>
    <w:rsid w:val="00C34A64"/>
    <w:rsid w:val="00C34C0D"/>
    <w:rsid w:val="00C34FB1"/>
    <w:rsid w:val="00C350C2"/>
    <w:rsid w:val="00C356E1"/>
    <w:rsid w:val="00C356EF"/>
    <w:rsid w:val="00C35A7C"/>
    <w:rsid w:val="00C35C02"/>
    <w:rsid w:val="00C35F79"/>
    <w:rsid w:val="00C36183"/>
    <w:rsid w:val="00C3624D"/>
    <w:rsid w:val="00C36298"/>
    <w:rsid w:val="00C36644"/>
    <w:rsid w:val="00C36683"/>
    <w:rsid w:val="00C367F2"/>
    <w:rsid w:val="00C36917"/>
    <w:rsid w:val="00C36AC7"/>
    <w:rsid w:val="00C36FB1"/>
    <w:rsid w:val="00C3719D"/>
    <w:rsid w:val="00C37239"/>
    <w:rsid w:val="00C37417"/>
    <w:rsid w:val="00C37667"/>
    <w:rsid w:val="00C37754"/>
    <w:rsid w:val="00C3778D"/>
    <w:rsid w:val="00C378B2"/>
    <w:rsid w:val="00C37A2F"/>
    <w:rsid w:val="00C37A82"/>
    <w:rsid w:val="00C37AD8"/>
    <w:rsid w:val="00C37B9C"/>
    <w:rsid w:val="00C37CB2"/>
    <w:rsid w:val="00C37E27"/>
    <w:rsid w:val="00C37F30"/>
    <w:rsid w:val="00C4004B"/>
    <w:rsid w:val="00C40052"/>
    <w:rsid w:val="00C40171"/>
    <w:rsid w:val="00C403EF"/>
    <w:rsid w:val="00C406CE"/>
    <w:rsid w:val="00C4074D"/>
    <w:rsid w:val="00C40A94"/>
    <w:rsid w:val="00C40B4D"/>
    <w:rsid w:val="00C40D72"/>
    <w:rsid w:val="00C40D97"/>
    <w:rsid w:val="00C411A7"/>
    <w:rsid w:val="00C412F7"/>
    <w:rsid w:val="00C41536"/>
    <w:rsid w:val="00C415E3"/>
    <w:rsid w:val="00C41705"/>
    <w:rsid w:val="00C41738"/>
    <w:rsid w:val="00C41D28"/>
    <w:rsid w:val="00C41EDE"/>
    <w:rsid w:val="00C41FA7"/>
    <w:rsid w:val="00C421DF"/>
    <w:rsid w:val="00C42C9D"/>
    <w:rsid w:val="00C42E00"/>
    <w:rsid w:val="00C43139"/>
    <w:rsid w:val="00C4329F"/>
    <w:rsid w:val="00C4348B"/>
    <w:rsid w:val="00C435CE"/>
    <w:rsid w:val="00C4369A"/>
    <w:rsid w:val="00C436E6"/>
    <w:rsid w:val="00C43ACD"/>
    <w:rsid w:val="00C43BC1"/>
    <w:rsid w:val="00C43D82"/>
    <w:rsid w:val="00C4402F"/>
    <w:rsid w:val="00C4462F"/>
    <w:rsid w:val="00C447D8"/>
    <w:rsid w:val="00C44A17"/>
    <w:rsid w:val="00C44A83"/>
    <w:rsid w:val="00C44BC7"/>
    <w:rsid w:val="00C44BCA"/>
    <w:rsid w:val="00C44D87"/>
    <w:rsid w:val="00C44E0B"/>
    <w:rsid w:val="00C44EAA"/>
    <w:rsid w:val="00C44F12"/>
    <w:rsid w:val="00C44FAE"/>
    <w:rsid w:val="00C45058"/>
    <w:rsid w:val="00C451EA"/>
    <w:rsid w:val="00C45307"/>
    <w:rsid w:val="00C45351"/>
    <w:rsid w:val="00C45548"/>
    <w:rsid w:val="00C45829"/>
    <w:rsid w:val="00C459E2"/>
    <w:rsid w:val="00C45B6C"/>
    <w:rsid w:val="00C45CAE"/>
    <w:rsid w:val="00C45EAA"/>
    <w:rsid w:val="00C45FA9"/>
    <w:rsid w:val="00C4624B"/>
    <w:rsid w:val="00C46616"/>
    <w:rsid w:val="00C46934"/>
    <w:rsid w:val="00C46938"/>
    <w:rsid w:val="00C46A95"/>
    <w:rsid w:val="00C46B11"/>
    <w:rsid w:val="00C46C7C"/>
    <w:rsid w:val="00C46F2D"/>
    <w:rsid w:val="00C470A6"/>
    <w:rsid w:val="00C470AC"/>
    <w:rsid w:val="00C47315"/>
    <w:rsid w:val="00C4731F"/>
    <w:rsid w:val="00C473A5"/>
    <w:rsid w:val="00C47670"/>
    <w:rsid w:val="00C4769B"/>
    <w:rsid w:val="00C4798D"/>
    <w:rsid w:val="00C47D0C"/>
    <w:rsid w:val="00C47D7B"/>
    <w:rsid w:val="00C47EFF"/>
    <w:rsid w:val="00C50512"/>
    <w:rsid w:val="00C505FF"/>
    <w:rsid w:val="00C50B44"/>
    <w:rsid w:val="00C51340"/>
    <w:rsid w:val="00C51553"/>
    <w:rsid w:val="00C51BC9"/>
    <w:rsid w:val="00C51D7D"/>
    <w:rsid w:val="00C51EE8"/>
    <w:rsid w:val="00C51F04"/>
    <w:rsid w:val="00C520CC"/>
    <w:rsid w:val="00C52217"/>
    <w:rsid w:val="00C524F1"/>
    <w:rsid w:val="00C527EA"/>
    <w:rsid w:val="00C52A30"/>
    <w:rsid w:val="00C52BF0"/>
    <w:rsid w:val="00C52C7D"/>
    <w:rsid w:val="00C52C83"/>
    <w:rsid w:val="00C52CAD"/>
    <w:rsid w:val="00C52CFB"/>
    <w:rsid w:val="00C52FEF"/>
    <w:rsid w:val="00C531D7"/>
    <w:rsid w:val="00C53252"/>
    <w:rsid w:val="00C532AF"/>
    <w:rsid w:val="00C532BF"/>
    <w:rsid w:val="00C532F2"/>
    <w:rsid w:val="00C535AD"/>
    <w:rsid w:val="00C535D6"/>
    <w:rsid w:val="00C53643"/>
    <w:rsid w:val="00C53652"/>
    <w:rsid w:val="00C53665"/>
    <w:rsid w:val="00C536D4"/>
    <w:rsid w:val="00C53A45"/>
    <w:rsid w:val="00C53B19"/>
    <w:rsid w:val="00C53B32"/>
    <w:rsid w:val="00C53BB4"/>
    <w:rsid w:val="00C53C9B"/>
    <w:rsid w:val="00C53E1C"/>
    <w:rsid w:val="00C53EC9"/>
    <w:rsid w:val="00C5432E"/>
    <w:rsid w:val="00C54385"/>
    <w:rsid w:val="00C54894"/>
    <w:rsid w:val="00C5491F"/>
    <w:rsid w:val="00C54995"/>
    <w:rsid w:val="00C54D41"/>
    <w:rsid w:val="00C54F54"/>
    <w:rsid w:val="00C5548E"/>
    <w:rsid w:val="00C557D6"/>
    <w:rsid w:val="00C55895"/>
    <w:rsid w:val="00C559DF"/>
    <w:rsid w:val="00C55BBD"/>
    <w:rsid w:val="00C55DBE"/>
    <w:rsid w:val="00C56164"/>
    <w:rsid w:val="00C56325"/>
    <w:rsid w:val="00C5645D"/>
    <w:rsid w:val="00C568C2"/>
    <w:rsid w:val="00C56DE5"/>
    <w:rsid w:val="00C56F12"/>
    <w:rsid w:val="00C57149"/>
    <w:rsid w:val="00C57306"/>
    <w:rsid w:val="00C574B7"/>
    <w:rsid w:val="00C577D7"/>
    <w:rsid w:val="00C57A36"/>
    <w:rsid w:val="00C57BF9"/>
    <w:rsid w:val="00C57E76"/>
    <w:rsid w:val="00C60061"/>
    <w:rsid w:val="00C6032F"/>
    <w:rsid w:val="00C60767"/>
    <w:rsid w:val="00C60783"/>
    <w:rsid w:val="00C60BA5"/>
    <w:rsid w:val="00C60DBD"/>
    <w:rsid w:val="00C60DE7"/>
    <w:rsid w:val="00C60DF4"/>
    <w:rsid w:val="00C60E2E"/>
    <w:rsid w:val="00C60FBA"/>
    <w:rsid w:val="00C61341"/>
    <w:rsid w:val="00C6142F"/>
    <w:rsid w:val="00C619AE"/>
    <w:rsid w:val="00C61B45"/>
    <w:rsid w:val="00C61C8C"/>
    <w:rsid w:val="00C61C94"/>
    <w:rsid w:val="00C6208F"/>
    <w:rsid w:val="00C62153"/>
    <w:rsid w:val="00C622C7"/>
    <w:rsid w:val="00C62337"/>
    <w:rsid w:val="00C624CF"/>
    <w:rsid w:val="00C624D8"/>
    <w:rsid w:val="00C62568"/>
    <w:rsid w:val="00C625B6"/>
    <w:rsid w:val="00C626D0"/>
    <w:rsid w:val="00C627E5"/>
    <w:rsid w:val="00C628F8"/>
    <w:rsid w:val="00C62977"/>
    <w:rsid w:val="00C629AC"/>
    <w:rsid w:val="00C62A31"/>
    <w:rsid w:val="00C62AAD"/>
    <w:rsid w:val="00C62C42"/>
    <w:rsid w:val="00C62EDF"/>
    <w:rsid w:val="00C62F13"/>
    <w:rsid w:val="00C631D1"/>
    <w:rsid w:val="00C631D4"/>
    <w:rsid w:val="00C631FB"/>
    <w:rsid w:val="00C6351F"/>
    <w:rsid w:val="00C63580"/>
    <w:rsid w:val="00C635B3"/>
    <w:rsid w:val="00C63ADF"/>
    <w:rsid w:val="00C63AEF"/>
    <w:rsid w:val="00C64145"/>
    <w:rsid w:val="00C64672"/>
    <w:rsid w:val="00C6488D"/>
    <w:rsid w:val="00C648D4"/>
    <w:rsid w:val="00C648E9"/>
    <w:rsid w:val="00C64934"/>
    <w:rsid w:val="00C64949"/>
    <w:rsid w:val="00C64AD1"/>
    <w:rsid w:val="00C64AEE"/>
    <w:rsid w:val="00C64C8B"/>
    <w:rsid w:val="00C64F8F"/>
    <w:rsid w:val="00C65067"/>
    <w:rsid w:val="00C652EA"/>
    <w:rsid w:val="00C654B6"/>
    <w:rsid w:val="00C65596"/>
    <w:rsid w:val="00C6566C"/>
    <w:rsid w:val="00C657CE"/>
    <w:rsid w:val="00C657E0"/>
    <w:rsid w:val="00C6580F"/>
    <w:rsid w:val="00C65CD0"/>
    <w:rsid w:val="00C65D17"/>
    <w:rsid w:val="00C65E82"/>
    <w:rsid w:val="00C66435"/>
    <w:rsid w:val="00C66517"/>
    <w:rsid w:val="00C66BBD"/>
    <w:rsid w:val="00C66C38"/>
    <w:rsid w:val="00C66D15"/>
    <w:rsid w:val="00C66D3C"/>
    <w:rsid w:val="00C66E1E"/>
    <w:rsid w:val="00C670F9"/>
    <w:rsid w:val="00C671DF"/>
    <w:rsid w:val="00C6789F"/>
    <w:rsid w:val="00C67ADA"/>
    <w:rsid w:val="00C67B3A"/>
    <w:rsid w:val="00C67BC7"/>
    <w:rsid w:val="00C67BD4"/>
    <w:rsid w:val="00C67BF3"/>
    <w:rsid w:val="00C67DA7"/>
    <w:rsid w:val="00C67F9B"/>
    <w:rsid w:val="00C700DF"/>
    <w:rsid w:val="00C70125"/>
    <w:rsid w:val="00C7012D"/>
    <w:rsid w:val="00C705EC"/>
    <w:rsid w:val="00C70697"/>
    <w:rsid w:val="00C7081F"/>
    <w:rsid w:val="00C70BE9"/>
    <w:rsid w:val="00C70F85"/>
    <w:rsid w:val="00C70FD1"/>
    <w:rsid w:val="00C7112A"/>
    <w:rsid w:val="00C71178"/>
    <w:rsid w:val="00C71281"/>
    <w:rsid w:val="00C7139F"/>
    <w:rsid w:val="00C713D3"/>
    <w:rsid w:val="00C713E4"/>
    <w:rsid w:val="00C716D1"/>
    <w:rsid w:val="00C717D6"/>
    <w:rsid w:val="00C72093"/>
    <w:rsid w:val="00C724BB"/>
    <w:rsid w:val="00C729F4"/>
    <w:rsid w:val="00C72D32"/>
    <w:rsid w:val="00C72EF4"/>
    <w:rsid w:val="00C730BB"/>
    <w:rsid w:val="00C732B8"/>
    <w:rsid w:val="00C73324"/>
    <w:rsid w:val="00C7365B"/>
    <w:rsid w:val="00C736AF"/>
    <w:rsid w:val="00C73880"/>
    <w:rsid w:val="00C73A0C"/>
    <w:rsid w:val="00C73FF2"/>
    <w:rsid w:val="00C74013"/>
    <w:rsid w:val="00C74239"/>
    <w:rsid w:val="00C742BF"/>
    <w:rsid w:val="00C744FE"/>
    <w:rsid w:val="00C74C3E"/>
    <w:rsid w:val="00C74F0B"/>
    <w:rsid w:val="00C7530E"/>
    <w:rsid w:val="00C75495"/>
    <w:rsid w:val="00C75582"/>
    <w:rsid w:val="00C75810"/>
    <w:rsid w:val="00C758C3"/>
    <w:rsid w:val="00C75B37"/>
    <w:rsid w:val="00C75C0B"/>
    <w:rsid w:val="00C75C37"/>
    <w:rsid w:val="00C75C65"/>
    <w:rsid w:val="00C75D2F"/>
    <w:rsid w:val="00C75FE3"/>
    <w:rsid w:val="00C7617F"/>
    <w:rsid w:val="00C7626C"/>
    <w:rsid w:val="00C763D9"/>
    <w:rsid w:val="00C764A5"/>
    <w:rsid w:val="00C764D5"/>
    <w:rsid w:val="00C767AA"/>
    <w:rsid w:val="00C767BE"/>
    <w:rsid w:val="00C768A9"/>
    <w:rsid w:val="00C76C58"/>
    <w:rsid w:val="00C76D0C"/>
    <w:rsid w:val="00C76E3C"/>
    <w:rsid w:val="00C77190"/>
    <w:rsid w:val="00C771C7"/>
    <w:rsid w:val="00C7741A"/>
    <w:rsid w:val="00C77598"/>
    <w:rsid w:val="00C775B9"/>
    <w:rsid w:val="00C77684"/>
    <w:rsid w:val="00C77775"/>
    <w:rsid w:val="00C777DC"/>
    <w:rsid w:val="00C7781F"/>
    <w:rsid w:val="00C779B8"/>
    <w:rsid w:val="00C77A32"/>
    <w:rsid w:val="00C77A6A"/>
    <w:rsid w:val="00C77A7E"/>
    <w:rsid w:val="00C77ABE"/>
    <w:rsid w:val="00C77C22"/>
    <w:rsid w:val="00C77E4B"/>
    <w:rsid w:val="00C8009A"/>
    <w:rsid w:val="00C8011B"/>
    <w:rsid w:val="00C8029F"/>
    <w:rsid w:val="00C80379"/>
    <w:rsid w:val="00C804DC"/>
    <w:rsid w:val="00C80515"/>
    <w:rsid w:val="00C806FC"/>
    <w:rsid w:val="00C8086C"/>
    <w:rsid w:val="00C809CA"/>
    <w:rsid w:val="00C809CE"/>
    <w:rsid w:val="00C80BB9"/>
    <w:rsid w:val="00C814F9"/>
    <w:rsid w:val="00C81568"/>
    <w:rsid w:val="00C816E4"/>
    <w:rsid w:val="00C81A7A"/>
    <w:rsid w:val="00C81AF5"/>
    <w:rsid w:val="00C81B0F"/>
    <w:rsid w:val="00C8209D"/>
    <w:rsid w:val="00C820DA"/>
    <w:rsid w:val="00C8234B"/>
    <w:rsid w:val="00C824B0"/>
    <w:rsid w:val="00C8263E"/>
    <w:rsid w:val="00C828F7"/>
    <w:rsid w:val="00C82B63"/>
    <w:rsid w:val="00C82D95"/>
    <w:rsid w:val="00C82E82"/>
    <w:rsid w:val="00C83057"/>
    <w:rsid w:val="00C83100"/>
    <w:rsid w:val="00C8317C"/>
    <w:rsid w:val="00C831A4"/>
    <w:rsid w:val="00C83343"/>
    <w:rsid w:val="00C8367F"/>
    <w:rsid w:val="00C83748"/>
    <w:rsid w:val="00C8385E"/>
    <w:rsid w:val="00C839BD"/>
    <w:rsid w:val="00C83D14"/>
    <w:rsid w:val="00C83EDB"/>
    <w:rsid w:val="00C83F0F"/>
    <w:rsid w:val="00C840EA"/>
    <w:rsid w:val="00C84323"/>
    <w:rsid w:val="00C84324"/>
    <w:rsid w:val="00C84401"/>
    <w:rsid w:val="00C844E1"/>
    <w:rsid w:val="00C849AA"/>
    <w:rsid w:val="00C84B15"/>
    <w:rsid w:val="00C84DEE"/>
    <w:rsid w:val="00C84FB2"/>
    <w:rsid w:val="00C8509F"/>
    <w:rsid w:val="00C85285"/>
    <w:rsid w:val="00C8530E"/>
    <w:rsid w:val="00C85569"/>
    <w:rsid w:val="00C855FE"/>
    <w:rsid w:val="00C85B51"/>
    <w:rsid w:val="00C85BA6"/>
    <w:rsid w:val="00C85D56"/>
    <w:rsid w:val="00C85E51"/>
    <w:rsid w:val="00C85E5F"/>
    <w:rsid w:val="00C85EA3"/>
    <w:rsid w:val="00C85EDB"/>
    <w:rsid w:val="00C86136"/>
    <w:rsid w:val="00C8663D"/>
    <w:rsid w:val="00C8677E"/>
    <w:rsid w:val="00C86B79"/>
    <w:rsid w:val="00C86C4E"/>
    <w:rsid w:val="00C87096"/>
    <w:rsid w:val="00C8723C"/>
    <w:rsid w:val="00C8740A"/>
    <w:rsid w:val="00C875C1"/>
    <w:rsid w:val="00C8762C"/>
    <w:rsid w:val="00C876E9"/>
    <w:rsid w:val="00C877C9"/>
    <w:rsid w:val="00C87B8E"/>
    <w:rsid w:val="00C87C44"/>
    <w:rsid w:val="00C87D46"/>
    <w:rsid w:val="00C87D4C"/>
    <w:rsid w:val="00C87D7F"/>
    <w:rsid w:val="00C87F79"/>
    <w:rsid w:val="00C9027A"/>
    <w:rsid w:val="00C904B0"/>
    <w:rsid w:val="00C9068E"/>
    <w:rsid w:val="00C9069F"/>
    <w:rsid w:val="00C90858"/>
    <w:rsid w:val="00C909C1"/>
    <w:rsid w:val="00C90D1F"/>
    <w:rsid w:val="00C90E40"/>
    <w:rsid w:val="00C90ED6"/>
    <w:rsid w:val="00C90F18"/>
    <w:rsid w:val="00C90F84"/>
    <w:rsid w:val="00C913C9"/>
    <w:rsid w:val="00C9147F"/>
    <w:rsid w:val="00C914AC"/>
    <w:rsid w:val="00C915FF"/>
    <w:rsid w:val="00C91641"/>
    <w:rsid w:val="00C91796"/>
    <w:rsid w:val="00C918AB"/>
    <w:rsid w:val="00C91A6E"/>
    <w:rsid w:val="00C91C65"/>
    <w:rsid w:val="00C91F10"/>
    <w:rsid w:val="00C91F6C"/>
    <w:rsid w:val="00C9208D"/>
    <w:rsid w:val="00C92093"/>
    <w:rsid w:val="00C9260A"/>
    <w:rsid w:val="00C92657"/>
    <w:rsid w:val="00C926DE"/>
    <w:rsid w:val="00C92ADA"/>
    <w:rsid w:val="00C92B03"/>
    <w:rsid w:val="00C92B0E"/>
    <w:rsid w:val="00C92F45"/>
    <w:rsid w:val="00C92F71"/>
    <w:rsid w:val="00C933D1"/>
    <w:rsid w:val="00C93481"/>
    <w:rsid w:val="00C93620"/>
    <w:rsid w:val="00C937D1"/>
    <w:rsid w:val="00C93814"/>
    <w:rsid w:val="00C93A65"/>
    <w:rsid w:val="00C93C30"/>
    <w:rsid w:val="00C93C4B"/>
    <w:rsid w:val="00C93D6D"/>
    <w:rsid w:val="00C93E74"/>
    <w:rsid w:val="00C9414E"/>
    <w:rsid w:val="00C94160"/>
    <w:rsid w:val="00C94231"/>
    <w:rsid w:val="00C944AB"/>
    <w:rsid w:val="00C9463B"/>
    <w:rsid w:val="00C94851"/>
    <w:rsid w:val="00C948AE"/>
    <w:rsid w:val="00C94EB7"/>
    <w:rsid w:val="00C9505E"/>
    <w:rsid w:val="00C950E0"/>
    <w:rsid w:val="00C9512E"/>
    <w:rsid w:val="00C9518E"/>
    <w:rsid w:val="00C9548C"/>
    <w:rsid w:val="00C955A9"/>
    <w:rsid w:val="00C955EF"/>
    <w:rsid w:val="00C95A5E"/>
    <w:rsid w:val="00C95B40"/>
    <w:rsid w:val="00C95B7A"/>
    <w:rsid w:val="00C95E3A"/>
    <w:rsid w:val="00C95F0C"/>
    <w:rsid w:val="00C960F8"/>
    <w:rsid w:val="00C961B9"/>
    <w:rsid w:val="00C962F4"/>
    <w:rsid w:val="00C963AA"/>
    <w:rsid w:val="00C963C8"/>
    <w:rsid w:val="00C9651A"/>
    <w:rsid w:val="00C965CF"/>
    <w:rsid w:val="00C966AE"/>
    <w:rsid w:val="00C9684E"/>
    <w:rsid w:val="00C96A7C"/>
    <w:rsid w:val="00C96B20"/>
    <w:rsid w:val="00C96B40"/>
    <w:rsid w:val="00C96BFE"/>
    <w:rsid w:val="00C96C52"/>
    <w:rsid w:val="00C96C6D"/>
    <w:rsid w:val="00C9725D"/>
    <w:rsid w:val="00C97276"/>
    <w:rsid w:val="00C972EA"/>
    <w:rsid w:val="00C9770F"/>
    <w:rsid w:val="00C9773A"/>
    <w:rsid w:val="00C97897"/>
    <w:rsid w:val="00C978BD"/>
    <w:rsid w:val="00C97D71"/>
    <w:rsid w:val="00C97F48"/>
    <w:rsid w:val="00C97F65"/>
    <w:rsid w:val="00CA00EB"/>
    <w:rsid w:val="00CA04FA"/>
    <w:rsid w:val="00CA0542"/>
    <w:rsid w:val="00CA07AF"/>
    <w:rsid w:val="00CA094A"/>
    <w:rsid w:val="00CA0D2C"/>
    <w:rsid w:val="00CA0DFB"/>
    <w:rsid w:val="00CA0F5B"/>
    <w:rsid w:val="00CA0F85"/>
    <w:rsid w:val="00CA11A4"/>
    <w:rsid w:val="00CA1379"/>
    <w:rsid w:val="00CA1400"/>
    <w:rsid w:val="00CA1432"/>
    <w:rsid w:val="00CA1573"/>
    <w:rsid w:val="00CA1876"/>
    <w:rsid w:val="00CA1B3A"/>
    <w:rsid w:val="00CA1D28"/>
    <w:rsid w:val="00CA1DCC"/>
    <w:rsid w:val="00CA1E6A"/>
    <w:rsid w:val="00CA1ED8"/>
    <w:rsid w:val="00CA1FF0"/>
    <w:rsid w:val="00CA21CA"/>
    <w:rsid w:val="00CA23ED"/>
    <w:rsid w:val="00CA2736"/>
    <w:rsid w:val="00CA2916"/>
    <w:rsid w:val="00CA2917"/>
    <w:rsid w:val="00CA2C31"/>
    <w:rsid w:val="00CA2F4F"/>
    <w:rsid w:val="00CA317E"/>
    <w:rsid w:val="00CA3374"/>
    <w:rsid w:val="00CA3697"/>
    <w:rsid w:val="00CA36F6"/>
    <w:rsid w:val="00CA37FE"/>
    <w:rsid w:val="00CA3ACF"/>
    <w:rsid w:val="00CA3C50"/>
    <w:rsid w:val="00CA3DF8"/>
    <w:rsid w:val="00CA3F11"/>
    <w:rsid w:val="00CA3F16"/>
    <w:rsid w:val="00CA42E1"/>
    <w:rsid w:val="00CA46D6"/>
    <w:rsid w:val="00CA4BED"/>
    <w:rsid w:val="00CA4CD8"/>
    <w:rsid w:val="00CA4E98"/>
    <w:rsid w:val="00CA4F2D"/>
    <w:rsid w:val="00CA50C8"/>
    <w:rsid w:val="00CA562B"/>
    <w:rsid w:val="00CA57F9"/>
    <w:rsid w:val="00CA5C14"/>
    <w:rsid w:val="00CA6459"/>
    <w:rsid w:val="00CA6618"/>
    <w:rsid w:val="00CA6A9B"/>
    <w:rsid w:val="00CA6B3A"/>
    <w:rsid w:val="00CA6E67"/>
    <w:rsid w:val="00CA739E"/>
    <w:rsid w:val="00CA73A5"/>
    <w:rsid w:val="00CA7753"/>
    <w:rsid w:val="00CA788F"/>
    <w:rsid w:val="00CA7CBF"/>
    <w:rsid w:val="00CA7D60"/>
    <w:rsid w:val="00CA7DD7"/>
    <w:rsid w:val="00CA7F72"/>
    <w:rsid w:val="00CB00DE"/>
    <w:rsid w:val="00CB01DA"/>
    <w:rsid w:val="00CB04CE"/>
    <w:rsid w:val="00CB059C"/>
    <w:rsid w:val="00CB0682"/>
    <w:rsid w:val="00CB0693"/>
    <w:rsid w:val="00CB0822"/>
    <w:rsid w:val="00CB0934"/>
    <w:rsid w:val="00CB0ABE"/>
    <w:rsid w:val="00CB0B0D"/>
    <w:rsid w:val="00CB1225"/>
    <w:rsid w:val="00CB1300"/>
    <w:rsid w:val="00CB153C"/>
    <w:rsid w:val="00CB1E2B"/>
    <w:rsid w:val="00CB1F63"/>
    <w:rsid w:val="00CB1F88"/>
    <w:rsid w:val="00CB220B"/>
    <w:rsid w:val="00CB2766"/>
    <w:rsid w:val="00CB28F7"/>
    <w:rsid w:val="00CB2A50"/>
    <w:rsid w:val="00CB2BD8"/>
    <w:rsid w:val="00CB2D62"/>
    <w:rsid w:val="00CB30F3"/>
    <w:rsid w:val="00CB3103"/>
    <w:rsid w:val="00CB32F0"/>
    <w:rsid w:val="00CB32F9"/>
    <w:rsid w:val="00CB3335"/>
    <w:rsid w:val="00CB37E0"/>
    <w:rsid w:val="00CB38E8"/>
    <w:rsid w:val="00CB39E1"/>
    <w:rsid w:val="00CB3A25"/>
    <w:rsid w:val="00CB3BA4"/>
    <w:rsid w:val="00CB3BDB"/>
    <w:rsid w:val="00CB3D16"/>
    <w:rsid w:val="00CB3E1D"/>
    <w:rsid w:val="00CB40DB"/>
    <w:rsid w:val="00CB40FB"/>
    <w:rsid w:val="00CB4124"/>
    <w:rsid w:val="00CB437A"/>
    <w:rsid w:val="00CB4470"/>
    <w:rsid w:val="00CB46A7"/>
    <w:rsid w:val="00CB4BB6"/>
    <w:rsid w:val="00CB4BD8"/>
    <w:rsid w:val="00CB4CC9"/>
    <w:rsid w:val="00CB4F8C"/>
    <w:rsid w:val="00CB5327"/>
    <w:rsid w:val="00CB5558"/>
    <w:rsid w:val="00CB569C"/>
    <w:rsid w:val="00CB5728"/>
    <w:rsid w:val="00CB5B7A"/>
    <w:rsid w:val="00CB5BA2"/>
    <w:rsid w:val="00CB5C0A"/>
    <w:rsid w:val="00CB5CB5"/>
    <w:rsid w:val="00CB617D"/>
    <w:rsid w:val="00CB6290"/>
    <w:rsid w:val="00CB6822"/>
    <w:rsid w:val="00CB69CE"/>
    <w:rsid w:val="00CB6A85"/>
    <w:rsid w:val="00CB6C2B"/>
    <w:rsid w:val="00CB6DE7"/>
    <w:rsid w:val="00CB7170"/>
    <w:rsid w:val="00CB79FE"/>
    <w:rsid w:val="00CB7E14"/>
    <w:rsid w:val="00CB7FEA"/>
    <w:rsid w:val="00CC040E"/>
    <w:rsid w:val="00CC04E4"/>
    <w:rsid w:val="00CC052B"/>
    <w:rsid w:val="00CC0601"/>
    <w:rsid w:val="00CC06A5"/>
    <w:rsid w:val="00CC06BF"/>
    <w:rsid w:val="00CC094A"/>
    <w:rsid w:val="00CC0A95"/>
    <w:rsid w:val="00CC0AB1"/>
    <w:rsid w:val="00CC0ABF"/>
    <w:rsid w:val="00CC0B5F"/>
    <w:rsid w:val="00CC0B8E"/>
    <w:rsid w:val="00CC0BC5"/>
    <w:rsid w:val="00CC0CED"/>
    <w:rsid w:val="00CC0D6A"/>
    <w:rsid w:val="00CC0F65"/>
    <w:rsid w:val="00CC0FF6"/>
    <w:rsid w:val="00CC111F"/>
    <w:rsid w:val="00CC11B6"/>
    <w:rsid w:val="00CC120E"/>
    <w:rsid w:val="00CC1851"/>
    <w:rsid w:val="00CC18FB"/>
    <w:rsid w:val="00CC1AAA"/>
    <w:rsid w:val="00CC1C0C"/>
    <w:rsid w:val="00CC1DAD"/>
    <w:rsid w:val="00CC1FB1"/>
    <w:rsid w:val="00CC2011"/>
    <w:rsid w:val="00CC2042"/>
    <w:rsid w:val="00CC204D"/>
    <w:rsid w:val="00CC20E1"/>
    <w:rsid w:val="00CC23B3"/>
    <w:rsid w:val="00CC261F"/>
    <w:rsid w:val="00CC2AF9"/>
    <w:rsid w:val="00CC2BCF"/>
    <w:rsid w:val="00CC2BEF"/>
    <w:rsid w:val="00CC2D40"/>
    <w:rsid w:val="00CC2E5F"/>
    <w:rsid w:val="00CC3099"/>
    <w:rsid w:val="00CC3440"/>
    <w:rsid w:val="00CC3483"/>
    <w:rsid w:val="00CC37B5"/>
    <w:rsid w:val="00CC3831"/>
    <w:rsid w:val="00CC39BF"/>
    <w:rsid w:val="00CC3AFD"/>
    <w:rsid w:val="00CC3D18"/>
    <w:rsid w:val="00CC3D66"/>
    <w:rsid w:val="00CC3EA0"/>
    <w:rsid w:val="00CC3F06"/>
    <w:rsid w:val="00CC4288"/>
    <w:rsid w:val="00CC438B"/>
    <w:rsid w:val="00CC483D"/>
    <w:rsid w:val="00CC48BB"/>
    <w:rsid w:val="00CC49C1"/>
    <w:rsid w:val="00CC4A53"/>
    <w:rsid w:val="00CC4C4C"/>
    <w:rsid w:val="00CC4DC6"/>
    <w:rsid w:val="00CC4F8E"/>
    <w:rsid w:val="00CC5180"/>
    <w:rsid w:val="00CC51F1"/>
    <w:rsid w:val="00CC51FC"/>
    <w:rsid w:val="00CC52CC"/>
    <w:rsid w:val="00CC5377"/>
    <w:rsid w:val="00CC5857"/>
    <w:rsid w:val="00CC592D"/>
    <w:rsid w:val="00CC5B16"/>
    <w:rsid w:val="00CC5C9E"/>
    <w:rsid w:val="00CC5DA4"/>
    <w:rsid w:val="00CC6148"/>
    <w:rsid w:val="00CC63CE"/>
    <w:rsid w:val="00CC66DD"/>
    <w:rsid w:val="00CC6756"/>
    <w:rsid w:val="00CC6CA2"/>
    <w:rsid w:val="00CC7106"/>
    <w:rsid w:val="00CC7394"/>
    <w:rsid w:val="00CC74AD"/>
    <w:rsid w:val="00CC754F"/>
    <w:rsid w:val="00CC79D4"/>
    <w:rsid w:val="00CC7B45"/>
    <w:rsid w:val="00CC7CB4"/>
    <w:rsid w:val="00CD086C"/>
    <w:rsid w:val="00CD0993"/>
    <w:rsid w:val="00CD09B2"/>
    <w:rsid w:val="00CD0B6B"/>
    <w:rsid w:val="00CD0CDB"/>
    <w:rsid w:val="00CD0D8D"/>
    <w:rsid w:val="00CD0E28"/>
    <w:rsid w:val="00CD1188"/>
    <w:rsid w:val="00CD11A1"/>
    <w:rsid w:val="00CD125A"/>
    <w:rsid w:val="00CD1347"/>
    <w:rsid w:val="00CD13A6"/>
    <w:rsid w:val="00CD14A4"/>
    <w:rsid w:val="00CD1673"/>
    <w:rsid w:val="00CD1806"/>
    <w:rsid w:val="00CD19E7"/>
    <w:rsid w:val="00CD1AD3"/>
    <w:rsid w:val="00CD1ADD"/>
    <w:rsid w:val="00CD1C02"/>
    <w:rsid w:val="00CD1DC6"/>
    <w:rsid w:val="00CD1F34"/>
    <w:rsid w:val="00CD1F8E"/>
    <w:rsid w:val="00CD22A6"/>
    <w:rsid w:val="00CD2994"/>
    <w:rsid w:val="00CD2A65"/>
    <w:rsid w:val="00CD2AEC"/>
    <w:rsid w:val="00CD2ED1"/>
    <w:rsid w:val="00CD3349"/>
    <w:rsid w:val="00CD337B"/>
    <w:rsid w:val="00CD343E"/>
    <w:rsid w:val="00CD345F"/>
    <w:rsid w:val="00CD352B"/>
    <w:rsid w:val="00CD35C6"/>
    <w:rsid w:val="00CD38D4"/>
    <w:rsid w:val="00CD3A3A"/>
    <w:rsid w:val="00CD3C95"/>
    <w:rsid w:val="00CD3E69"/>
    <w:rsid w:val="00CD40B6"/>
    <w:rsid w:val="00CD4273"/>
    <w:rsid w:val="00CD42E4"/>
    <w:rsid w:val="00CD4349"/>
    <w:rsid w:val="00CD443A"/>
    <w:rsid w:val="00CD4661"/>
    <w:rsid w:val="00CD49E1"/>
    <w:rsid w:val="00CD4B3F"/>
    <w:rsid w:val="00CD4BBF"/>
    <w:rsid w:val="00CD4C23"/>
    <w:rsid w:val="00CD4D59"/>
    <w:rsid w:val="00CD4F53"/>
    <w:rsid w:val="00CD4F5C"/>
    <w:rsid w:val="00CD5195"/>
    <w:rsid w:val="00CD51F2"/>
    <w:rsid w:val="00CD5371"/>
    <w:rsid w:val="00CD5591"/>
    <w:rsid w:val="00CD58C6"/>
    <w:rsid w:val="00CD59F9"/>
    <w:rsid w:val="00CD5BCF"/>
    <w:rsid w:val="00CD5C44"/>
    <w:rsid w:val="00CD5CE6"/>
    <w:rsid w:val="00CD5D8C"/>
    <w:rsid w:val="00CD5F67"/>
    <w:rsid w:val="00CD5F7E"/>
    <w:rsid w:val="00CD6110"/>
    <w:rsid w:val="00CD617B"/>
    <w:rsid w:val="00CD6461"/>
    <w:rsid w:val="00CD6511"/>
    <w:rsid w:val="00CD66A0"/>
    <w:rsid w:val="00CD66B4"/>
    <w:rsid w:val="00CD6901"/>
    <w:rsid w:val="00CD6B1D"/>
    <w:rsid w:val="00CD6D7A"/>
    <w:rsid w:val="00CD6F4A"/>
    <w:rsid w:val="00CD6FAF"/>
    <w:rsid w:val="00CD6FB8"/>
    <w:rsid w:val="00CD72F0"/>
    <w:rsid w:val="00CD75AA"/>
    <w:rsid w:val="00CD770E"/>
    <w:rsid w:val="00CD77DD"/>
    <w:rsid w:val="00CD78EF"/>
    <w:rsid w:val="00CD79F6"/>
    <w:rsid w:val="00CD7BF4"/>
    <w:rsid w:val="00CD7E00"/>
    <w:rsid w:val="00CD7FDF"/>
    <w:rsid w:val="00CE0110"/>
    <w:rsid w:val="00CE0114"/>
    <w:rsid w:val="00CE0124"/>
    <w:rsid w:val="00CE0412"/>
    <w:rsid w:val="00CE0424"/>
    <w:rsid w:val="00CE055B"/>
    <w:rsid w:val="00CE0769"/>
    <w:rsid w:val="00CE080B"/>
    <w:rsid w:val="00CE1123"/>
    <w:rsid w:val="00CE1206"/>
    <w:rsid w:val="00CE120C"/>
    <w:rsid w:val="00CE1392"/>
    <w:rsid w:val="00CE1882"/>
    <w:rsid w:val="00CE1AA9"/>
    <w:rsid w:val="00CE1BB8"/>
    <w:rsid w:val="00CE1C3B"/>
    <w:rsid w:val="00CE1C7D"/>
    <w:rsid w:val="00CE1D06"/>
    <w:rsid w:val="00CE1D41"/>
    <w:rsid w:val="00CE2085"/>
    <w:rsid w:val="00CE2186"/>
    <w:rsid w:val="00CE21AB"/>
    <w:rsid w:val="00CE22B2"/>
    <w:rsid w:val="00CE230C"/>
    <w:rsid w:val="00CE2796"/>
    <w:rsid w:val="00CE2886"/>
    <w:rsid w:val="00CE292F"/>
    <w:rsid w:val="00CE2F6F"/>
    <w:rsid w:val="00CE2FD7"/>
    <w:rsid w:val="00CE3318"/>
    <w:rsid w:val="00CE33B3"/>
    <w:rsid w:val="00CE36D3"/>
    <w:rsid w:val="00CE37B4"/>
    <w:rsid w:val="00CE37DA"/>
    <w:rsid w:val="00CE392D"/>
    <w:rsid w:val="00CE3AB3"/>
    <w:rsid w:val="00CE3C46"/>
    <w:rsid w:val="00CE3E11"/>
    <w:rsid w:val="00CE3FBA"/>
    <w:rsid w:val="00CE418D"/>
    <w:rsid w:val="00CE4736"/>
    <w:rsid w:val="00CE486A"/>
    <w:rsid w:val="00CE4871"/>
    <w:rsid w:val="00CE49C5"/>
    <w:rsid w:val="00CE4ACC"/>
    <w:rsid w:val="00CE4F9E"/>
    <w:rsid w:val="00CE4FD9"/>
    <w:rsid w:val="00CE515B"/>
    <w:rsid w:val="00CE517D"/>
    <w:rsid w:val="00CE52E1"/>
    <w:rsid w:val="00CE53C0"/>
    <w:rsid w:val="00CE541A"/>
    <w:rsid w:val="00CE5423"/>
    <w:rsid w:val="00CE5648"/>
    <w:rsid w:val="00CE5748"/>
    <w:rsid w:val="00CE5804"/>
    <w:rsid w:val="00CE5846"/>
    <w:rsid w:val="00CE5A01"/>
    <w:rsid w:val="00CE5D14"/>
    <w:rsid w:val="00CE6078"/>
    <w:rsid w:val="00CE620D"/>
    <w:rsid w:val="00CE6330"/>
    <w:rsid w:val="00CE64F7"/>
    <w:rsid w:val="00CE66BF"/>
    <w:rsid w:val="00CE69E6"/>
    <w:rsid w:val="00CE6D11"/>
    <w:rsid w:val="00CE6D2D"/>
    <w:rsid w:val="00CE7172"/>
    <w:rsid w:val="00CE718C"/>
    <w:rsid w:val="00CE71F3"/>
    <w:rsid w:val="00CE73D5"/>
    <w:rsid w:val="00CE7561"/>
    <w:rsid w:val="00CE769C"/>
    <w:rsid w:val="00CE76F8"/>
    <w:rsid w:val="00CE7AAB"/>
    <w:rsid w:val="00CE7D00"/>
    <w:rsid w:val="00CE7D24"/>
    <w:rsid w:val="00CE7E86"/>
    <w:rsid w:val="00CE7F57"/>
    <w:rsid w:val="00CF0226"/>
    <w:rsid w:val="00CF069E"/>
    <w:rsid w:val="00CF0B95"/>
    <w:rsid w:val="00CF0F60"/>
    <w:rsid w:val="00CF111A"/>
    <w:rsid w:val="00CF1354"/>
    <w:rsid w:val="00CF13CC"/>
    <w:rsid w:val="00CF150D"/>
    <w:rsid w:val="00CF1B61"/>
    <w:rsid w:val="00CF24CA"/>
    <w:rsid w:val="00CF281A"/>
    <w:rsid w:val="00CF2A3B"/>
    <w:rsid w:val="00CF2B35"/>
    <w:rsid w:val="00CF2D02"/>
    <w:rsid w:val="00CF2DD3"/>
    <w:rsid w:val="00CF3037"/>
    <w:rsid w:val="00CF31A3"/>
    <w:rsid w:val="00CF353B"/>
    <w:rsid w:val="00CF3899"/>
    <w:rsid w:val="00CF38CF"/>
    <w:rsid w:val="00CF38DB"/>
    <w:rsid w:val="00CF3924"/>
    <w:rsid w:val="00CF3B1F"/>
    <w:rsid w:val="00CF3B74"/>
    <w:rsid w:val="00CF3BA3"/>
    <w:rsid w:val="00CF3BE8"/>
    <w:rsid w:val="00CF3BF6"/>
    <w:rsid w:val="00CF3DD5"/>
    <w:rsid w:val="00CF3F89"/>
    <w:rsid w:val="00CF4266"/>
    <w:rsid w:val="00CF42C5"/>
    <w:rsid w:val="00CF4334"/>
    <w:rsid w:val="00CF4380"/>
    <w:rsid w:val="00CF4470"/>
    <w:rsid w:val="00CF495B"/>
    <w:rsid w:val="00CF4A93"/>
    <w:rsid w:val="00CF4B89"/>
    <w:rsid w:val="00CF4C2E"/>
    <w:rsid w:val="00CF4EA8"/>
    <w:rsid w:val="00CF537B"/>
    <w:rsid w:val="00CF550C"/>
    <w:rsid w:val="00CF57BF"/>
    <w:rsid w:val="00CF58C3"/>
    <w:rsid w:val="00CF5A79"/>
    <w:rsid w:val="00CF5B90"/>
    <w:rsid w:val="00CF5D15"/>
    <w:rsid w:val="00CF5E4A"/>
    <w:rsid w:val="00CF5F51"/>
    <w:rsid w:val="00CF60FF"/>
    <w:rsid w:val="00CF6145"/>
    <w:rsid w:val="00CF625B"/>
    <w:rsid w:val="00CF64BE"/>
    <w:rsid w:val="00CF66BA"/>
    <w:rsid w:val="00CF687E"/>
    <w:rsid w:val="00CF6A12"/>
    <w:rsid w:val="00CF6EC4"/>
    <w:rsid w:val="00CF6F16"/>
    <w:rsid w:val="00CF6FDD"/>
    <w:rsid w:val="00CF7006"/>
    <w:rsid w:val="00CF740F"/>
    <w:rsid w:val="00CF7433"/>
    <w:rsid w:val="00CF75DE"/>
    <w:rsid w:val="00CF75DF"/>
    <w:rsid w:val="00CF7692"/>
    <w:rsid w:val="00CF76ED"/>
    <w:rsid w:val="00CF780C"/>
    <w:rsid w:val="00CF7AF5"/>
    <w:rsid w:val="00CF7B65"/>
    <w:rsid w:val="00CF7BFD"/>
    <w:rsid w:val="00CF7C84"/>
    <w:rsid w:val="00CF7E5C"/>
    <w:rsid w:val="00D002E0"/>
    <w:rsid w:val="00D002E2"/>
    <w:rsid w:val="00D00329"/>
    <w:rsid w:val="00D00558"/>
    <w:rsid w:val="00D00592"/>
    <w:rsid w:val="00D0081D"/>
    <w:rsid w:val="00D00822"/>
    <w:rsid w:val="00D008CB"/>
    <w:rsid w:val="00D009BB"/>
    <w:rsid w:val="00D00BAE"/>
    <w:rsid w:val="00D00D2C"/>
    <w:rsid w:val="00D01414"/>
    <w:rsid w:val="00D0164C"/>
    <w:rsid w:val="00D01719"/>
    <w:rsid w:val="00D018AF"/>
    <w:rsid w:val="00D01D0B"/>
    <w:rsid w:val="00D01D0D"/>
    <w:rsid w:val="00D01E8E"/>
    <w:rsid w:val="00D021D0"/>
    <w:rsid w:val="00D023A1"/>
    <w:rsid w:val="00D02676"/>
    <w:rsid w:val="00D028A9"/>
    <w:rsid w:val="00D02AF1"/>
    <w:rsid w:val="00D02C94"/>
    <w:rsid w:val="00D02F83"/>
    <w:rsid w:val="00D03008"/>
    <w:rsid w:val="00D0301C"/>
    <w:rsid w:val="00D03033"/>
    <w:rsid w:val="00D03088"/>
    <w:rsid w:val="00D0313C"/>
    <w:rsid w:val="00D0328B"/>
    <w:rsid w:val="00D0344B"/>
    <w:rsid w:val="00D0349B"/>
    <w:rsid w:val="00D037A5"/>
    <w:rsid w:val="00D03926"/>
    <w:rsid w:val="00D03B53"/>
    <w:rsid w:val="00D03E88"/>
    <w:rsid w:val="00D03EC3"/>
    <w:rsid w:val="00D04004"/>
    <w:rsid w:val="00D0419A"/>
    <w:rsid w:val="00D04467"/>
    <w:rsid w:val="00D04802"/>
    <w:rsid w:val="00D04929"/>
    <w:rsid w:val="00D04AD9"/>
    <w:rsid w:val="00D04CE4"/>
    <w:rsid w:val="00D04F35"/>
    <w:rsid w:val="00D0504C"/>
    <w:rsid w:val="00D05488"/>
    <w:rsid w:val="00D0556E"/>
    <w:rsid w:val="00D055B1"/>
    <w:rsid w:val="00D0590A"/>
    <w:rsid w:val="00D05978"/>
    <w:rsid w:val="00D05D3B"/>
    <w:rsid w:val="00D05F36"/>
    <w:rsid w:val="00D06021"/>
    <w:rsid w:val="00D0618D"/>
    <w:rsid w:val="00D06731"/>
    <w:rsid w:val="00D0692B"/>
    <w:rsid w:val="00D06A10"/>
    <w:rsid w:val="00D06B85"/>
    <w:rsid w:val="00D070F1"/>
    <w:rsid w:val="00D073D3"/>
    <w:rsid w:val="00D07741"/>
    <w:rsid w:val="00D077BC"/>
    <w:rsid w:val="00D079A6"/>
    <w:rsid w:val="00D07BED"/>
    <w:rsid w:val="00D07F40"/>
    <w:rsid w:val="00D10249"/>
    <w:rsid w:val="00D10475"/>
    <w:rsid w:val="00D1067D"/>
    <w:rsid w:val="00D10CE6"/>
    <w:rsid w:val="00D10CF8"/>
    <w:rsid w:val="00D110EF"/>
    <w:rsid w:val="00D11267"/>
    <w:rsid w:val="00D115C3"/>
    <w:rsid w:val="00D1164B"/>
    <w:rsid w:val="00D11707"/>
    <w:rsid w:val="00D1179E"/>
    <w:rsid w:val="00D11881"/>
    <w:rsid w:val="00D11897"/>
    <w:rsid w:val="00D11C89"/>
    <w:rsid w:val="00D11E73"/>
    <w:rsid w:val="00D12417"/>
    <w:rsid w:val="00D12556"/>
    <w:rsid w:val="00D126B5"/>
    <w:rsid w:val="00D12736"/>
    <w:rsid w:val="00D12977"/>
    <w:rsid w:val="00D12BB1"/>
    <w:rsid w:val="00D12BDC"/>
    <w:rsid w:val="00D12D9F"/>
    <w:rsid w:val="00D13135"/>
    <w:rsid w:val="00D1315D"/>
    <w:rsid w:val="00D131B0"/>
    <w:rsid w:val="00D13350"/>
    <w:rsid w:val="00D13435"/>
    <w:rsid w:val="00D134F7"/>
    <w:rsid w:val="00D1367F"/>
    <w:rsid w:val="00D137BE"/>
    <w:rsid w:val="00D1398E"/>
    <w:rsid w:val="00D139B4"/>
    <w:rsid w:val="00D13B4F"/>
    <w:rsid w:val="00D13CA7"/>
    <w:rsid w:val="00D13E4E"/>
    <w:rsid w:val="00D13E62"/>
    <w:rsid w:val="00D13F25"/>
    <w:rsid w:val="00D144A6"/>
    <w:rsid w:val="00D1452A"/>
    <w:rsid w:val="00D14756"/>
    <w:rsid w:val="00D148D9"/>
    <w:rsid w:val="00D14ACF"/>
    <w:rsid w:val="00D14BD5"/>
    <w:rsid w:val="00D14E67"/>
    <w:rsid w:val="00D15059"/>
    <w:rsid w:val="00D15B3E"/>
    <w:rsid w:val="00D15D2B"/>
    <w:rsid w:val="00D1624A"/>
    <w:rsid w:val="00D164D3"/>
    <w:rsid w:val="00D16508"/>
    <w:rsid w:val="00D1677B"/>
    <w:rsid w:val="00D16811"/>
    <w:rsid w:val="00D16914"/>
    <w:rsid w:val="00D16CC8"/>
    <w:rsid w:val="00D16D47"/>
    <w:rsid w:val="00D16DA2"/>
    <w:rsid w:val="00D16E35"/>
    <w:rsid w:val="00D16E99"/>
    <w:rsid w:val="00D16ED2"/>
    <w:rsid w:val="00D16F0F"/>
    <w:rsid w:val="00D16F58"/>
    <w:rsid w:val="00D16F7D"/>
    <w:rsid w:val="00D16FD5"/>
    <w:rsid w:val="00D17048"/>
    <w:rsid w:val="00D17357"/>
    <w:rsid w:val="00D175FB"/>
    <w:rsid w:val="00D17643"/>
    <w:rsid w:val="00D17989"/>
    <w:rsid w:val="00D17C70"/>
    <w:rsid w:val="00D17CDB"/>
    <w:rsid w:val="00D20673"/>
    <w:rsid w:val="00D20885"/>
    <w:rsid w:val="00D20B96"/>
    <w:rsid w:val="00D20E8D"/>
    <w:rsid w:val="00D20F21"/>
    <w:rsid w:val="00D20F85"/>
    <w:rsid w:val="00D2132F"/>
    <w:rsid w:val="00D214D1"/>
    <w:rsid w:val="00D21669"/>
    <w:rsid w:val="00D217E9"/>
    <w:rsid w:val="00D21B7E"/>
    <w:rsid w:val="00D21F4F"/>
    <w:rsid w:val="00D21F58"/>
    <w:rsid w:val="00D22217"/>
    <w:rsid w:val="00D22494"/>
    <w:rsid w:val="00D22662"/>
    <w:rsid w:val="00D22685"/>
    <w:rsid w:val="00D22725"/>
    <w:rsid w:val="00D2285E"/>
    <w:rsid w:val="00D22BA5"/>
    <w:rsid w:val="00D22D4B"/>
    <w:rsid w:val="00D23249"/>
    <w:rsid w:val="00D234DA"/>
    <w:rsid w:val="00D236F8"/>
    <w:rsid w:val="00D237B1"/>
    <w:rsid w:val="00D239A7"/>
    <w:rsid w:val="00D239F7"/>
    <w:rsid w:val="00D23CC9"/>
    <w:rsid w:val="00D23F47"/>
    <w:rsid w:val="00D24025"/>
    <w:rsid w:val="00D24038"/>
    <w:rsid w:val="00D246DC"/>
    <w:rsid w:val="00D2479E"/>
    <w:rsid w:val="00D24B45"/>
    <w:rsid w:val="00D24C0A"/>
    <w:rsid w:val="00D24D3A"/>
    <w:rsid w:val="00D24F7D"/>
    <w:rsid w:val="00D252BE"/>
    <w:rsid w:val="00D252C8"/>
    <w:rsid w:val="00D25305"/>
    <w:rsid w:val="00D2535E"/>
    <w:rsid w:val="00D253AE"/>
    <w:rsid w:val="00D253B0"/>
    <w:rsid w:val="00D2556A"/>
    <w:rsid w:val="00D256F3"/>
    <w:rsid w:val="00D2596E"/>
    <w:rsid w:val="00D25BA2"/>
    <w:rsid w:val="00D25D9D"/>
    <w:rsid w:val="00D25E24"/>
    <w:rsid w:val="00D25F96"/>
    <w:rsid w:val="00D25FE6"/>
    <w:rsid w:val="00D26202"/>
    <w:rsid w:val="00D265EF"/>
    <w:rsid w:val="00D2681B"/>
    <w:rsid w:val="00D269C4"/>
    <w:rsid w:val="00D26AB3"/>
    <w:rsid w:val="00D26EFF"/>
    <w:rsid w:val="00D26F2D"/>
    <w:rsid w:val="00D27255"/>
    <w:rsid w:val="00D272CC"/>
    <w:rsid w:val="00D27662"/>
    <w:rsid w:val="00D276AB"/>
    <w:rsid w:val="00D277BA"/>
    <w:rsid w:val="00D27B51"/>
    <w:rsid w:val="00D27BD5"/>
    <w:rsid w:val="00D27BDA"/>
    <w:rsid w:val="00D27E00"/>
    <w:rsid w:val="00D3004D"/>
    <w:rsid w:val="00D300EB"/>
    <w:rsid w:val="00D3028C"/>
    <w:rsid w:val="00D30306"/>
    <w:rsid w:val="00D30390"/>
    <w:rsid w:val="00D30443"/>
    <w:rsid w:val="00D30BCE"/>
    <w:rsid w:val="00D30C19"/>
    <w:rsid w:val="00D30D12"/>
    <w:rsid w:val="00D30DD9"/>
    <w:rsid w:val="00D30EE8"/>
    <w:rsid w:val="00D31055"/>
    <w:rsid w:val="00D31307"/>
    <w:rsid w:val="00D31569"/>
    <w:rsid w:val="00D31917"/>
    <w:rsid w:val="00D31B54"/>
    <w:rsid w:val="00D32410"/>
    <w:rsid w:val="00D3247A"/>
    <w:rsid w:val="00D32652"/>
    <w:rsid w:val="00D326DE"/>
    <w:rsid w:val="00D32804"/>
    <w:rsid w:val="00D32884"/>
    <w:rsid w:val="00D328BD"/>
    <w:rsid w:val="00D32ECB"/>
    <w:rsid w:val="00D33431"/>
    <w:rsid w:val="00D336EE"/>
    <w:rsid w:val="00D3396A"/>
    <w:rsid w:val="00D33A67"/>
    <w:rsid w:val="00D33B3F"/>
    <w:rsid w:val="00D33BC6"/>
    <w:rsid w:val="00D342AC"/>
    <w:rsid w:val="00D34A58"/>
    <w:rsid w:val="00D34CC9"/>
    <w:rsid w:val="00D34F53"/>
    <w:rsid w:val="00D355AC"/>
    <w:rsid w:val="00D355E4"/>
    <w:rsid w:val="00D3563B"/>
    <w:rsid w:val="00D3589A"/>
    <w:rsid w:val="00D35918"/>
    <w:rsid w:val="00D35A44"/>
    <w:rsid w:val="00D35BD3"/>
    <w:rsid w:val="00D35E00"/>
    <w:rsid w:val="00D35E1C"/>
    <w:rsid w:val="00D35F36"/>
    <w:rsid w:val="00D36136"/>
    <w:rsid w:val="00D3618B"/>
    <w:rsid w:val="00D362E2"/>
    <w:rsid w:val="00D3634D"/>
    <w:rsid w:val="00D368CA"/>
    <w:rsid w:val="00D369BF"/>
    <w:rsid w:val="00D36B1D"/>
    <w:rsid w:val="00D36E16"/>
    <w:rsid w:val="00D36E71"/>
    <w:rsid w:val="00D36F64"/>
    <w:rsid w:val="00D370A2"/>
    <w:rsid w:val="00D37979"/>
    <w:rsid w:val="00D37982"/>
    <w:rsid w:val="00D37B50"/>
    <w:rsid w:val="00D37CE6"/>
    <w:rsid w:val="00D37D57"/>
    <w:rsid w:val="00D37D87"/>
    <w:rsid w:val="00D37E30"/>
    <w:rsid w:val="00D37F45"/>
    <w:rsid w:val="00D37F49"/>
    <w:rsid w:val="00D40109"/>
    <w:rsid w:val="00D40246"/>
    <w:rsid w:val="00D4029D"/>
    <w:rsid w:val="00D40308"/>
    <w:rsid w:val="00D404F5"/>
    <w:rsid w:val="00D40547"/>
    <w:rsid w:val="00D40705"/>
    <w:rsid w:val="00D40865"/>
    <w:rsid w:val="00D40880"/>
    <w:rsid w:val="00D40B33"/>
    <w:rsid w:val="00D411E1"/>
    <w:rsid w:val="00D41277"/>
    <w:rsid w:val="00D412F0"/>
    <w:rsid w:val="00D41564"/>
    <w:rsid w:val="00D417C5"/>
    <w:rsid w:val="00D41971"/>
    <w:rsid w:val="00D41C26"/>
    <w:rsid w:val="00D41CC5"/>
    <w:rsid w:val="00D41D2A"/>
    <w:rsid w:val="00D41F98"/>
    <w:rsid w:val="00D42060"/>
    <w:rsid w:val="00D4208D"/>
    <w:rsid w:val="00D422D3"/>
    <w:rsid w:val="00D42C0A"/>
    <w:rsid w:val="00D43140"/>
    <w:rsid w:val="00D4317B"/>
    <w:rsid w:val="00D4318F"/>
    <w:rsid w:val="00D431FD"/>
    <w:rsid w:val="00D434EB"/>
    <w:rsid w:val="00D438BF"/>
    <w:rsid w:val="00D43950"/>
    <w:rsid w:val="00D43A27"/>
    <w:rsid w:val="00D43A96"/>
    <w:rsid w:val="00D43CF1"/>
    <w:rsid w:val="00D43FBA"/>
    <w:rsid w:val="00D44048"/>
    <w:rsid w:val="00D440F8"/>
    <w:rsid w:val="00D4418C"/>
    <w:rsid w:val="00D444B8"/>
    <w:rsid w:val="00D44557"/>
    <w:rsid w:val="00D4488F"/>
    <w:rsid w:val="00D44A0B"/>
    <w:rsid w:val="00D450F7"/>
    <w:rsid w:val="00D451FF"/>
    <w:rsid w:val="00D45327"/>
    <w:rsid w:val="00D45537"/>
    <w:rsid w:val="00D455A3"/>
    <w:rsid w:val="00D45B4C"/>
    <w:rsid w:val="00D45C88"/>
    <w:rsid w:val="00D46196"/>
    <w:rsid w:val="00D461C4"/>
    <w:rsid w:val="00D46303"/>
    <w:rsid w:val="00D4641A"/>
    <w:rsid w:val="00D465BA"/>
    <w:rsid w:val="00D465D5"/>
    <w:rsid w:val="00D469F9"/>
    <w:rsid w:val="00D46CC9"/>
    <w:rsid w:val="00D46E43"/>
    <w:rsid w:val="00D46FF5"/>
    <w:rsid w:val="00D47019"/>
    <w:rsid w:val="00D47102"/>
    <w:rsid w:val="00D472BD"/>
    <w:rsid w:val="00D473BD"/>
    <w:rsid w:val="00D47483"/>
    <w:rsid w:val="00D47532"/>
    <w:rsid w:val="00D4769D"/>
    <w:rsid w:val="00D47779"/>
    <w:rsid w:val="00D47879"/>
    <w:rsid w:val="00D4794B"/>
    <w:rsid w:val="00D47A81"/>
    <w:rsid w:val="00D47FEB"/>
    <w:rsid w:val="00D500E5"/>
    <w:rsid w:val="00D5029C"/>
    <w:rsid w:val="00D504E5"/>
    <w:rsid w:val="00D507DF"/>
    <w:rsid w:val="00D50848"/>
    <w:rsid w:val="00D5091B"/>
    <w:rsid w:val="00D50B56"/>
    <w:rsid w:val="00D50BD0"/>
    <w:rsid w:val="00D51106"/>
    <w:rsid w:val="00D5122B"/>
    <w:rsid w:val="00D5146B"/>
    <w:rsid w:val="00D51716"/>
    <w:rsid w:val="00D51756"/>
    <w:rsid w:val="00D517B5"/>
    <w:rsid w:val="00D518DF"/>
    <w:rsid w:val="00D51E34"/>
    <w:rsid w:val="00D51E4F"/>
    <w:rsid w:val="00D51F9B"/>
    <w:rsid w:val="00D5207F"/>
    <w:rsid w:val="00D522DD"/>
    <w:rsid w:val="00D523D5"/>
    <w:rsid w:val="00D524E2"/>
    <w:rsid w:val="00D52715"/>
    <w:rsid w:val="00D5284C"/>
    <w:rsid w:val="00D52920"/>
    <w:rsid w:val="00D52BD0"/>
    <w:rsid w:val="00D52C95"/>
    <w:rsid w:val="00D52FB2"/>
    <w:rsid w:val="00D531FE"/>
    <w:rsid w:val="00D5338F"/>
    <w:rsid w:val="00D53574"/>
    <w:rsid w:val="00D53AD7"/>
    <w:rsid w:val="00D53DD6"/>
    <w:rsid w:val="00D53FB5"/>
    <w:rsid w:val="00D540B0"/>
    <w:rsid w:val="00D541C5"/>
    <w:rsid w:val="00D54341"/>
    <w:rsid w:val="00D545FA"/>
    <w:rsid w:val="00D546FF"/>
    <w:rsid w:val="00D54B80"/>
    <w:rsid w:val="00D54D97"/>
    <w:rsid w:val="00D54E53"/>
    <w:rsid w:val="00D54E66"/>
    <w:rsid w:val="00D54E7D"/>
    <w:rsid w:val="00D54E8A"/>
    <w:rsid w:val="00D54FAE"/>
    <w:rsid w:val="00D5531F"/>
    <w:rsid w:val="00D55326"/>
    <w:rsid w:val="00D5547C"/>
    <w:rsid w:val="00D55511"/>
    <w:rsid w:val="00D5587E"/>
    <w:rsid w:val="00D5597D"/>
    <w:rsid w:val="00D55A1E"/>
    <w:rsid w:val="00D55AD5"/>
    <w:rsid w:val="00D55C34"/>
    <w:rsid w:val="00D55CA6"/>
    <w:rsid w:val="00D55FD0"/>
    <w:rsid w:val="00D56172"/>
    <w:rsid w:val="00D561B6"/>
    <w:rsid w:val="00D56230"/>
    <w:rsid w:val="00D5627A"/>
    <w:rsid w:val="00D56359"/>
    <w:rsid w:val="00D563C2"/>
    <w:rsid w:val="00D563EF"/>
    <w:rsid w:val="00D564CF"/>
    <w:rsid w:val="00D565B7"/>
    <w:rsid w:val="00D56707"/>
    <w:rsid w:val="00D56922"/>
    <w:rsid w:val="00D56951"/>
    <w:rsid w:val="00D56AAE"/>
    <w:rsid w:val="00D56D30"/>
    <w:rsid w:val="00D56E8F"/>
    <w:rsid w:val="00D56F21"/>
    <w:rsid w:val="00D56F6C"/>
    <w:rsid w:val="00D56F98"/>
    <w:rsid w:val="00D57000"/>
    <w:rsid w:val="00D57071"/>
    <w:rsid w:val="00D5708D"/>
    <w:rsid w:val="00D57372"/>
    <w:rsid w:val="00D57432"/>
    <w:rsid w:val="00D5749B"/>
    <w:rsid w:val="00D574FD"/>
    <w:rsid w:val="00D57571"/>
    <w:rsid w:val="00D5765A"/>
    <w:rsid w:val="00D576CA"/>
    <w:rsid w:val="00D57833"/>
    <w:rsid w:val="00D57BA1"/>
    <w:rsid w:val="00D57C91"/>
    <w:rsid w:val="00D57E22"/>
    <w:rsid w:val="00D57E3A"/>
    <w:rsid w:val="00D57E49"/>
    <w:rsid w:val="00D57FF6"/>
    <w:rsid w:val="00D60354"/>
    <w:rsid w:val="00D60388"/>
    <w:rsid w:val="00D603DA"/>
    <w:rsid w:val="00D604AE"/>
    <w:rsid w:val="00D60AD3"/>
    <w:rsid w:val="00D60D1B"/>
    <w:rsid w:val="00D60E4E"/>
    <w:rsid w:val="00D60EFA"/>
    <w:rsid w:val="00D60FAD"/>
    <w:rsid w:val="00D61249"/>
    <w:rsid w:val="00D61306"/>
    <w:rsid w:val="00D61427"/>
    <w:rsid w:val="00D61AF5"/>
    <w:rsid w:val="00D61DAB"/>
    <w:rsid w:val="00D61FB9"/>
    <w:rsid w:val="00D61FE5"/>
    <w:rsid w:val="00D62102"/>
    <w:rsid w:val="00D624CC"/>
    <w:rsid w:val="00D62552"/>
    <w:rsid w:val="00D627B0"/>
    <w:rsid w:val="00D62B98"/>
    <w:rsid w:val="00D62CE0"/>
    <w:rsid w:val="00D62E7B"/>
    <w:rsid w:val="00D62EB8"/>
    <w:rsid w:val="00D62F09"/>
    <w:rsid w:val="00D63125"/>
    <w:rsid w:val="00D6356E"/>
    <w:rsid w:val="00D638C3"/>
    <w:rsid w:val="00D63BAC"/>
    <w:rsid w:val="00D63BC6"/>
    <w:rsid w:val="00D63CE2"/>
    <w:rsid w:val="00D63E7F"/>
    <w:rsid w:val="00D6409C"/>
    <w:rsid w:val="00D6424A"/>
    <w:rsid w:val="00D64313"/>
    <w:rsid w:val="00D64346"/>
    <w:rsid w:val="00D64386"/>
    <w:rsid w:val="00D643D0"/>
    <w:rsid w:val="00D644CD"/>
    <w:rsid w:val="00D6457A"/>
    <w:rsid w:val="00D645B1"/>
    <w:rsid w:val="00D64628"/>
    <w:rsid w:val="00D64679"/>
    <w:rsid w:val="00D646C2"/>
    <w:rsid w:val="00D646FB"/>
    <w:rsid w:val="00D64779"/>
    <w:rsid w:val="00D64D4E"/>
    <w:rsid w:val="00D64FC0"/>
    <w:rsid w:val="00D652B5"/>
    <w:rsid w:val="00D65525"/>
    <w:rsid w:val="00D65537"/>
    <w:rsid w:val="00D65644"/>
    <w:rsid w:val="00D656BA"/>
    <w:rsid w:val="00D65B37"/>
    <w:rsid w:val="00D65BC5"/>
    <w:rsid w:val="00D65CCC"/>
    <w:rsid w:val="00D65D90"/>
    <w:rsid w:val="00D65DE3"/>
    <w:rsid w:val="00D65E1F"/>
    <w:rsid w:val="00D65E4C"/>
    <w:rsid w:val="00D66043"/>
    <w:rsid w:val="00D660C7"/>
    <w:rsid w:val="00D66155"/>
    <w:rsid w:val="00D66276"/>
    <w:rsid w:val="00D66316"/>
    <w:rsid w:val="00D66391"/>
    <w:rsid w:val="00D66408"/>
    <w:rsid w:val="00D664BD"/>
    <w:rsid w:val="00D66610"/>
    <w:rsid w:val="00D66EDB"/>
    <w:rsid w:val="00D66FB9"/>
    <w:rsid w:val="00D66FE0"/>
    <w:rsid w:val="00D67316"/>
    <w:rsid w:val="00D67954"/>
    <w:rsid w:val="00D70023"/>
    <w:rsid w:val="00D702F6"/>
    <w:rsid w:val="00D70369"/>
    <w:rsid w:val="00D704A7"/>
    <w:rsid w:val="00D70525"/>
    <w:rsid w:val="00D708B0"/>
    <w:rsid w:val="00D70C00"/>
    <w:rsid w:val="00D70CD7"/>
    <w:rsid w:val="00D70E21"/>
    <w:rsid w:val="00D70E55"/>
    <w:rsid w:val="00D70EB5"/>
    <w:rsid w:val="00D71295"/>
    <w:rsid w:val="00D71B06"/>
    <w:rsid w:val="00D71C5F"/>
    <w:rsid w:val="00D71E62"/>
    <w:rsid w:val="00D72148"/>
    <w:rsid w:val="00D7237D"/>
    <w:rsid w:val="00D72522"/>
    <w:rsid w:val="00D7284A"/>
    <w:rsid w:val="00D72CC4"/>
    <w:rsid w:val="00D730C4"/>
    <w:rsid w:val="00D730E4"/>
    <w:rsid w:val="00D73186"/>
    <w:rsid w:val="00D734DA"/>
    <w:rsid w:val="00D73694"/>
    <w:rsid w:val="00D73870"/>
    <w:rsid w:val="00D73CF6"/>
    <w:rsid w:val="00D73D19"/>
    <w:rsid w:val="00D73D40"/>
    <w:rsid w:val="00D73EA1"/>
    <w:rsid w:val="00D73F2A"/>
    <w:rsid w:val="00D74586"/>
    <w:rsid w:val="00D7486C"/>
    <w:rsid w:val="00D74996"/>
    <w:rsid w:val="00D74C1A"/>
    <w:rsid w:val="00D75294"/>
    <w:rsid w:val="00D7537D"/>
    <w:rsid w:val="00D75612"/>
    <w:rsid w:val="00D7567B"/>
    <w:rsid w:val="00D7568D"/>
    <w:rsid w:val="00D759A3"/>
    <w:rsid w:val="00D75C1D"/>
    <w:rsid w:val="00D75F62"/>
    <w:rsid w:val="00D762E3"/>
    <w:rsid w:val="00D764F3"/>
    <w:rsid w:val="00D76626"/>
    <w:rsid w:val="00D766FB"/>
    <w:rsid w:val="00D76910"/>
    <w:rsid w:val="00D76C9E"/>
    <w:rsid w:val="00D76D44"/>
    <w:rsid w:val="00D76DDA"/>
    <w:rsid w:val="00D76E10"/>
    <w:rsid w:val="00D76E23"/>
    <w:rsid w:val="00D77114"/>
    <w:rsid w:val="00D77186"/>
    <w:rsid w:val="00D7750B"/>
    <w:rsid w:val="00D7751E"/>
    <w:rsid w:val="00D775A9"/>
    <w:rsid w:val="00D77A70"/>
    <w:rsid w:val="00D77AFF"/>
    <w:rsid w:val="00D77B1D"/>
    <w:rsid w:val="00D77B81"/>
    <w:rsid w:val="00D77C3F"/>
    <w:rsid w:val="00D77C9D"/>
    <w:rsid w:val="00D77CF0"/>
    <w:rsid w:val="00D77DB0"/>
    <w:rsid w:val="00D77E53"/>
    <w:rsid w:val="00D8003D"/>
    <w:rsid w:val="00D8021F"/>
    <w:rsid w:val="00D80383"/>
    <w:rsid w:val="00D8045A"/>
    <w:rsid w:val="00D805C9"/>
    <w:rsid w:val="00D8069D"/>
    <w:rsid w:val="00D80758"/>
    <w:rsid w:val="00D80783"/>
    <w:rsid w:val="00D80A1A"/>
    <w:rsid w:val="00D80BEE"/>
    <w:rsid w:val="00D81068"/>
    <w:rsid w:val="00D8118B"/>
    <w:rsid w:val="00D81673"/>
    <w:rsid w:val="00D81CEA"/>
    <w:rsid w:val="00D81D83"/>
    <w:rsid w:val="00D81DA7"/>
    <w:rsid w:val="00D81E40"/>
    <w:rsid w:val="00D82048"/>
    <w:rsid w:val="00D82352"/>
    <w:rsid w:val="00D823C6"/>
    <w:rsid w:val="00D82415"/>
    <w:rsid w:val="00D82457"/>
    <w:rsid w:val="00D825CA"/>
    <w:rsid w:val="00D826C5"/>
    <w:rsid w:val="00D827F1"/>
    <w:rsid w:val="00D82886"/>
    <w:rsid w:val="00D828D5"/>
    <w:rsid w:val="00D830F9"/>
    <w:rsid w:val="00D8327F"/>
    <w:rsid w:val="00D8376A"/>
    <w:rsid w:val="00D837DB"/>
    <w:rsid w:val="00D83AD8"/>
    <w:rsid w:val="00D84737"/>
    <w:rsid w:val="00D84A5F"/>
    <w:rsid w:val="00D84B8A"/>
    <w:rsid w:val="00D84DB7"/>
    <w:rsid w:val="00D84E49"/>
    <w:rsid w:val="00D84E64"/>
    <w:rsid w:val="00D85098"/>
    <w:rsid w:val="00D850CF"/>
    <w:rsid w:val="00D8572E"/>
    <w:rsid w:val="00D859C7"/>
    <w:rsid w:val="00D85CA3"/>
    <w:rsid w:val="00D85E92"/>
    <w:rsid w:val="00D85EF8"/>
    <w:rsid w:val="00D861EB"/>
    <w:rsid w:val="00D86470"/>
    <w:rsid w:val="00D86485"/>
    <w:rsid w:val="00D8651D"/>
    <w:rsid w:val="00D86575"/>
    <w:rsid w:val="00D8659C"/>
    <w:rsid w:val="00D86723"/>
    <w:rsid w:val="00D869A2"/>
    <w:rsid w:val="00D86AC4"/>
    <w:rsid w:val="00D86CA3"/>
    <w:rsid w:val="00D86D96"/>
    <w:rsid w:val="00D86D9C"/>
    <w:rsid w:val="00D8700A"/>
    <w:rsid w:val="00D8710B"/>
    <w:rsid w:val="00D87119"/>
    <w:rsid w:val="00D871CE"/>
    <w:rsid w:val="00D872F0"/>
    <w:rsid w:val="00D874BB"/>
    <w:rsid w:val="00D8759D"/>
    <w:rsid w:val="00D876C2"/>
    <w:rsid w:val="00D87921"/>
    <w:rsid w:val="00D8794C"/>
    <w:rsid w:val="00D87A25"/>
    <w:rsid w:val="00D87B4E"/>
    <w:rsid w:val="00D87BA1"/>
    <w:rsid w:val="00D87D06"/>
    <w:rsid w:val="00D87FE4"/>
    <w:rsid w:val="00D90082"/>
    <w:rsid w:val="00D901AF"/>
    <w:rsid w:val="00D90362"/>
    <w:rsid w:val="00D90539"/>
    <w:rsid w:val="00D9063A"/>
    <w:rsid w:val="00D90842"/>
    <w:rsid w:val="00D90875"/>
    <w:rsid w:val="00D908FE"/>
    <w:rsid w:val="00D90A6A"/>
    <w:rsid w:val="00D913FF"/>
    <w:rsid w:val="00D914D1"/>
    <w:rsid w:val="00D9173E"/>
    <w:rsid w:val="00D91758"/>
    <w:rsid w:val="00D9196D"/>
    <w:rsid w:val="00D91ADD"/>
    <w:rsid w:val="00D91DA3"/>
    <w:rsid w:val="00D922E0"/>
    <w:rsid w:val="00D924AF"/>
    <w:rsid w:val="00D92519"/>
    <w:rsid w:val="00D92545"/>
    <w:rsid w:val="00D925F2"/>
    <w:rsid w:val="00D92982"/>
    <w:rsid w:val="00D92CF0"/>
    <w:rsid w:val="00D92E7C"/>
    <w:rsid w:val="00D92E8F"/>
    <w:rsid w:val="00D92F42"/>
    <w:rsid w:val="00D92FA0"/>
    <w:rsid w:val="00D93049"/>
    <w:rsid w:val="00D931C6"/>
    <w:rsid w:val="00D9351D"/>
    <w:rsid w:val="00D935D7"/>
    <w:rsid w:val="00D939A7"/>
    <w:rsid w:val="00D93B3F"/>
    <w:rsid w:val="00D93C2E"/>
    <w:rsid w:val="00D93EB8"/>
    <w:rsid w:val="00D93FF3"/>
    <w:rsid w:val="00D93FFC"/>
    <w:rsid w:val="00D940D9"/>
    <w:rsid w:val="00D940EF"/>
    <w:rsid w:val="00D9420E"/>
    <w:rsid w:val="00D94525"/>
    <w:rsid w:val="00D945D2"/>
    <w:rsid w:val="00D94697"/>
    <w:rsid w:val="00D94DE0"/>
    <w:rsid w:val="00D95323"/>
    <w:rsid w:val="00D95421"/>
    <w:rsid w:val="00D95434"/>
    <w:rsid w:val="00D95784"/>
    <w:rsid w:val="00D957F5"/>
    <w:rsid w:val="00D9583A"/>
    <w:rsid w:val="00D95942"/>
    <w:rsid w:val="00D959B2"/>
    <w:rsid w:val="00D95AED"/>
    <w:rsid w:val="00D95BF7"/>
    <w:rsid w:val="00D95D88"/>
    <w:rsid w:val="00D960F0"/>
    <w:rsid w:val="00D9614B"/>
    <w:rsid w:val="00D96383"/>
    <w:rsid w:val="00D96482"/>
    <w:rsid w:val="00D96895"/>
    <w:rsid w:val="00D968BD"/>
    <w:rsid w:val="00D96ACC"/>
    <w:rsid w:val="00D96F62"/>
    <w:rsid w:val="00D96F81"/>
    <w:rsid w:val="00D977DE"/>
    <w:rsid w:val="00D97C1F"/>
    <w:rsid w:val="00D97E1C"/>
    <w:rsid w:val="00D97F8D"/>
    <w:rsid w:val="00DA0043"/>
    <w:rsid w:val="00DA07DE"/>
    <w:rsid w:val="00DA0990"/>
    <w:rsid w:val="00DA0D21"/>
    <w:rsid w:val="00DA0D2B"/>
    <w:rsid w:val="00DA0D4F"/>
    <w:rsid w:val="00DA0E2A"/>
    <w:rsid w:val="00DA146F"/>
    <w:rsid w:val="00DA15A3"/>
    <w:rsid w:val="00DA15F3"/>
    <w:rsid w:val="00DA1783"/>
    <w:rsid w:val="00DA1B0F"/>
    <w:rsid w:val="00DA1B4E"/>
    <w:rsid w:val="00DA1D17"/>
    <w:rsid w:val="00DA1E34"/>
    <w:rsid w:val="00DA1EFD"/>
    <w:rsid w:val="00DA1F80"/>
    <w:rsid w:val="00DA1FA3"/>
    <w:rsid w:val="00DA1FAE"/>
    <w:rsid w:val="00DA206E"/>
    <w:rsid w:val="00DA21BC"/>
    <w:rsid w:val="00DA2268"/>
    <w:rsid w:val="00DA2280"/>
    <w:rsid w:val="00DA274A"/>
    <w:rsid w:val="00DA28D8"/>
    <w:rsid w:val="00DA2934"/>
    <w:rsid w:val="00DA29E1"/>
    <w:rsid w:val="00DA29E9"/>
    <w:rsid w:val="00DA2A01"/>
    <w:rsid w:val="00DA2BDB"/>
    <w:rsid w:val="00DA2F28"/>
    <w:rsid w:val="00DA305E"/>
    <w:rsid w:val="00DA31DC"/>
    <w:rsid w:val="00DA31EE"/>
    <w:rsid w:val="00DA3354"/>
    <w:rsid w:val="00DA3390"/>
    <w:rsid w:val="00DA37D9"/>
    <w:rsid w:val="00DA3B9E"/>
    <w:rsid w:val="00DA3CA6"/>
    <w:rsid w:val="00DA4027"/>
    <w:rsid w:val="00DA41C7"/>
    <w:rsid w:val="00DA43F2"/>
    <w:rsid w:val="00DA451E"/>
    <w:rsid w:val="00DA497B"/>
    <w:rsid w:val="00DA4A72"/>
    <w:rsid w:val="00DA4D0A"/>
    <w:rsid w:val="00DA4DC3"/>
    <w:rsid w:val="00DA4DFA"/>
    <w:rsid w:val="00DA4FD4"/>
    <w:rsid w:val="00DA539A"/>
    <w:rsid w:val="00DA53C5"/>
    <w:rsid w:val="00DA53E7"/>
    <w:rsid w:val="00DA5417"/>
    <w:rsid w:val="00DA5431"/>
    <w:rsid w:val="00DA54A9"/>
    <w:rsid w:val="00DA5515"/>
    <w:rsid w:val="00DA56E8"/>
    <w:rsid w:val="00DA57B8"/>
    <w:rsid w:val="00DA583D"/>
    <w:rsid w:val="00DA58A1"/>
    <w:rsid w:val="00DA59A4"/>
    <w:rsid w:val="00DA5A8D"/>
    <w:rsid w:val="00DA5BC0"/>
    <w:rsid w:val="00DA5CD9"/>
    <w:rsid w:val="00DA5EB5"/>
    <w:rsid w:val="00DA5EF9"/>
    <w:rsid w:val="00DA5F77"/>
    <w:rsid w:val="00DA6EB4"/>
    <w:rsid w:val="00DA7467"/>
    <w:rsid w:val="00DA7485"/>
    <w:rsid w:val="00DA78FC"/>
    <w:rsid w:val="00DA7A28"/>
    <w:rsid w:val="00DA7AE5"/>
    <w:rsid w:val="00DA7BE3"/>
    <w:rsid w:val="00DA7D79"/>
    <w:rsid w:val="00DA7DDF"/>
    <w:rsid w:val="00DB0095"/>
    <w:rsid w:val="00DB04CB"/>
    <w:rsid w:val="00DB081B"/>
    <w:rsid w:val="00DB09F6"/>
    <w:rsid w:val="00DB0A9F"/>
    <w:rsid w:val="00DB0AD5"/>
    <w:rsid w:val="00DB0E7D"/>
    <w:rsid w:val="00DB130C"/>
    <w:rsid w:val="00DB13A5"/>
    <w:rsid w:val="00DB157E"/>
    <w:rsid w:val="00DB15C6"/>
    <w:rsid w:val="00DB19B9"/>
    <w:rsid w:val="00DB1A0F"/>
    <w:rsid w:val="00DB1B6D"/>
    <w:rsid w:val="00DB1C86"/>
    <w:rsid w:val="00DB1DFC"/>
    <w:rsid w:val="00DB2027"/>
    <w:rsid w:val="00DB2189"/>
    <w:rsid w:val="00DB231A"/>
    <w:rsid w:val="00DB2371"/>
    <w:rsid w:val="00DB24B9"/>
    <w:rsid w:val="00DB2560"/>
    <w:rsid w:val="00DB26D6"/>
    <w:rsid w:val="00DB28E7"/>
    <w:rsid w:val="00DB2E6C"/>
    <w:rsid w:val="00DB2ECC"/>
    <w:rsid w:val="00DB2EDF"/>
    <w:rsid w:val="00DB2FD5"/>
    <w:rsid w:val="00DB315D"/>
    <w:rsid w:val="00DB377D"/>
    <w:rsid w:val="00DB3B9C"/>
    <w:rsid w:val="00DB3BC7"/>
    <w:rsid w:val="00DB3BDE"/>
    <w:rsid w:val="00DB400E"/>
    <w:rsid w:val="00DB4095"/>
    <w:rsid w:val="00DB4106"/>
    <w:rsid w:val="00DB440D"/>
    <w:rsid w:val="00DB4434"/>
    <w:rsid w:val="00DB44F4"/>
    <w:rsid w:val="00DB45C1"/>
    <w:rsid w:val="00DB4909"/>
    <w:rsid w:val="00DB4B73"/>
    <w:rsid w:val="00DB5313"/>
    <w:rsid w:val="00DB53AF"/>
    <w:rsid w:val="00DB5549"/>
    <w:rsid w:val="00DB5598"/>
    <w:rsid w:val="00DB56A4"/>
    <w:rsid w:val="00DB58BC"/>
    <w:rsid w:val="00DB5AFB"/>
    <w:rsid w:val="00DB5CEF"/>
    <w:rsid w:val="00DB5D91"/>
    <w:rsid w:val="00DB5F94"/>
    <w:rsid w:val="00DB6171"/>
    <w:rsid w:val="00DB61BF"/>
    <w:rsid w:val="00DB6521"/>
    <w:rsid w:val="00DB65DD"/>
    <w:rsid w:val="00DB682A"/>
    <w:rsid w:val="00DB69F4"/>
    <w:rsid w:val="00DB6BF0"/>
    <w:rsid w:val="00DB6C1F"/>
    <w:rsid w:val="00DB6C68"/>
    <w:rsid w:val="00DB707A"/>
    <w:rsid w:val="00DB7299"/>
    <w:rsid w:val="00DB7425"/>
    <w:rsid w:val="00DB74B7"/>
    <w:rsid w:val="00DB765A"/>
    <w:rsid w:val="00DB79D9"/>
    <w:rsid w:val="00DB7AF3"/>
    <w:rsid w:val="00DB7CCC"/>
    <w:rsid w:val="00DB7E35"/>
    <w:rsid w:val="00DC0042"/>
    <w:rsid w:val="00DC0301"/>
    <w:rsid w:val="00DC048E"/>
    <w:rsid w:val="00DC04B7"/>
    <w:rsid w:val="00DC050F"/>
    <w:rsid w:val="00DC0937"/>
    <w:rsid w:val="00DC0A61"/>
    <w:rsid w:val="00DC0BBA"/>
    <w:rsid w:val="00DC0CB4"/>
    <w:rsid w:val="00DC0F52"/>
    <w:rsid w:val="00DC11C9"/>
    <w:rsid w:val="00DC1603"/>
    <w:rsid w:val="00DC17F4"/>
    <w:rsid w:val="00DC1918"/>
    <w:rsid w:val="00DC1929"/>
    <w:rsid w:val="00DC19AA"/>
    <w:rsid w:val="00DC1ABF"/>
    <w:rsid w:val="00DC1B23"/>
    <w:rsid w:val="00DC1CA3"/>
    <w:rsid w:val="00DC1CD8"/>
    <w:rsid w:val="00DC1F46"/>
    <w:rsid w:val="00DC20E3"/>
    <w:rsid w:val="00DC23F9"/>
    <w:rsid w:val="00DC24F6"/>
    <w:rsid w:val="00DC25EA"/>
    <w:rsid w:val="00DC2677"/>
    <w:rsid w:val="00DC2704"/>
    <w:rsid w:val="00DC2875"/>
    <w:rsid w:val="00DC288B"/>
    <w:rsid w:val="00DC2BE8"/>
    <w:rsid w:val="00DC2D27"/>
    <w:rsid w:val="00DC2D36"/>
    <w:rsid w:val="00DC2D7A"/>
    <w:rsid w:val="00DC2E05"/>
    <w:rsid w:val="00DC2E39"/>
    <w:rsid w:val="00DC2E6C"/>
    <w:rsid w:val="00DC2FEB"/>
    <w:rsid w:val="00DC30FE"/>
    <w:rsid w:val="00DC313E"/>
    <w:rsid w:val="00DC31D3"/>
    <w:rsid w:val="00DC3374"/>
    <w:rsid w:val="00DC33A2"/>
    <w:rsid w:val="00DC36C5"/>
    <w:rsid w:val="00DC3779"/>
    <w:rsid w:val="00DC3883"/>
    <w:rsid w:val="00DC3B9F"/>
    <w:rsid w:val="00DC3C91"/>
    <w:rsid w:val="00DC3F6F"/>
    <w:rsid w:val="00DC4092"/>
    <w:rsid w:val="00DC42D3"/>
    <w:rsid w:val="00DC435F"/>
    <w:rsid w:val="00DC446A"/>
    <w:rsid w:val="00DC45D1"/>
    <w:rsid w:val="00DC4681"/>
    <w:rsid w:val="00DC477D"/>
    <w:rsid w:val="00DC4DB7"/>
    <w:rsid w:val="00DC4ECF"/>
    <w:rsid w:val="00DC50C4"/>
    <w:rsid w:val="00DC5267"/>
    <w:rsid w:val="00DC53EF"/>
    <w:rsid w:val="00DC55F9"/>
    <w:rsid w:val="00DC56D7"/>
    <w:rsid w:val="00DC57AC"/>
    <w:rsid w:val="00DC6084"/>
    <w:rsid w:val="00DC645E"/>
    <w:rsid w:val="00DC65DB"/>
    <w:rsid w:val="00DC6763"/>
    <w:rsid w:val="00DC6B21"/>
    <w:rsid w:val="00DC6CF7"/>
    <w:rsid w:val="00DC6DF4"/>
    <w:rsid w:val="00DC6FA4"/>
    <w:rsid w:val="00DC6FDE"/>
    <w:rsid w:val="00DC70F7"/>
    <w:rsid w:val="00DC72B9"/>
    <w:rsid w:val="00DC76F5"/>
    <w:rsid w:val="00DC7704"/>
    <w:rsid w:val="00DC7886"/>
    <w:rsid w:val="00DC7A90"/>
    <w:rsid w:val="00DC7C44"/>
    <w:rsid w:val="00DC7D00"/>
    <w:rsid w:val="00DC7D9C"/>
    <w:rsid w:val="00DC7EE2"/>
    <w:rsid w:val="00DD002C"/>
    <w:rsid w:val="00DD0211"/>
    <w:rsid w:val="00DD0524"/>
    <w:rsid w:val="00DD06F4"/>
    <w:rsid w:val="00DD0706"/>
    <w:rsid w:val="00DD0BB7"/>
    <w:rsid w:val="00DD0DCB"/>
    <w:rsid w:val="00DD0E11"/>
    <w:rsid w:val="00DD0F3C"/>
    <w:rsid w:val="00DD1350"/>
    <w:rsid w:val="00DD1485"/>
    <w:rsid w:val="00DD168C"/>
    <w:rsid w:val="00DD1714"/>
    <w:rsid w:val="00DD1868"/>
    <w:rsid w:val="00DD1931"/>
    <w:rsid w:val="00DD1B63"/>
    <w:rsid w:val="00DD1BED"/>
    <w:rsid w:val="00DD1F6A"/>
    <w:rsid w:val="00DD21A5"/>
    <w:rsid w:val="00DD220D"/>
    <w:rsid w:val="00DD2DE6"/>
    <w:rsid w:val="00DD2EF1"/>
    <w:rsid w:val="00DD312D"/>
    <w:rsid w:val="00DD334B"/>
    <w:rsid w:val="00DD3404"/>
    <w:rsid w:val="00DD3418"/>
    <w:rsid w:val="00DD34AA"/>
    <w:rsid w:val="00DD352F"/>
    <w:rsid w:val="00DD38E7"/>
    <w:rsid w:val="00DD3AD2"/>
    <w:rsid w:val="00DD3CAC"/>
    <w:rsid w:val="00DD40C5"/>
    <w:rsid w:val="00DD4410"/>
    <w:rsid w:val="00DD4483"/>
    <w:rsid w:val="00DD4492"/>
    <w:rsid w:val="00DD49C4"/>
    <w:rsid w:val="00DD49CC"/>
    <w:rsid w:val="00DD49CF"/>
    <w:rsid w:val="00DD4B4D"/>
    <w:rsid w:val="00DD4B96"/>
    <w:rsid w:val="00DD52F0"/>
    <w:rsid w:val="00DD5570"/>
    <w:rsid w:val="00DD5677"/>
    <w:rsid w:val="00DD59D1"/>
    <w:rsid w:val="00DD59FB"/>
    <w:rsid w:val="00DD5D50"/>
    <w:rsid w:val="00DD5DA9"/>
    <w:rsid w:val="00DD618C"/>
    <w:rsid w:val="00DD6385"/>
    <w:rsid w:val="00DD6419"/>
    <w:rsid w:val="00DD6466"/>
    <w:rsid w:val="00DD6913"/>
    <w:rsid w:val="00DD6ACD"/>
    <w:rsid w:val="00DD6D00"/>
    <w:rsid w:val="00DD6D53"/>
    <w:rsid w:val="00DD70A1"/>
    <w:rsid w:val="00DD721B"/>
    <w:rsid w:val="00DD73D4"/>
    <w:rsid w:val="00DD7525"/>
    <w:rsid w:val="00DD7547"/>
    <w:rsid w:val="00DD7696"/>
    <w:rsid w:val="00DD76A6"/>
    <w:rsid w:val="00DD7758"/>
    <w:rsid w:val="00DD7ABC"/>
    <w:rsid w:val="00DD7AD7"/>
    <w:rsid w:val="00DD7BBB"/>
    <w:rsid w:val="00DD7EBB"/>
    <w:rsid w:val="00DE0018"/>
    <w:rsid w:val="00DE00BB"/>
    <w:rsid w:val="00DE015F"/>
    <w:rsid w:val="00DE03B7"/>
    <w:rsid w:val="00DE04F3"/>
    <w:rsid w:val="00DE09D3"/>
    <w:rsid w:val="00DE0A77"/>
    <w:rsid w:val="00DE0C49"/>
    <w:rsid w:val="00DE0F9E"/>
    <w:rsid w:val="00DE1080"/>
    <w:rsid w:val="00DE133C"/>
    <w:rsid w:val="00DE14A4"/>
    <w:rsid w:val="00DE15EF"/>
    <w:rsid w:val="00DE1612"/>
    <w:rsid w:val="00DE173B"/>
    <w:rsid w:val="00DE18F7"/>
    <w:rsid w:val="00DE199B"/>
    <w:rsid w:val="00DE1AAD"/>
    <w:rsid w:val="00DE1FEC"/>
    <w:rsid w:val="00DE22EB"/>
    <w:rsid w:val="00DE257D"/>
    <w:rsid w:val="00DE25A8"/>
    <w:rsid w:val="00DE2B79"/>
    <w:rsid w:val="00DE2BA5"/>
    <w:rsid w:val="00DE31DB"/>
    <w:rsid w:val="00DE3799"/>
    <w:rsid w:val="00DE3B9C"/>
    <w:rsid w:val="00DE3C0A"/>
    <w:rsid w:val="00DE3D23"/>
    <w:rsid w:val="00DE3DD7"/>
    <w:rsid w:val="00DE3F44"/>
    <w:rsid w:val="00DE3FF1"/>
    <w:rsid w:val="00DE4C17"/>
    <w:rsid w:val="00DE4C32"/>
    <w:rsid w:val="00DE5079"/>
    <w:rsid w:val="00DE51B7"/>
    <w:rsid w:val="00DE54CB"/>
    <w:rsid w:val="00DE551E"/>
    <w:rsid w:val="00DE55E3"/>
    <w:rsid w:val="00DE5608"/>
    <w:rsid w:val="00DE57A1"/>
    <w:rsid w:val="00DE58D0"/>
    <w:rsid w:val="00DE5B4B"/>
    <w:rsid w:val="00DE5CD2"/>
    <w:rsid w:val="00DE5E10"/>
    <w:rsid w:val="00DE5F43"/>
    <w:rsid w:val="00DE5FAE"/>
    <w:rsid w:val="00DE603C"/>
    <w:rsid w:val="00DE603F"/>
    <w:rsid w:val="00DE60A5"/>
    <w:rsid w:val="00DE6192"/>
    <w:rsid w:val="00DE63A2"/>
    <w:rsid w:val="00DE64BE"/>
    <w:rsid w:val="00DE654F"/>
    <w:rsid w:val="00DE689F"/>
    <w:rsid w:val="00DE68D1"/>
    <w:rsid w:val="00DE6ADF"/>
    <w:rsid w:val="00DE6B08"/>
    <w:rsid w:val="00DE6D24"/>
    <w:rsid w:val="00DE6EFA"/>
    <w:rsid w:val="00DE74C5"/>
    <w:rsid w:val="00DE7501"/>
    <w:rsid w:val="00DE7504"/>
    <w:rsid w:val="00DE7781"/>
    <w:rsid w:val="00DE77C4"/>
    <w:rsid w:val="00DE7803"/>
    <w:rsid w:val="00DE7A32"/>
    <w:rsid w:val="00DF000F"/>
    <w:rsid w:val="00DF0062"/>
    <w:rsid w:val="00DF01A4"/>
    <w:rsid w:val="00DF022A"/>
    <w:rsid w:val="00DF04A2"/>
    <w:rsid w:val="00DF07F9"/>
    <w:rsid w:val="00DF0A97"/>
    <w:rsid w:val="00DF0AF3"/>
    <w:rsid w:val="00DF0B6E"/>
    <w:rsid w:val="00DF0BBB"/>
    <w:rsid w:val="00DF0E12"/>
    <w:rsid w:val="00DF1226"/>
    <w:rsid w:val="00DF13F4"/>
    <w:rsid w:val="00DF15E0"/>
    <w:rsid w:val="00DF1744"/>
    <w:rsid w:val="00DF1814"/>
    <w:rsid w:val="00DF187A"/>
    <w:rsid w:val="00DF18E7"/>
    <w:rsid w:val="00DF1B98"/>
    <w:rsid w:val="00DF1C98"/>
    <w:rsid w:val="00DF1CE2"/>
    <w:rsid w:val="00DF1FD3"/>
    <w:rsid w:val="00DF2755"/>
    <w:rsid w:val="00DF27F2"/>
    <w:rsid w:val="00DF2B7C"/>
    <w:rsid w:val="00DF2BC3"/>
    <w:rsid w:val="00DF2DE2"/>
    <w:rsid w:val="00DF2F88"/>
    <w:rsid w:val="00DF342A"/>
    <w:rsid w:val="00DF34FB"/>
    <w:rsid w:val="00DF37A0"/>
    <w:rsid w:val="00DF39C8"/>
    <w:rsid w:val="00DF3B5B"/>
    <w:rsid w:val="00DF3D72"/>
    <w:rsid w:val="00DF3FBA"/>
    <w:rsid w:val="00DF3FFE"/>
    <w:rsid w:val="00DF4063"/>
    <w:rsid w:val="00DF4110"/>
    <w:rsid w:val="00DF4324"/>
    <w:rsid w:val="00DF4374"/>
    <w:rsid w:val="00DF4434"/>
    <w:rsid w:val="00DF46A3"/>
    <w:rsid w:val="00DF47C7"/>
    <w:rsid w:val="00DF49CA"/>
    <w:rsid w:val="00DF4E8D"/>
    <w:rsid w:val="00DF5192"/>
    <w:rsid w:val="00DF51B0"/>
    <w:rsid w:val="00DF541B"/>
    <w:rsid w:val="00DF5452"/>
    <w:rsid w:val="00DF54DD"/>
    <w:rsid w:val="00DF599A"/>
    <w:rsid w:val="00DF5A7A"/>
    <w:rsid w:val="00DF5A98"/>
    <w:rsid w:val="00DF5AEF"/>
    <w:rsid w:val="00DF5B72"/>
    <w:rsid w:val="00DF5C11"/>
    <w:rsid w:val="00DF5C2A"/>
    <w:rsid w:val="00DF5C5D"/>
    <w:rsid w:val="00DF5EC5"/>
    <w:rsid w:val="00DF5EF3"/>
    <w:rsid w:val="00DF5F55"/>
    <w:rsid w:val="00DF6076"/>
    <w:rsid w:val="00DF60C6"/>
    <w:rsid w:val="00DF61AD"/>
    <w:rsid w:val="00DF6580"/>
    <w:rsid w:val="00DF6858"/>
    <w:rsid w:val="00DF6861"/>
    <w:rsid w:val="00DF6925"/>
    <w:rsid w:val="00DF6D18"/>
    <w:rsid w:val="00DF6D4A"/>
    <w:rsid w:val="00DF6E92"/>
    <w:rsid w:val="00DF6EB9"/>
    <w:rsid w:val="00DF712E"/>
    <w:rsid w:val="00DF74D4"/>
    <w:rsid w:val="00DF77D9"/>
    <w:rsid w:val="00DF7A4D"/>
    <w:rsid w:val="00DF7D9E"/>
    <w:rsid w:val="00DF7E3A"/>
    <w:rsid w:val="00DF7F88"/>
    <w:rsid w:val="00E000B7"/>
    <w:rsid w:val="00E001E1"/>
    <w:rsid w:val="00E00344"/>
    <w:rsid w:val="00E003EA"/>
    <w:rsid w:val="00E005BF"/>
    <w:rsid w:val="00E00787"/>
    <w:rsid w:val="00E009E0"/>
    <w:rsid w:val="00E00B26"/>
    <w:rsid w:val="00E00B8B"/>
    <w:rsid w:val="00E00FB5"/>
    <w:rsid w:val="00E012BC"/>
    <w:rsid w:val="00E012C1"/>
    <w:rsid w:val="00E01338"/>
    <w:rsid w:val="00E01751"/>
    <w:rsid w:val="00E01A54"/>
    <w:rsid w:val="00E01B49"/>
    <w:rsid w:val="00E01CA5"/>
    <w:rsid w:val="00E01D81"/>
    <w:rsid w:val="00E01E32"/>
    <w:rsid w:val="00E02089"/>
    <w:rsid w:val="00E02279"/>
    <w:rsid w:val="00E02286"/>
    <w:rsid w:val="00E023B0"/>
    <w:rsid w:val="00E028C9"/>
    <w:rsid w:val="00E0293A"/>
    <w:rsid w:val="00E02A9D"/>
    <w:rsid w:val="00E02B0E"/>
    <w:rsid w:val="00E02BB1"/>
    <w:rsid w:val="00E02C81"/>
    <w:rsid w:val="00E02CD8"/>
    <w:rsid w:val="00E02D9B"/>
    <w:rsid w:val="00E02FA3"/>
    <w:rsid w:val="00E03037"/>
    <w:rsid w:val="00E03131"/>
    <w:rsid w:val="00E0315E"/>
    <w:rsid w:val="00E034AD"/>
    <w:rsid w:val="00E0387D"/>
    <w:rsid w:val="00E03B4C"/>
    <w:rsid w:val="00E03C44"/>
    <w:rsid w:val="00E03C94"/>
    <w:rsid w:val="00E03E03"/>
    <w:rsid w:val="00E03E9D"/>
    <w:rsid w:val="00E03F22"/>
    <w:rsid w:val="00E04086"/>
    <w:rsid w:val="00E040E4"/>
    <w:rsid w:val="00E0414A"/>
    <w:rsid w:val="00E044F0"/>
    <w:rsid w:val="00E04591"/>
    <w:rsid w:val="00E04713"/>
    <w:rsid w:val="00E04766"/>
    <w:rsid w:val="00E04797"/>
    <w:rsid w:val="00E047F4"/>
    <w:rsid w:val="00E04B73"/>
    <w:rsid w:val="00E04BF3"/>
    <w:rsid w:val="00E04C29"/>
    <w:rsid w:val="00E04D66"/>
    <w:rsid w:val="00E04D67"/>
    <w:rsid w:val="00E04D7D"/>
    <w:rsid w:val="00E04E6C"/>
    <w:rsid w:val="00E04F68"/>
    <w:rsid w:val="00E05310"/>
    <w:rsid w:val="00E0538A"/>
    <w:rsid w:val="00E053AE"/>
    <w:rsid w:val="00E053E1"/>
    <w:rsid w:val="00E054D2"/>
    <w:rsid w:val="00E056D0"/>
    <w:rsid w:val="00E058B6"/>
    <w:rsid w:val="00E05D62"/>
    <w:rsid w:val="00E05D69"/>
    <w:rsid w:val="00E05F1D"/>
    <w:rsid w:val="00E06010"/>
    <w:rsid w:val="00E06239"/>
    <w:rsid w:val="00E0643B"/>
    <w:rsid w:val="00E065B4"/>
    <w:rsid w:val="00E0665B"/>
    <w:rsid w:val="00E0675E"/>
    <w:rsid w:val="00E0689A"/>
    <w:rsid w:val="00E06A15"/>
    <w:rsid w:val="00E06AB2"/>
    <w:rsid w:val="00E06AD0"/>
    <w:rsid w:val="00E06B68"/>
    <w:rsid w:val="00E06FE5"/>
    <w:rsid w:val="00E071BA"/>
    <w:rsid w:val="00E07355"/>
    <w:rsid w:val="00E0738C"/>
    <w:rsid w:val="00E0748B"/>
    <w:rsid w:val="00E0752A"/>
    <w:rsid w:val="00E07557"/>
    <w:rsid w:val="00E07589"/>
    <w:rsid w:val="00E07789"/>
    <w:rsid w:val="00E07945"/>
    <w:rsid w:val="00E07B83"/>
    <w:rsid w:val="00E07FA7"/>
    <w:rsid w:val="00E1002B"/>
    <w:rsid w:val="00E10323"/>
    <w:rsid w:val="00E10526"/>
    <w:rsid w:val="00E10994"/>
    <w:rsid w:val="00E110E7"/>
    <w:rsid w:val="00E113E4"/>
    <w:rsid w:val="00E115D0"/>
    <w:rsid w:val="00E11B20"/>
    <w:rsid w:val="00E11EF4"/>
    <w:rsid w:val="00E11F47"/>
    <w:rsid w:val="00E11F7B"/>
    <w:rsid w:val="00E121A5"/>
    <w:rsid w:val="00E121E1"/>
    <w:rsid w:val="00E12275"/>
    <w:rsid w:val="00E12491"/>
    <w:rsid w:val="00E124A7"/>
    <w:rsid w:val="00E1267B"/>
    <w:rsid w:val="00E12714"/>
    <w:rsid w:val="00E12903"/>
    <w:rsid w:val="00E12AE2"/>
    <w:rsid w:val="00E12C5A"/>
    <w:rsid w:val="00E12D76"/>
    <w:rsid w:val="00E12E3B"/>
    <w:rsid w:val="00E12EB3"/>
    <w:rsid w:val="00E134F2"/>
    <w:rsid w:val="00E13B19"/>
    <w:rsid w:val="00E13B7F"/>
    <w:rsid w:val="00E13BBE"/>
    <w:rsid w:val="00E13C3C"/>
    <w:rsid w:val="00E13DCE"/>
    <w:rsid w:val="00E13E05"/>
    <w:rsid w:val="00E13E40"/>
    <w:rsid w:val="00E13E5A"/>
    <w:rsid w:val="00E13E9C"/>
    <w:rsid w:val="00E140A0"/>
    <w:rsid w:val="00E14192"/>
    <w:rsid w:val="00E14611"/>
    <w:rsid w:val="00E146A5"/>
    <w:rsid w:val="00E1484C"/>
    <w:rsid w:val="00E14945"/>
    <w:rsid w:val="00E14ABA"/>
    <w:rsid w:val="00E14ACE"/>
    <w:rsid w:val="00E14B5C"/>
    <w:rsid w:val="00E14D09"/>
    <w:rsid w:val="00E14E46"/>
    <w:rsid w:val="00E14EA0"/>
    <w:rsid w:val="00E14F86"/>
    <w:rsid w:val="00E15064"/>
    <w:rsid w:val="00E150B8"/>
    <w:rsid w:val="00E1518E"/>
    <w:rsid w:val="00E15278"/>
    <w:rsid w:val="00E15294"/>
    <w:rsid w:val="00E153EF"/>
    <w:rsid w:val="00E15666"/>
    <w:rsid w:val="00E15897"/>
    <w:rsid w:val="00E1595F"/>
    <w:rsid w:val="00E1597D"/>
    <w:rsid w:val="00E15B03"/>
    <w:rsid w:val="00E15CD9"/>
    <w:rsid w:val="00E15D47"/>
    <w:rsid w:val="00E15DB9"/>
    <w:rsid w:val="00E15EE3"/>
    <w:rsid w:val="00E15F42"/>
    <w:rsid w:val="00E15F4A"/>
    <w:rsid w:val="00E16019"/>
    <w:rsid w:val="00E1604B"/>
    <w:rsid w:val="00E160A4"/>
    <w:rsid w:val="00E160BC"/>
    <w:rsid w:val="00E1652F"/>
    <w:rsid w:val="00E16531"/>
    <w:rsid w:val="00E16545"/>
    <w:rsid w:val="00E167C5"/>
    <w:rsid w:val="00E1682B"/>
    <w:rsid w:val="00E169FE"/>
    <w:rsid w:val="00E16A91"/>
    <w:rsid w:val="00E16C4D"/>
    <w:rsid w:val="00E16C87"/>
    <w:rsid w:val="00E16CCD"/>
    <w:rsid w:val="00E16DFC"/>
    <w:rsid w:val="00E16F55"/>
    <w:rsid w:val="00E1710C"/>
    <w:rsid w:val="00E1734E"/>
    <w:rsid w:val="00E1750C"/>
    <w:rsid w:val="00E175FB"/>
    <w:rsid w:val="00E178CA"/>
    <w:rsid w:val="00E17A62"/>
    <w:rsid w:val="00E17AFA"/>
    <w:rsid w:val="00E17BB8"/>
    <w:rsid w:val="00E17C53"/>
    <w:rsid w:val="00E17D8C"/>
    <w:rsid w:val="00E17EE9"/>
    <w:rsid w:val="00E17FA2"/>
    <w:rsid w:val="00E200CA"/>
    <w:rsid w:val="00E2019A"/>
    <w:rsid w:val="00E201D7"/>
    <w:rsid w:val="00E20214"/>
    <w:rsid w:val="00E20AD0"/>
    <w:rsid w:val="00E20C8C"/>
    <w:rsid w:val="00E20D7D"/>
    <w:rsid w:val="00E20E61"/>
    <w:rsid w:val="00E20FAC"/>
    <w:rsid w:val="00E210B7"/>
    <w:rsid w:val="00E2115D"/>
    <w:rsid w:val="00E212AE"/>
    <w:rsid w:val="00E21362"/>
    <w:rsid w:val="00E2156F"/>
    <w:rsid w:val="00E215F0"/>
    <w:rsid w:val="00E2178B"/>
    <w:rsid w:val="00E21842"/>
    <w:rsid w:val="00E21AD7"/>
    <w:rsid w:val="00E21C34"/>
    <w:rsid w:val="00E21CE5"/>
    <w:rsid w:val="00E21EF6"/>
    <w:rsid w:val="00E220E7"/>
    <w:rsid w:val="00E2211F"/>
    <w:rsid w:val="00E221F2"/>
    <w:rsid w:val="00E22212"/>
    <w:rsid w:val="00E22330"/>
    <w:rsid w:val="00E2247F"/>
    <w:rsid w:val="00E225ED"/>
    <w:rsid w:val="00E22682"/>
    <w:rsid w:val="00E22716"/>
    <w:rsid w:val="00E22A54"/>
    <w:rsid w:val="00E22E85"/>
    <w:rsid w:val="00E22F4A"/>
    <w:rsid w:val="00E22FA2"/>
    <w:rsid w:val="00E2366A"/>
    <w:rsid w:val="00E236E0"/>
    <w:rsid w:val="00E237EA"/>
    <w:rsid w:val="00E23843"/>
    <w:rsid w:val="00E23900"/>
    <w:rsid w:val="00E23977"/>
    <w:rsid w:val="00E23A7F"/>
    <w:rsid w:val="00E23B51"/>
    <w:rsid w:val="00E23D8E"/>
    <w:rsid w:val="00E23F3F"/>
    <w:rsid w:val="00E23FB1"/>
    <w:rsid w:val="00E240A8"/>
    <w:rsid w:val="00E241A7"/>
    <w:rsid w:val="00E24300"/>
    <w:rsid w:val="00E2435D"/>
    <w:rsid w:val="00E2444D"/>
    <w:rsid w:val="00E24470"/>
    <w:rsid w:val="00E2448C"/>
    <w:rsid w:val="00E246E7"/>
    <w:rsid w:val="00E249EC"/>
    <w:rsid w:val="00E24C5F"/>
    <w:rsid w:val="00E24CC3"/>
    <w:rsid w:val="00E24D4E"/>
    <w:rsid w:val="00E24DE2"/>
    <w:rsid w:val="00E24EB1"/>
    <w:rsid w:val="00E252C4"/>
    <w:rsid w:val="00E2549E"/>
    <w:rsid w:val="00E254D6"/>
    <w:rsid w:val="00E256C9"/>
    <w:rsid w:val="00E257CA"/>
    <w:rsid w:val="00E25900"/>
    <w:rsid w:val="00E25B53"/>
    <w:rsid w:val="00E25C2A"/>
    <w:rsid w:val="00E25CDD"/>
    <w:rsid w:val="00E25E68"/>
    <w:rsid w:val="00E25EA5"/>
    <w:rsid w:val="00E25FE6"/>
    <w:rsid w:val="00E260A1"/>
    <w:rsid w:val="00E2621B"/>
    <w:rsid w:val="00E262BB"/>
    <w:rsid w:val="00E262C5"/>
    <w:rsid w:val="00E26582"/>
    <w:rsid w:val="00E265ED"/>
    <w:rsid w:val="00E26A9B"/>
    <w:rsid w:val="00E26AC2"/>
    <w:rsid w:val="00E26AFA"/>
    <w:rsid w:val="00E26D3F"/>
    <w:rsid w:val="00E26E07"/>
    <w:rsid w:val="00E26F21"/>
    <w:rsid w:val="00E26FD8"/>
    <w:rsid w:val="00E272DD"/>
    <w:rsid w:val="00E2732C"/>
    <w:rsid w:val="00E275EF"/>
    <w:rsid w:val="00E27673"/>
    <w:rsid w:val="00E27846"/>
    <w:rsid w:val="00E2787B"/>
    <w:rsid w:val="00E278BB"/>
    <w:rsid w:val="00E2793A"/>
    <w:rsid w:val="00E279F0"/>
    <w:rsid w:val="00E27B70"/>
    <w:rsid w:val="00E27BA1"/>
    <w:rsid w:val="00E27D52"/>
    <w:rsid w:val="00E27E34"/>
    <w:rsid w:val="00E27FC7"/>
    <w:rsid w:val="00E306DC"/>
    <w:rsid w:val="00E3082E"/>
    <w:rsid w:val="00E30B5A"/>
    <w:rsid w:val="00E3123D"/>
    <w:rsid w:val="00E312AF"/>
    <w:rsid w:val="00E31316"/>
    <w:rsid w:val="00E31461"/>
    <w:rsid w:val="00E31487"/>
    <w:rsid w:val="00E314BD"/>
    <w:rsid w:val="00E314DC"/>
    <w:rsid w:val="00E314DD"/>
    <w:rsid w:val="00E31A3F"/>
    <w:rsid w:val="00E31A44"/>
    <w:rsid w:val="00E31B8A"/>
    <w:rsid w:val="00E31BF6"/>
    <w:rsid w:val="00E31D43"/>
    <w:rsid w:val="00E31D6C"/>
    <w:rsid w:val="00E32044"/>
    <w:rsid w:val="00E32292"/>
    <w:rsid w:val="00E322C0"/>
    <w:rsid w:val="00E32368"/>
    <w:rsid w:val="00E323A1"/>
    <w:rsid w:val="00E32449"/>
    <w:rsid w:val="00E32608"/>
    <w:rsid w:val="00E32811"/>
    <w:rsid w:val="00E32A8E"/>
    <w:rsid w:val="00E32D28"/>
    <w:rsid w:val="00E33305"/>
    <w:rsid w:val="00E3397E"/>
    <w:rsid w:val="00E33B35"/>
    <w:rsid w:val="00E33F6A"/>
    <w:rsid w:val="00E34016"/>
    <w:rsid w:val="00E34188"/>
    <w:rsid w:val="00E34388"/>
    <w:rsid w:val="00E343EC"/>
    <w:rsid w:val="00E3463F"/>
    <w:rsid w:val="00E346D3"/>
    <w:rsid w:val="00E34752"/>
    <w:rsid w:val="00E3489B"/>
    <w:rsid w:val="00E348C7"/>
    <w:rsid w:val="00E34A0F"/>
    <w:rsid w:val="00E34B6E"/>
    <w:rsid w:val="00E3500B"/>
    <w:rsid w:val="00E35049"/>
    <w:rsid w:val="00E35053"/>
    <w:rsid w:val="00E350CC"/>
    <w:rsid w:val="00E351CE"/>
    <w:rsid w:val="00E3548E"/>
    <w:rsid w:val="00E354BF"/>
    <w:rsid w:val="00E35559"/>
    <w:rsid w:val="00E355D4"/>
    <w:rsid w:val="00E358B2"/>
    <w:rsid w:val="00E35913"/>
    <w:rsid w:val="00E35975"/>
    <w:rsid w:val="00E35C7E"/>
    <w:rsid w:val="00E35F6D"/>
    <w:rsid w:val="00E36110"/>
    <w:rsid w:val="00E36385"/>
    <w:rsid w:val="00E365AF"/>
    <w:rsid w:val="00E369CA"/>
    <w:rsid w:val="00E36A51"/>
    <w:rsid w:val="00E36CA8"/>
    <w:rsid w:val="00E36D66"/>
    <w:rsid w:val="00E36F04"/>
    <w:rsid w:val="00E371E1"/>
    <w:rsid w:val="00E371F5"/>
    <w:rsid w:val="00E3723A"/>
    <w:rsid w:val="00E373A5"/>
    <w:rsid w:val="00E37427"/>
    <w:rsid w:val="00E37860"/>
    <w:rsid w:val="00E378E8"/>
    <w:rsid w:val="00E37AD5"/>
    <w:rsid w:val="00E37BC8"/>
    <w:rsid w:val="00E37E0F"/>
    <w:rsid w:val="00E37EC2"/>
    <w:rsid w:val="00E400CE"/>
    <w:rsid w:val="00E4011E"/>
    <w:rsid w:val="00E401CB"/>
    <w:rsid w:val="00E4023A"/>
    <w:rsid w:val="00E408A5"/>
    <w:rsid w:val="00E408C8"/>
    <w:rsid w:val="00E40A93"/>
    <w:rsid w:val="00E40AC4"/>
    <w:rsid w:val="00E40CC7"/>
    <w:rsid w:val="00E41011"/>
    <w:rsid w:val="00E410DA"/>
    <w:rsid w:val="00E41488"/>
    <w:rsid w:val="00E415D5"/>
    <w:rsid w:val="00E4181E"/>
    <w:rsid w:val="00E418B9"/>
    <w:rsid w:val="00E4191A"/>
    <w:rsid w:val="00E41E23"/>
    <w:rsid w:val="00E41E95"/>
    <w:rsid w:val="00E41EDC"/>
    <w:rsid w:val="00E41F3A"/>
    <w:rsid w:val="00E41F9C"/>
    <w:rsid w:val="00E421BD"/>
    <w:rsid w:val="00E4273B"/>
    <w:rsid w:val="00E4286F"/>
    <w:rsid w:val="00E42A00"/>
    <w:rsid w:val="00E42A65"/>
    <w:rsid w:val="00E42B11"/>
    <w:rsid w:val="00E42C41"/>
    <w:rsid w:val="00E42CB7"/>
    <w:rsid w:val="00E42E1E"/>
    <w:rsid w:val="00E430E4"/>
    <w:rsid w:val="00E4329D"/>
    <w:rsid w:val="00E432DF"/>
    <w:rsid w:val="00E433BE"/>
    <w:rsid w:val="00E4349C"/>
    <w:rsid w:val="00E43729"/>
    <w:rsid w:val="00E43AB4"/>
    <w:rsid w:val="00E43BB4"/>
    <w:rsid w:val="00E43DEB"/>
    <w:rsid w:val="00E43E25"/>
    <w:rsid w:val="00E43F9E"/>
    <w:rsid w:val="00E44142"/>
    <w:rsid w:val="00E44277"/>
    <w:rsid w:val="00E443E1"/>
    <w:rsid w:val="00E4448D"/>
    <w:rsid w:val="00E44614"/>
    <w:rsid w:val="00E446F1"/>
    <w:rsid w:val="00E4493B"/>
    <w:rsid w:val="00E449EF"/>
    <w:rsid w:val="00E44EAC"/>
    <w:rsid w:val="00E44F50"/>
    <w:rsid w:val="00E44FBF"/>
    <w:rsid w:val="00E4510A"/>
    <w:rsid w:val="00E451AB"/>
    <w:rsid w:val="00E451D4"/>
    <w:rsid w:val="00E45393"/>
    <w:rsid w:val="00E4561C"/>
    <w:rsid w:val="00E45660"/>
    <w:rsid w:val="00E456DA"/>
    <w:rsid w:val="00E456E8"/>
    <w:rsid w:val="00E457BC"/>
    <w:rsid w:val="00E458AE"/>
    <w:rsid w:val="00E45991"/>
    <w:rsid w:val="00E45A2C"/>
    <w:rsid w:val="00E45AE7"/>
    <w:rsid w:val="00E45C4B"/>
    <w:rsid w:val="00E45E5D"/>
    <w:rsid w:val="00E4611E"/>
    <w:rsid w:val="00E46139"/>
    <w:rsid w:val="00E46747"/>
    <w:rsid w:val="00E4679A"/>
    <w:rsid w:val="00E46886"/>
    <w:rsid w:val="00E4697D"/>
    <w:rsid w:val="00E469C6"/>
    <w:rsid w:val="00E469F5"/>
    <w:rsid w:val="00E46ACB"/>
    <w:rsid w:val="00E46F34"/>
    <w:rsid w:val="00E46F81"/>
    <w:rsid w:val="00E473E5"/>
    <w:rsid w:val="00E473FF"/>
    <w:rsid w:val="00E47495"/>
    <w:rsid w:val="00E47AEF"/>
    <w:rsid w:val="00E47B08"/>
    <w:rsid w:val="00E47CE0"/>
    <w:rsid w:val="00E47D28"/>
    <w:rsid w:val="00E47F40"/>
    <w:rsid w:val="00E47F58"/>
    <w:rsid w:val="00E5003F"/>
    <w:rsid w:val="00E504CD"/>
    <w:rsid w:val="00E504FC"/>
    <w:rsid w:val="00E50589"/>
    <w:rsid w:val="00E50712"/>
    <w:rsid w:val="00E509A3"/>
    <w:rsid w:val="00E50D64"/>
    <w:rsid w:val="00E50EFC"/>
    <w:rsid w:val="00E50F7F"/>
    <w:rsid w:val="00E512F8"/>
    <w:rsid w:val="00E5177F"/>
    <w:rsid w:val="00E51958"/>
    <w:rsid w:val="00E51C98"/>
    <w:rsid w:val="00E51CE1"/>
    <w:rsid w:val="00E51CE6"/>
    <w:rsid w:val="00E51E4A"/>
    <w:rsid w:val="00E522F1"/>
    <w:rsid w:val="00E52575"/>
    <w:rsid w:val="00E529C7"/>
    <w:rsid w:val="00E529D4"/>
    <w:rsid w:val="00E52D34"/>
    <w:rsid w:val="00E52DA4"/>
    <w:rsid w:val="00E52ED8"/>
    <w:rsid w:val="00E53084"/>
    <w:rsid w:val="00E531A4"/>
    <w:rsid w:val="00E533AF"/>
    <w:rsid w:val="00E533C6"/>
    <w:rsid w:val="00E53488"/>
    <w:rsid w:val="00E534A7"/>
    <w:rsid w:val="00E53B75"/>
    <w:rsid w:val="00E53CD9"/>
    <w:rsid w:val="00E53F1F"/>
    <w:rsid w:val="00E53F5B"/>
    <w:rsid w:val="00E54084"/>
    <w:rsid w:val="00E541F8"/>
    <w:rsid w:val="00E541FD"/>
    <w:rsid w:val="00E544F1"/>
    <w:rsid w:val="00E546C2"/>
    <w:rsid w:val="00E54772"/>
    <w:rsid w:val="00E547BE"/>
    <w:rsid w:val="00E54912"/>
    <w:rsid w:val="00E54B41"/>
    <w:rsid w:val="00E54B5E"/>
    <w:rsid w:val="00E54C98"/>
    <w:rsid w:val="00E54D20"/>
    <w:rsid w:val="00E54D9A"/>
    <w:rsid w:val="00E54E3B"/>
    <w:rsid w:val="00E54F4C"/>
    <w:rsid w:val="00E551BA"/>
    <w:rsid w:val="00E55842"/>
    <w:rsid w:val="00E55B88"/>
    <w:rsid w:val="00E55D07"/>
    <w:rsid w:val="00E55D2F"/>
    <w:rsid w:val="00E55D60"/>
    <w:rsid w:val="00E55EED"/>
    <w:rsid w:val="00E5649C"/>
    <w:rsid w:val="00E564F6"/>
    <w:rsid w:val="00E5651A"/>
    <w:rsid w:val="00E5678D"/>
    <w:rsid w:val="00E568D3"/>
    <w:rsid w:val="00E56A13"/>
    <w:rsid w:val="00E56B5D"/>
    <w:rsid w:val="00E56D51"/>
    <w:rsid w:val="00E56D92"/>
    <w:rsid w:val="00E56DC3"/>
    <w:rsid w:val="00E56DE4"/>
    <w:rsid w:val="00E56EA4"/>
    <w:rsid w:val="00E56F5A"/>
    <w:rsid w:val="00E57031"/>
    <w:rsid w:val="00E57043"/>
    <w:rsid w:val="00E57565"/>
    <w:rsid w:val="00E576A1"/>
    <w:rsid w:val="00E57809"/>
    <w:rsid w:val="00E57833"/>
    <w:rsid w:val="00E579BB"/>
    <w:rsid w:val="00E57B2B"/>
    <w:rsid w:val="00E57C92"/>
    <w:rsid w:val="00E57D03"/>
    <w:rsid w:val="00E57F11"/>
    <w:rsid w:val="00E57F18"/>
    <w:rsid w:val="00E57F1C"/>
    <w:rsid w:val="00E60186"/>
    <w:rsid w:val="00E601AA"/>
    <w:rsid w:val="00E601F9"/>
    <w:rsid w:val="00E604D4"/>
    <w:rsid w:val="00E60693"/>
    <w:rsid w:val="00E60925"/>
    <w:rsid w:val="00E60A0C"/>
    <w:rsid w:val="00E60BDF"/>
    <w:rsid w:val="00E611D3"/>
    <w:rsid w:val="00E61278"/>
    <w:rsid w:val="00E61402"/>
    <w:rsid w:val="00E618F4"/>
    <w:rsid w:val="00E61B87"/>
    <w:rsid w:val="00E61D2C"/>
    <w:rsid w:val="00E6293B"/>
    <w:rsid w:val="00E62A3D"/>
    <w:rsid w:val="00E62B0D"/>
    <w:rsid w:val="00E62CDB"/>
    <w:rsid w:val="00E62E96"/>
    <w:rsid w:val="00E630C5"/>
    <w:rsid w:val="00E631DF"/>
    <w:rsid w:val="00E63321"/>
    <w:rsid w:val="00E633DB"/>
    <w:rsid w:val="00E63838"/>
    <w:rsid w:val="00E639B0"/>
    <w:rsid w:val="00E63A00"/>
    <w:rsid w:val="00E63B0A"/>
    <w:rsid w:val="00E63E50"/>
    <w:rsid w:val="00E63E58"/>
    <w:rsid w:val="00E63F9A"/>
    <w:rsid w:val="00E64250"/>
    <w:rsid w:val="00E64434"/>
    <w:rsid w:val="00E64727"/>
    <w:rsid w:val="00E648E1"/>
    <w:rsid w:val="00E64A54"/>
    <w:rsid w:val="00E64C2D"/>
    <w:rsid w:val="00E64D2C"/>
    <w:rsid w:val="00E64D51"/>
    <w:rsid w:val="00E650FD"/>
    <w:rsid w:val="00E6529F"/>
    <w:rsid w:val="00E6558E"/>
    <w:rsid w:val="00E6585D"/>
    <w:rsid w:val="00E65933"/>
    <w:rsid w:val="00E65D38"/>
    <w:rsid w:val="00E65E1E"/>
    <w:rsid w:val="00E65E2F"/>
    <w:rsid w:val="00E65F87"/>
    <w:rsid w:val="00E66102"/>
    <w:rsid w:val="00E66119"/>
    <w:rsid w:val="00E6639F"/>
    <w:rsid w:val="00E663BD"/>
    <w:rsid w:val="00E66613"/>
    <w:rsid w:val="00E6669C"/>
    <w:rsid w:val="00E666A6"/>
    <w:rsid w:val="00E6681C"/>
    <w:rsid w:val="00E66874"/>
    <w:rsid w:val="00E668D1"/>
    <w:rsid w:val="00E668F8"/>
    <w:rsid w:val="00E669AB"/>
    <w:rsid w:val="00E66AA2"/>
    <w:rsid w:val="00E66B3B"/>
    <w:rsid w:val="00E66B5E"/>
    <w:rsid w:val="00E66C6A"/>
    <w:rsid w:val="00E66CD2"/>
    <w:rsid w:val="00E671FD"/>
    <w:rsid w:val="00E672FD"/>
    <w:rsid w:val="00E67323"/>
    <w:rsid w:val="00E67735"/>
    <w:rsid w:val="00E677B3"/>
    <w:rsid w:val="00E6783E"/>
    <w:rsid w:val="00E67C51"/>
    <w:rsid w:val="00E67D32"/>
    <w:rsid w:val="00E703A2"/>
    <w:rsid w:val="00E703AF"/>
    <w:rsid w:val="00E703B1"/>
    <w:rsid w:val="00E70660"/>
    <w:rsid w:val="00E70D0E"/>
    <w:rsid w:val="00E70D31"/>
    <w:rsid w:val="00E70DE4"/>
    <w:rsid w:val="00E70E3D"/>
    <w:rsid w:val="00E70EA0"/>
    <w:rsid w:val="00E71030"/>
    <w:rsid w:val="00E71062"/>
    <w:rsid w:val="00E7121F"/>
    <w:rsid w:val="00E7127D"/>
    <w:rsid w:val="00E7158B"/>
    <w:rsid w:val="00E715B1"/>
    <w:rsid w:val="00E719A2"/>
    <w:rsid w:val="00E71B07"/>
    <w:rsid w:val="00E71F7B"/>
    <w:rsid w:val="00E724C1"/>
    <w:rsid w:val="00E72809"/>
    <w:rsid w:val="00E7289B"/>
    <w:rsid w:val="00E72946"/>
    <w:rsid w:val="00E72BA6"/>
    <w:rsid w:val="00E72D33"/>
    <w:rsid w:val="00E72EFC"/>
    <w:rsid w:val="00E73060"/>
    <w:rsid w:val="00E731C9"/>
    <w:rsid w:val="00E734B8"/>
    <w:rsid w:val="00E735EC"/>
    <w:rsid w:val="00E7385F"/>
    <w:rsid w:val="00E73B29"/>
    <w:rsid w:val="00E73CA5"/>
    <w:rsid w:val="00E73E09"/>
    <w:rsid w:val="00E73EF1"/>
    <w:rsid w:val="00E73F44"/>
    <w:rsid w:val="00E73FC1"/>
    <w:rsid w:val="00E74067"/>
    <w:rsid w:val="00E740CC"/>
    <w:rsid w:val="00E740F0"/>
    <w:rsid w:val="00E741FA"/>
    <w:rsid w:val="00E746DB"/>
    <w:rsid w:val="00E74944"/>
    <w:rsid w:val="00E74B96"/>
    <w:rsid w:val="00E74C37"/>
    <w:rsid w:val="00E74D6D"/>
    <w:rsid w:val="00E750C0"/>
    <w:rsid w:val="00E75150"/>
    <w:rsid w:val="00E752F8"/>
    <w:rsid w:val="00E755E8"/>
    <w:rsid w:val="00E758EC"/>
    <w:rsid w:val="00E7597A"/>
    <w:rsid w:val="00E75C4B"/>
    <w:rsid w:val="00E760AF"/>
    <w:rsid w:val="00E7623C"/>
    <w:rsid w:val="00E76261"/>
    <w:rsid w:val="00E7670C"/>
    <w:rsid w:val="00E768F3"/>
    <w:rsid w:val="00E7690F"/>
    <w:rsid w:val="00E76B01"/>
    <w:rsid w:val="00E76DAC"/>
    <w:rsid w:val="00E76FD7"/>
    <w:rsid w:val="00E7716E"/>
    <w:rsid w:val="00E772B8"/>
    <w:rsid w:val="00E77474"/>
    <w:rsid w:val="00E77677"/>
    <w:rsid w:val="00E77A60"/>
    <w:rsid w:val="00E77A81"/>
    <w:rsid w:val="00E77AF9"/>
    <w:rsid w:val="00E77F45"/>
    <w:rsid w:val="00E77F6C"/>
    <w:rsid w:val="00E800C7"/>
    <w:rsid w:val="00E801B4"/>
    <w:rsid w:val="00E80310"/>
    <w:rsid w:val="00E803EB"/>
    <w:rsid w:val="00E803EE"/>
    <w:rsid w:val="00E803F5"/>
    <w:rsid w:val="00E8097B"/>
    <w:rsid w:val="00E809BE"/>
    <w:rsid w:val="00E80D6C"/>
    <w:rsid w:val="00E80E90"/>
    <w:rsid w:val="00E80FCC"/>
    <w:rsid w:val="00E8109F"/>
    <w:rsid w:val="00E8119F"/>
    <w:rsid w:val="00E811F9"/>
    <w:rsid w:val="00E813D4"/>
    <w:rsid w:val="00E815A3"/>
    <w:rsid w:val="00E82275"/>
    <w:rsid w:val="00E822B7"/>
    <w:rsid w:val="00E8234C"/>
    <w:rsid w:val="00E823A0"/>
    <w:rsid w:val="00E82431"/>
    <w:rsid w:val="00E826BB"/>
    <w:rsid w:val="00E8317A"/>
    <w:rsid w:val="00E83234"/>
    <w:rsid w:val="00E83335"/>
    <w:rsid w:val="00E833CF"/>
    <w:rsid w:val="00E836E7"/>
    <w:rsid w:val="00E83759"/>
    <w:rsid w:val="00E83A97"/>
    <w:rsid w:val="00E83AA9"/>
    <w:rsid w:val="00E83B15"/>
    <w:rsid w:val="00E84094"/>
    <w:rsid w:val="00E841C3"/>
    <w:rsid w:val="00E844DA"/>
    <w:rsid w:val="00E84589"/>
    <w:rsid w:val="00E84627"/>
    <w:rsid w:val="00E84A17"/>
    <w:rsid w:val="00E84B99"/>
    <w:rsid w:val="00E84DE6"/>
    <w:rsid w:val="00E85547"/>
    <w:rsid w:val="00E8565B"/>
    <w:rsid w:val="00E85728"/>
    <w:rsid w:val="00E85928"/>
    <w:rsid w:val="00E85B8D"/>
    <w:rsid w:val="00E85C21"/>
    <w:rsid w:val="00E85CB2"/>
    <w:rsid w:val="00E85E42"/>
    <w:rsid w:val="00E85E46"/>
    <w:rsid w:val="00E85EA4"/>
    <w:rsid w:val="00E860BB"/>
    <w:rsid w:val="00E86159"/>
    <w:rsid w:val="00E86418"/>
    <w:rsid w:val="00E8649F"/>
    <w:rsid w:val="00E86549"/>
    <w:rsid w:val="00E8654B"/>
    <w:rsid w:val="00E86956"/>
    <w:rsid w:val="00E86D22"/>
    <w:rsid w:val="00E86F9F"/>
    <w:rsid w:val="00E8702C"/>
    <w:rsid w:val="00E8729A"/>
    <w:rsid w:val="00E8753F"/>
    <w:rsid w:val="00E8776D"/>
    <w:rsid w:val="00E8780D"/>
    <w:rsid w:val="00E87822"/>
    <w:rsid w:val="00E87847"/>
    <w:rsid w:val="00E8788B"/>
    <w:rsid w:val="00E87BF6"/>
    <w:rsid w:val="00E87D73"/>
    <w:rsid w:val="00E87DC8"/>
    <w:rsid w:val="00E87FFB"/>
    <w:rsid w:val="00E87FFC"/>
    <w:rsid w:val="00E90151"/>
    <w:rsid w:val="00E9026E"/>
    <w:rsid w:val="00E90395"/>
    <w:rsid w:val="00E90418"/>
    <w:rsid w:val="00E90438"/>
    <w:rsid w:val="00E90566"/>
    <w:rsid w:val="00E906A7"/>
    <w:rsid w:val="00E906DB"/>
    <w:rsid w:val="00E90758"/>
    <w:rsid w:val="00E908A4"/>
    <w:rsid w:val="00E90B4A"/>
    <w:rsid w:val="00E90B6C"/>
    <w:rsid w:val="00E90D64"/>
    <w:rsid w:val="00E90DEF"/>
    <w:rsid w:val="00E90E49"/>
    <w:rsid w:val="00E90E8B"/>
    <w:rsid w:val="00E90EFA"/>
    <w:rsid w:val="00E90F01"/>
    <w:rsid w:val="00E90F08"/>
    <w:rsid w:val="00E91034"/>
    <w:rsid w:val="00E911B3"/>
    <w:rsid w:val="00E9123B"/>
    <w:rsid w:val="00E9144E"/>
    <w:rsid w:val="00E91472"/>
    <w:rsid w:val="00E9165A"/>
    <w:rsid w:val="00E91674"/>
    <w:rsid w:val="00E917F9"/>
    <w:rsid w:val="00E91820"/>
    <w:rsid w:val="00E9193C"/>
    <w:rsid w:val="00E9194B"/>
    <w:rsid w:val="00E91973"/>
    <w:rsid w:val="00E91A95"/>
    <w:rsid w:val="00E91CA8"/>
    <w:rsid w:val="00E91D9B"/>
    <w:rsid w:val="00E91EC2"/>
    <w:rsid w:val="00E91EE6"/>
    <w:rsid w:val="00E91EF1"/>
    <w:rsid w:val="00E920B7"/>
    <w:rsid w:val="00E9220B"/>
    <w:rsid w:val="00E9223D"/>
    <w:rsid w:val="00E924F1"/>
    <w:rsid w:val="00E92750"/>
    <w:rsid w:val="00E927C9"/>
    <w:rsid w:val="00E9291C"/>
    <w:rsid w:val="00E92BC6"/>
    <w:rsid w:val="00E92BE8"/>
    <w:rsid w:val="00E938F1"/>
    <w:rsid w:val="00E93950"/>
    <w:rsid w:val="00E93C50"/>
    <w:rsid w:val="00E93CFB"/>
    <w:rsid w:val="00E93D29"/>
    <w:rsid w:val="00E93D4D"/>
    <w:rsid w:val="00E93E64"/>
    <w:rsid w:val="00E93F0E"/>
    <w:rsid w:val="00E93FFE"/>
    <w:rsid w:val="00E941B5"/>
    <w:rsid w:val="00E94452"/>
    <w:rsid w:val="00E94711"/>
    <w:rsid w:val="00E947ED"/>
    <w:rsid w:val="00E9485E"/>
    <w:rsid w:val="00E94A89"/>
    <w:rsid w:val="00E94C3F"/>
    <w:rsid w:val="00E94F51"/>
    <w:rsid w:val="00E94F8A"/>
    <w:rsid w:val="00E94FD7"/>
    <w:rsid w:val="00E9509F"/>
    <w:rsid w:val="00E950E7"/>
    <w:rsid w:val="00E95149"/>
    <w:rsid w:val="00E9520F"/>
    <w:rsid w:val="00E952BC"/>
    <w:rsid w:val="00E95371"/>
    <w:rsid w:val="00E953C6"/>
    <w:rsid w:val="00E95449"/>
    <w:rsid w:val="00E9549B"/>
    <w:rsid w:val="00E95807"/>
    <w:rsid w:val="00E958A5"/>
    <w:rsid w:val="00E958EA"/>
    <w:rsid w:val="00E95A57"/>
    <w:rsid w:val="00E95AA0"/>
    <w:rsid w:val="00E95AA7"/>
    <w:rsid w:val="00E95AE4"/>
    <w:rsid w:val="00E95BB2"/>
    <w:rsid w:val="00E95DF9"/>
    <w:rsid w:val="00E95FD0"/>
    <w:rsid w:val="00E960FA"/>
    <w:rsid w:val="00E96258"/>
    <w:rsid w:val="00E965D7"/>
    <w:rsid w:val="00E9670F"/>
    <w:rsid w:val="00E967E8"/>
    <w:rsid w:val="00E96847"/>
    <w:rsid w:val="00E96A65"/>
    <w:rsid w:val="00E96A66"/>
    <w:rsid w:val="00E96BDE"/>
    <w:rsid w:val="00E96E94"/>
    <w:rsid w:val="00E9703B"/>
    <w:rsid w:val="00E97099"/>
    <w:rsid w:val="00E9730E"/>
    <w:rsid w:val="00E97330"/>
    <w:rsid w:val="00E975E9"/>
    <w:rsid w:val="00E97783"/>
    <w:rsid w:val="00E977AF"/>
    <w:rsid w:val="00E978FC"/>
    <w:rsid w:val="00E97A38"/>
    <w:rsid w:val="00E97ACB"/>
    <w:rsid w:val="00E97F13"/>
    <w:rsid w:val="00EA0002"/>
    <w:rsid w:val="00EA01CF"/>
    <w:rsid w:val="00EA01D4"/>
    <w:rsid w:val="00EA03CD"/>
    <w:rsid w:val="00EA03F3"/>
    <w:rsid w:val="00EA046C"/>
    <w:rsid w:val="00EA048E"/>
    <w:rsid w:val="00EA04BC"/>
    <w:rsid w:val="00EA0537"/>
    <w:rsid w:val="00EA0DFF"/>
    <w:rsid w:val="00EA118D"/>
    <w:rsid w:val="00EA12C4"/>
    <w:rsid w:val="00EA136A"/>
    <w:rsid w:val="00EA15AD"/>
    <w:rsid w:val="00EA18B1"/>
    <w:rsid w:val="00EA1939"/>
    <w:rsid w:val="00EA1B13"/>
    <w:rsid w:val="00EA1CF0"/>
    <w:rsid w:val="00EA1D07"/>
    <w:rsid w:val="00EA1FF8"/>
    <w:rsid w:val="00EA20CD"/>
    <w:rsid w:val="00EA2B66"/>
    <w:rsid w:val="00EA2C3A"/>
    <w:rsid w:val="00EA3182"/>
    <w:rsid w:val="00EA3306"/>
    <w:rsid w:val="00EA347D"/>
    <w:rsid w:val="00EA3541"/>
    <w:rsid w:val="00EA378C"/>
    <w:rsid w:val="00EA37E6"/>
    <w:rsid w:val="00EA3B56"/>
    <w:rsid w:val="00EA3C4D"/>
    <w:rsid w:val="00EA3F8E"/>
    <w:rsid w:val="00EA4120"/>
    <w:rsid w:val="00EA4261"/>
    <w:rsid w:val="00EA4434"/>
    <w:rsid w:val="00EA44A4"/>
    <w:rsid w:val="00EA44D0"/>
    <w:rsid w:val="00EA45D2"/>
    <w:rsid w:val="00EA4732"/>
    <w:rsid w:val="00EA4738"/>
    <w:rsid w:val="00EA4AB3"/>
    <w:rsid w:val="00EA4B59"/>
    <w:rsid w:val="00EA4BB1"/>
    <w:rsid w:val="00EA4CB5"/>
    <w:rsid w:val="00EA4D1B"/>
    <w:rsid w:val="00EA51E8"/>
    <w:rsid w:val="00EA522B"/>
    <w:rsid w:val="00EA5346"/>
    <w:rsid w:val="00EA536F"/>
    <w:rsid w:val="00EA540F"/>
    <w:rsid w:val="00EA585D"/>
    <w:rsid w:val="00EA5A6F"/>
    <w:rsid w:val="00EA5ADD"/>
    <w:rsid w:val="00EA5C6B"/>
    <w:rsid w:val="00EA5CF9"/>
    <w:rsid w:val="00EA5D8F"/>
    <w:rsid w:val="00EA5E12"/>
    <w:rsid w:val="00EA6019"/>
    <w:rsid w:val="00EA6179"/>
    <w:rsid w:val="00EA6186"/>
    <w:rsid w:val="00EA61FB"/>
    <w:rsid w:val="00EA63A6"/>
    <w:rsid w:val="00EA6496"/>
    <w:rsid w:val="00EA66EE"/>
    <w:rsid w:val="00EA678D"/>
    <w:rsid w:val="00EA69E8"/>
    <w:rsid w:val="00EA6D1F"/>
    <w:rsid w:val="00EA6DEA"/>
    <w:rsid w:val="00EA6EAB"/>
    <w:rsid w:val="00EA7212"/>
    <w:rsid w:val="00EA72DC"/>
    <w:rsid w:val="00EA74E8"/>
    <w:rsid w:val="00EA76A7"/>
    <w:rsid w:val="00EA7724"/>
    <w:rsid w:val="00EA791F"/>
    <w:rsid w:val="00EA7956"/>
    <w:rsid w:val="00EA7A41"/>
    <w:rsid w:val="00EA7B28"/>
    <w:rsid w:val="00EA7D14"/>
    <w:rsid w:val="00EB019A"/>
    <w:rsid w:val="00EB0220"/>
    <w:rsid w:val="00EB0349"/>
    <w:rsid w:val="00EB048C"/>
    <w:rsid w:val="00EB0671"/>
    <w:rsid w:val="00EB06AE"/>
    <w:rsid w:val="00EB076E"/>
    <w:rsid w:val="00EB077B"/>
    <w:rsid w:val="00EB082C"/>
    <w:rsid w:val="00EB0E73"/>
    <w:rsid w:val="00EB110F"/>
    <w:rsid w:val="00EB1148"/>
    <w:rsid w:val="00EB1497"/>
    <w:rsid w:val="00EB14D2"/>
    <w:rsid w:val="00EB14E7"/>
    <w:rsid w:val="00EB153E"/>
    <w:rsid w:val="00EB181D"/>
    <w:rsid w:val="00EB18A7"/>
    <w:rsid w:val="00EB18CF"/>
    <w:rsid w:val="00EB18ED"/>
    <w:rsid w:val="00EB19E6"/>
    <w:rsid w:val="00EB1B81"/>
    <w:rsid w:val="00EB1E63"/>
    <w:rsid w:val="00EB1EC5"/>
    <w:rsid w:val="00EB21BD"/>
    <w:rsid w:val="00EB23AB"/>
    <w:rsid w:val="00EB240E"/>
    <w:rsid w:val="00EB2536"/>
    <w:rsid w:val="00EB28B5"/>
    <w:rsid w:val="00EB2A23"/>
    <w:rsid w:val="00EB2AFC"/>
    <w:rsid w:val="00EB2B19"/>
    <w:rsid w:val="00EB2B86"/>
    <w:rsid w:val="00EB2C13"/>
    <w:rsid w:val="00EB2CB8"/>
    <w:rsid w:val="00EB2E18"/>
    <w:rsid w:val="00EB2EE7"/>
    <w:rsid w:val="00EB2F18"/>
    <w:rsid w:val="00EB2F75"/>
    <w:rsid w:val="00EB2FBA"/>
    <w:rsid w:val="00EB2FD2"/>
    <w:rsid w:val="00EB3197"/>
    <w:rsid w:val="00EB31F7"/>
    <w:rsid w:val="00EB3340"/>
    <w:rsid w:val="00EB3394"/>
    <w:rsid w:val="00EB33AA"/>
    <w:rsid w:val="00EB35B4"/>
    <w:rsid w:val="00EB3833"/>
    <w:rsid w:val="00EB38A6"/>
    <w:rsid w:val="00EB38F6"/>
    <w:rsid w:val="00EB3D8D"/>
    <w:rsid w:val="00EB3F33"/>
    <w:rsid w:val="00EB4073"/>
    <w:rsid w:val="00EB40F3"/>
    <w:rsid w:val="00EB429E"/>
    <w:rsid w:val="00EB42E6"/>
    <w:rsid w:val="00EB4701"/>
    <w:rsid w:val="00EB4748"/>
    <w:rsid w:val="00EB475A"/>
    <w:rsid w:val="00EB4854"/>
    <w:rsid w:val="00EB4EA2"/>
    <w:rsid w:val="00EB523E"/>
    <w:rsid w:val="00EB5323"/>
    <w:rsid w:val="00EB560C"/>
    <w:rsid w:val="00EB573C"/>
    <w:rsid w:val="00EB5A4E"/>
    <w:rsid w:val="00EB61FD"/>
    <w:rsid w:val="00EB648F"/>
    <w:rsid w:val="00EB6660"/>
    <w:rsid w:val="00EB679A"/>
    <w:rsid w:val="00EB6A98"/>
    <w:rsid w:val="00EB6B94"/>
    <w:rsid w:val="00EB6D23"/>
    <w:rsid w:val="00EB6F91"/>
    <w:rsid w:val="00EB70E5"/>
    <w:rsid w:val="00EB73CB"/>
    <w:rsid w:val="00EB74B4"/>
    <w:rsid w:val="00EB7612"/>
    <w:rsid w:val="00EB7644"/>
    <w:rsid w:val="00EB78CE"/>
    <w:rsid w:val="00EB7974"/>
    <w:rsid w:val="00EB7ABE"/>
    <w:rsid w:val="00EB7AEB"/>
    <w:rsid w:val="00EB7B06"/>
    <w:rsid w:val="00EB7C96"/>
    <w:rsid w:val="00EB7F26"/>
    <w:rsid w:val="00EC00AC"/>
    <w:rsid w:val="00EC0112"/>
    <w:rsid w:val="00EC02A5"/>
    <w:rsid w:val="00EC0519"/>
    <w:rsid w:val="00EC0814"/>
    <w:rsid w:val="00EC0AA5"/>
    <w:rsid w:val="00EC0AA6"/>
    <w:rsid w:val="00EC0BC4"/>
    <w:rsid w:val="00EC0CCE"/>
    <w:rsid w:val="00EC0EED"/>
    <w:rsid w:val="00EC0F4E"/>
    <w:rsid w:val="00EC0FF4"/>
    <w:rsid w:val="00EC1041"/>
    <w:rsid w:val="00EC1071"/>
    <w:rsid w:val="00EC115A"/>
    <w:rsid w:val="00EC12FB"/>
    <w:rsid w:val="00EC1659"/>
    <w:rsid w:val="00EC181E"/>
    <w:rsid w:val="00EC18C5"/>
    <w:rsid w:val="00EC1993"/>
    <w:rsid w:val="00EC1A38"/>
    <w:rsid w:val="00EC1C01"/>
    <w:rsid w:val="00EC20AF"/>
    <w:rsid w:val="00EC20B8"/>
    <w:rsid w:val="00EC236C"/>
    <w:rsid w:val="00EC24D5"/>
    <w:rsid w:val="00EC2577"/>
    <w:rsid w:val="00EC27C6"/>
    <w:rsid w:val="00EC2928"/>
    <w:rsid w:val="00EC2AA9"/>
    <w:rsid w:val="00EC2CCC"/>
    <w:rsid w:val="00EC2E48"/>
    <w:rsid w:val="00EC2FB5"/>
    <w:rsid w:val="00EC300C"/>
    <w:rsid w:val="00EC323C"/>
    <w:rsid w:val="00EC35A9"/>
    <w:rsid w:val="00EC367C"/>
    <w:rsid w:val="00EC3A14"/>
    <w:rsid w:val="00EC3B3A"/>
    <w:rsid w:val="00EC3B43"/>
    <w:rsid w:val="00EC3C58"/>
    <w:rsid w:val="00EC3D15"/>
    <w:rsid w:val="00EC4080"/>
    <w:rsid w:val="00EC4207"/>
    <w:rsid w:val="00EC4285"/>
    <w:rsid w:val="00EC4396"/>
    <w:rsid w:val="00EC459A"/>
    <w:rsid w:val="00EC497F"/>
    <w:rsid w:val="00EC4985"/>
    <w:rsid w:val="00EC49C5"/>
    <w:rsid w:val="00EC4A9A"/>
    <w:rsid w:val="00EC4B8A"/>
    <w:rsid w:val="00EC4BA1"/>
    <w:rsid w:val="00EC4DC8"/>
    <w:rsid w:val="00EC511D"/>
    <w:rsid w:val="00EC51C9"/>
    <w:rsid w:val="00EC522B"/>
    <w:rsid w:val="00EC528E"/>
    <w:rsid w:val="00EC52B0"/>
    <w:rsid w:val="00EC5403"/>
    <w:rsid w:val="00EC54B5"/>
    <w:rsid w:val="00EC5653"/>
    <w:rsid w:val="00EC5778"/>
    <w:rsid w:val="00EC5AC7"/>
    <w:rsid w:val="00EC5DA3"/>
    <w:rsid w:val="00EC64D3"/>
    <w:rsid w:val="00EC6643"/>
    <w:rsid w:val="00EC6817"/>
    <w:rsid w:val="00EC693C"/>
    <w:rsid w:val="00EC695A"/>
    <w:rsid w:val="00EC6C31"/>
    <w:rsid w:val="00EC6D72"/>
    <w:rsid w:val="00EC6DF6"/>
    <w:rsid w:val="00EC6EE4"/>
    <w:rsid w:val="00EC6EEA"/>
    <w:rsid w:val="00EC7099"/>
    <w:rsid w:val="00EC7139"/>
    <w:rsid w:val="00EC71CE"/>
    <w:rsid w:val="00EC7373"/>
    <w:rsid w:val="00EC73EF"/>
    <w:rsid w:val="00EC74BA"/>
    <w:rsid w:val="00EC76B2"/>
    <w:rsid w:val="00EC7986"/>
    <w:rsid w:val="00EC7C83"/>
    <w:rsid w:val="00EC7E38"/>
    <w:rsid w:val="00ED02F5"/>
    <w:rsid w:val="00ED0585"/>
    <w:rsid w:val="00ED090D"/>
    <w:rsid w:val="00ED0B50"/>
    <w:rsid w:val="00ED0F59"/>
    <w:rsid w:val="00ED0FCD"/>
    <w:rsid w:val="00ED1006"/>
    <w:rsid w:val="00ED127B"/>
    <w:rsid w:val="00ED1513"/>
    <w:rsid w:val="00ED15E7"/>
    <w:rsid w:val="00ED1E10"/>
    <w:rsid w:val="00ED1E35"/>
    <w:rsid w:val="00ED1FA9"/>
    <w:rsid w:val="00ED2028"/>
    <w:rsid w:val="00ED2068"/>
    <w:rsid w:val="00ED23F4"/>
    <w:rsid w:val="00ED248E"/>
    <w:rsid w:val="00ED2620"/>
    <w:rsid w:val="00ED293B"/>
    <w:rsid w:val="00ED2AB0"/>
    <w:rsid w:val="00ED2AC6"/>
    <w:rsid w:val="00ED2EBB"/>
    <w:rsid w:val="00ED30D3"/>
    <w:rsid w:val="00ED3141"/>
    <w:rsid w:val="00ED3199"/>
    <w:rsid w:val="00ED3301"/>
    <w:rsid w:val="00ED3676"/>
    <w:rsid w:val="00ED39B8"/>
    <w:rsid w:val="00ED3A57"/>
    <w:rsid w:val="00ED3B57"/>
    <w:rsid w:val="00ED3BD1"/>
    <w:rsid w:val="00ED3F30"/>
    <w:rsid w:val="00ED435F"/>
    <w:rsid w:val="00ED4569"/>
    <w:rsid w:val="00ED4883"/>
    <w:rsid w:val="00ED49DF"/>
    <w:rsid w:val="00ED4C02"/>
    <w:rsid w:val="00ED4C03"/>
    <w:rsid w:val="00ED4E8F"/>
    <w:rsid w:val="00ED4F83"/>
    <w:rsid w:val="00ED553B"/>
    <w:rsid w:val="00ED5717"/>
    <w:rsid w:val="00ED59F0"/>
    <w:rsid w:val="00ED5B9A"/>
    <w:rsid w:val="00ED5C55"/>
    <w:rsid w:val="00ED5EDE"/>
    <w:rsid w:val="00ED5F2E"/>
    <w:rsid w:val="00ED5F58"/>
    <w:rsid w:val="00ED6216"/>
    <w:rsid w:val="00ED62F6"/>
    <w:rsid w:val="00ED63ED"/>
    <w:rsid w:val="00ED6527"/>
    <w:rsid w:val="00ED6553"/>
    <w:rsid w:val="00ED65A8"/>
    <w:rsid w:val="00ED67FC"/>
    <w:rsid w:val="00ED6A40"/>
    <w:rsid w:val="00ED6C49"/>
    <w:rsid w:val="00ED6CEC"/>
    <w:rsid w:val="00ED6CEE"/>
    <w:rsid w:val="00ED6EEA"/>
    <w:rsid w:val="00ED6F71"/>
    <w:rsid w:val="00ED6FF6"/>
    <w:rsid w:val="00ED7194"/>
    <w:rsid w:val="00ED7345"/>
    <w:rsid w:val="00ED7491"/>
    <w:rsid w:val="00ED7614"/>
    <w:rsid w:val="00ED76F7"/>
    <w:rsid w:val="00ED787B"/>
    <w:rsid w:val="00ED79F0"/>
    <w:rsid w:val="00ED7CA6"/>
    <w:rsid w:val="00ED7D5D"/>
    <w:rsid w:val="00EE0175"/>
    <w:rsid w:val="00EE0578"/>
    <w:rsid w:val="00EE0588"/>
    <w:rsid w:val="00EE0740"/>
    <w:rsid w:val="00EE086F"/>
    <w:rsid w:val="00EE08EE"/>
    <w:rsid w:val="00EE0974"/>
    <w:rsid w:val="00EE0AF7"/>
    <w:rsid w:val="00EE0C97"/>
    <w:rsid w:val="00EE0EA7"/>
    <w:rsid w:val="00EE0F9E"/>
    <w:rsid w:val="00EE13D1"/>
    <w:rsid w:val="00EE13EF"/>
    <w:rsid w:val="00EE1404"/>
    <w:rsid w:val="00EE1B47"/>
    <w:rsid w:val="00EE1DE2"/>
    <w:rsid w:val="00EE20A1"/>
    <w:rsid w:val="00EE21AD"/>
    <w:rsid w:val="00EE231F"/>
    <w:rsid w:val="00EE291A"/>
    <w:rsid w:val="00EE2A11"/>
    <w:rsid w:val="00EE2A5B"/>
    <w:rsid w:val="00EE2B1B"/>
    <w:rsid w:val="00EE2BC3"/>
    <w:rsid w:val="00EE2D55"/>
    <w:rsid w:val="00EE2EA3"/>
    <w:rsid w:val="00EE2F21"/>
    <w:rsid w:val="00EE2FEB"/>
    <w:rsid w:val="00EE321A"/>
    <w:rsid w:val="00EE32DC"/>
    <w:rsid w:val="00EE3676"/>
    <w:rsid w:val="00EE37C7"/>
    <w:rsid w:val="00EE3819"/>
    <w:rsid w:val="00EE388A"/>
    <w:rsid w:val="00EE391A"/>
    <w:rsid w:val="00EE3C38"/>
    <w:rsid w:val="00EE3C50"/>
    <w:rsid w:val="00EE3C95"/>
    <w:rsid w:val="00EE3CA1"/>
    <w:rsid w:val="00EE3DD5"/>
    <w:rsid w:val="00EE435B"/>
    <w:rsid w:val="00EE4482"/>
    <w:rsid w:val="00EE44D5"/>
    <w:rsid w:val="00EE4755"/>
    <w:rsid w:val="00EE49B3"/>
    <w:rsid w:val="00EE49C3"/>
    <w:rsid w:val="00EE4A1A"/>
    <w:rsid w:val="00EE4C7B"/>
    <w:rsid w:val="00EE4CD1"/>
    <w:rsid w:val="00EE4F4C"/>
    <w:rsid w:val="00EE5129"/>
    <w:rsid w:val="00EE517A"/>
    <w:rsid w:val="00EE522F"/>
    <w:rsid w:val="00EE52D6"/>
    <w:rsid w:val="00EE56ED"/>
    <w:rsid w:val="00EE5822"/>
    <w:rsid w:val="00EE586B"/>
    <w:rsid w:val="00EE5895"/>
    <w:rsid w:val="00EE590E"/>
    <w:rsid w:val="00EE5B15"/>
    <w:rsid w:val="00EE5D53"/>
    <w:rsid w:val="00EE603B"/>
    <w:rsid w:val="00EE618D"/>
    <w:rsid w:val="00EE6215"/>
    <w:rsid w:val="00EE6258"/>
    <w:rsid w:val="00EE643B"/>
    <w:rsid w:val="00EE671C"/>
    <w:rsid w:val="00EE6A8B"/>
    <w:rsid w:val="00EE6D02"/>
    <w:rsid w:val="00EE6EDA"/>
    <w:rsid w:val="00EE6F23"/>
    <w:rsid w:val="00EE6FEE"/>
    <w:rsid w:val="00EE7000"/>
    <w:rsid w:val="00EE70D2"/>
    <w:rsid w:val="00EE7137"/>
    <w:rsid w:val="00EE731F"/>
    <w:rsid w:val="00EE73AF"/>
    <w:rsid w:val="00EE7707"/>
    <w:rsid w:val="00EE7913"/>
    <w:rsid w:val="00EE7DE0"/>
    <w:rsid w:val="00EE7E1B"/>
    <w:rsid w:val="00EF0034"/>
    <w:rsid w:val="00EF0075"/>
    <w:rsid w:val="00EF03AA"/>
    <w:rsid w:val="00EF07C0"/>
    <w:rsid w:val="00EF09F2"/>
    <w:rsid w:val="00EF0AE4"/>
    <w:rsid w:val="00EF100D"/>
    <w:rsid w:val="00EF10CE"/>
    <w:rsid w:val="00EF129C"/>
    <w:rsid w:val="00EF155C"/>
    <w:rsid w:val="00EF17B1"/>
    <w:rsid w:val="00EF1866"/>
    <w:rsid w:val="00EF18FE"/>
    <w:rsid w:val="00EF1915"/>
    <w:rsid w:val="00EF1936"/>
    <w:rsid w:val="00EF196D"/>
    <w:rsid w:val="00EF19C7"/>
    <w:rsid w:val="00EF1A4C"/>
    <w:rsid w:val="00EF1B49"/>
    <w:rsid w:val="00EF1E8C"/>
    <w:rsid w:val="00EF1FAA"/>
    <w:rsid w:val="00EF203B"/>
    <w:rsid w:val="00EF267E"/>
    <w:rsid w:val="00EF2697"/>
    <w:rsid w:val="00EF272A"/>
    <w:rsid w:val="00EF29C9"/>
    <w:rsid w:val="00EF2CE5"/>
    <w:rsid w:val="00EF2FA1"/>
    <w:rsid w:val="00EF3052"/>
    <w:rsid w:val="00EF3561"/>
    <w:rsid w:val="00EF3571"/>
    <w:rsid w:val="00EF36D3"/>
    <w:rsid w:val="00EF371F"/>
    <w:rsid w:val="00EF3868"/>
    <w:rsid w:val="00EF3BFF"/>
    <w:rsid w:val="00EF3DE8"/>
    <w:rsid w:val="00EF3EC6"/>
    <w:rsid w:val="00EF3F64"/>
    <w:rsid w:val="00EF4354"/>
    <w:rsid w:val="00EF44B3"/>
    <w:rsid w:val="00EF452F"/>
    <w:rsid w:val="00EF4668"/>
    <w:rsid w:val="00EF48D3"/>
    <w:rsid w:val="00EF5213"/>
    <w:rsid w:val="00EF52DA"/>
    <w:rsid w:val="00EF55A8"/>
    <w:rsid w:val="00EF56BE"/>
    <w:rsid w:val="00EF5787"/>
    <w:rsid w:val="00EF5818"/>
    <w:rsid w:val="00EF5972"/>
    <w:rsid w:val="00EF5976"/>
    <w:rsid w:val="00EF59B7"/>
    <w:rsid w:val="00EF5BF2"/>
    <w:rsid w:val="00EF5CF6"/>
    <w:rsid w:val="00EF5EA5"/>
    <w:rsid w:val="00EF60D0"/>
    <w:rsid w:val="00EF61DE"/>
    <w:rsid w:val="00EF658E"/>
    <w:rsid w:val="00EF6745"/>
    <w:rsid w:val="00EF6894"/>
    <w:rsid w:val="00EF694C"/>
    <w:rsid w:val="00EF6B02"/>
    <w:rsid w:val="00EF6B33"/>
    <w:rsid w:val="00EF6B87"/>
    <w:rsid w:val="00EF6BB9"/>
    <w:rsid w:val="00EF6BF9"/>
    <w:rsid w:val="00EF6C58"/>
    <w:rsid w:val="00EF6D63"/>
    <w:rsid w:val="00EF6EA8"/>
    <w:rsid w:val="00EF709F"/>
    <w:rsid w:val="00EF710C"/>
    <w:rsid w:val="00EF7341"/>
    <w:rsid w:val="00EF767B"/>
    <w:rsid w:val="00EF77A2"/>
    <w:rsid w:val="00EF790A"/>
    <w:rsid w:val="00EF79E0"/>
    <w:rsid w:val="00EF79F9"/>
    <w:rsid w:val="00EF7BC9"/>
    <w:rsid w:val="00EF7BEF"/>
    <w:rsid w:val="00EF7CD8"/>
    <w:rsid w:val="00EF7DC7"/>
    <w:rsid w:val="00F001EE"/>
    <w:rsid w:val="00F00458"/>
    <w:rsid w:val="00F00643"/>
    <w:rsid w:val="00F0072C"/>
    <w:rsid w:val="00F0084F"/>
    <w:rsid w:val="00F009A6"/>
    <w:rsid w:val="00F00A8B"/>
    <w:rsid w:val="00F00DC3"/>
    <w:rsid w:val="00F0101B"/>
    <w:rsid w:val="00F0102F"/>
    <w:rsid w:val="00F014E0"/>
    <w:rsid w:val="00F018A3"/>
    <w:rsid w:val="00F01D9B"/>
    <w:rsid w:val="00F01EAD"/>
    <w:rsid w:val="00F01EBF"/>
    <w:rsid w:val="00F02023"/>
    <w:rsid w:val="00F02051"/>
    <w:rsid w:val="00F0216E"/>
    <w:rsid w:val="00F021CA"/>
    <w:rsid w:val="00F02A64"/>
    <w:rsid w:val="00F02AE7"/>
    <w:rsid w:val="00F037B6"/>
    <w:rsid w:val="00F03809"/>
    <w:rsid w:val="00F03893"/>
    <w:rsid w:val="00F038E7"/>
    <w:rsid w:val="00F03931"/>
    <w:rsid w:val="00F03D79"/>
    <w:rsid w:val="00F03E90"/>
    <w:rsid w:val="00F040ED"/>
    <w:rsid w:val="00F04267"/>
    <w:rsid w:val="00F044F9"/>
    <w:rsid w:val="00F0450F"/>
    <w:rsid w:val="00F0469E"/>
    <w:rsid w:val="00F04743"/>
    <w:rsid w:val="00F04D4F"/>
    <w:rsid w:val="00F04F0E"/>
    <w:rsid w:val="00F0527C"/>
    <w:rsid w:val="00F0528D"/>
    <w:rsid w:val="00F056F5"/>
    <w:rsid w:val="00F0583F"/>
    <w:rsid w:val="00F058AB"/>
    <w:rsid w:val="00F058F0"/>
    <w:rsid w:val="00F0599F"/>
    <w:rsid w:val="00F05B63"/>
    <w:rsid w:val="00F05BE9"/>
    <w:rsid w:val="00F05D56"/>
    <w:rsid w:val="00F06042"/>
    <w:rsid w:val="00F060F3"/>
    <w:rsid w:val="00F0616F"/>
    <w:rsid w:val="00F0630B"/>
    <w:rsid w:val="00F06A1D"/>
    <w:rsid w:val="00F06A96"/>
    <w:rsid w:val="00F06C67"/>
    <w:rsid w:val="00F06DCE"/>
    <w:rsid w:val="00F06DFD"/>
    <w:rsid w:val="00F06FE8"/>
    <w:rsid w:val="00F071D1"/>
    <w:rsid w:val="00F07533"/>
    <w:rsid w:val="00F07CE3"/>
    <w:rsid w:val="00F07EAA"/>
    <w:rsid w:val="00F07EAC"/>
    <w:rsid w:val="00F1004D"/>
    <w:rsid w:val="00F10054"/>
    <w:rsid w:val="00F10167"/>
    <w:rsid w:val="00F10182"/>
    <w:rsid w:val="00F102E8"/>
    <w:rsid w:val="00F10328"/>
    <w:rsid w:val="00F1045B"/>
    <w:rsid w:val="00F104C6"/>
    <w:rsid w:val="00F10542"/>
    <w:rsid w:val="00F10629"/>
    <w:rsid w:val="00F10668"/>
    <w:rsid w:val="00F10A03"/>
    <w:rsid w:val="00F10A8A"/>
    <w:rsid w:val="00F10CF7"/>
    <w:rsid w:val="00F10FAE"/>
    <w:rsid w:val="00F1103A"/>
    <w:rsid w:val="00F1111A"/>
    <w:rsid w:val="00F111A9"/>
    <w:rsid w:val="00F1153E"/>
    <w:rsid w:val="00F117B4"/>
    <w:rsid w:val="00F11A17"/>
    <w:rsid w:val="00F11A75"/>
    <w:rsid w:val="00F11CA7"/>
    <w:rsid w:val="00F11DEB"/>
    <w:rsid w:val="00F12032"/>
    <w:rsid w:val="00F121DA"/>
    <w:rsid w:val="00F12222"/>
    <w:rsid w:val="00F1228C"/>
    <w:rsid w:val="00F123FD"/>
    <w:rsid w:val="00F124FB"/>
    <w:rsid w:val="00F1256E"/>
    <w:rsid w:val="00F125CA"/>
    <w:rsid w:val="00F12636"/>
    <w:rsid w:val="00F126B6"/>
    <w:rsid w:val="00F12B1B"/>
    <w:rsid w:val="00F12DB7"/>
    <w:rsid w:val="00F12F1D"/>
    <w:rsid w:val="00F130EA"/>
    <w:rsid w:val="00F135F4"/>
    <w:rsid w:val="00F137FD"/>
    <w:rsid w:val="00F13C7E"/>
    <w:rsid w:val="00F13EAA"/>
    <w:rsid w:val="00F14213"/>
    <w:rsid w:val="00F144BA"/>
    <w:rsid w:val="00F14857"/>
    <w:rsid w:val="00F148B9"/>
    <w:rsid w:val="00F14BA8"/>
    <w:rsid w:val="00F14E23"/>
    <w:rsid w:val="00F14F0B"/>
    <w:rsid w:val="00F1510C"/>
    <w:rsid w:val="00F151AF"/>
    <w:rsid w:val="00F15502"/>
    <w:rsid w:val="00F15587"/>
    <w:rsid w:val="00F15674"/>
    <w:rsid w:val="00F15A11"/>
    <w:rsid w:val="00F15A43"/>
    <w:rsid w:val="00F15B09"/>
    <w:rsid w:val="00F15E8E"/>
    <w:rsid w:val="00F15FA5"/>
    <w:rsid w:val="00F16001"/>
    <w:rsid w:val="00F16086"/>
    <w:rsid w:val="00F16201"/>
    <w:rsid w:val="00F16396"/>
    <w:rsid w:val="00F1679E"/>
    <w:rsid w:val="00F16BEF"/>
    <w:rsid w:val="00F16DEE"/>
    <w:rsid w:val="00F16E70"/>
    <w:rsid w:val="00F16FBF"/>
    <w:rsid w:val="00F1730B"/>
    <w:rsid w:val="00F1750B"/>
    <w:rsid w:val="00F177FB"/>
    <w:rsid w:val="00F179C0"/>
    <w:rsid w:val="00F17D0D"/>
    <w:rsid w:val="00F17FE1"/>
    <w:rsid w:val="00F20124"/>
    <w:rsid w:val="00F2028C"/>
    <w:rsid w:val="00F20466"/>
    <w:rsid w:val="00F209B7"/>
    <w:rsid w:val="00F209D3"/>
    <w:rsid w:val="00F20BE7"/>
    <w:rsid w:val="00F21054"/>
    <w:rsid w:val="00F2167D"/>
    <w:rsid w:val="00F217AE"/>
    <w:rsid w:val="00F21836"/>
    <w:rsid w:val="00F21956"/>
    <w:rsid w:val="00F21ACA"/>
    <w:rsid w:val="00F21B67"/>
    <w:rsid w:val="00F21C09"/>
    <w:rsid w:val="00F21DF5"/>
    <w:rsid w:val="00F21E7B"/>
    <w:rsid w:val="00F21E91"/>
    <w:rsid w:val="00F21F8B"/>
    <w:rsid w:val="00F22247"/>
    <w:rsid w:val="00F2233D"/>
    <w:rsid w:val="00F223D9"/>
    <w:rsid w:val="00F2268A"/>
    <w:rsid w:val="00F22797"/>
    <w:rsid w:val="00F228AB"/>
    <w:rsid w:val="00F22A2D"/>
    <w:rsid w:val="00F22B90"/>
    <w:rsid w:val="00F22BAA"/>
    <w:rsid w:val="00F22BBA"/>
    <w:rsid w:val="00F22C5C"/>
    <w:rsid w:val="00F22CB0"/>
    <w:rsid w:val="00F22F66"/>
    <w:rsid w:val="00F230FA"/>
    <w:rsid w:val="00F23252"/>
    <w:rsid w:val="00F2376F"/>
    <w:rsid w:val="00F23778"/>
    <w:rsid w:val="00F238A2"/>
    <w:rsid w:val="00F23909"/>
    <w:rsid w:val="00F2392B"/>
    <w:rsid w:val="00F2393F"/>
    <w:rsid w:val="00F239D1"/>
    <w:rsid w:val="00F23BDD"/>
    <w:rsid w:val="00F23D1D"/>
    <w:rsid w:val="00F23E48"/>
    <w:rsid w:val="00F24105"/>
    <w:rsid w:val="00F2415B"/>
    <w:rsid w:val="00F243AA"/>
    <w:rsid w:val="00F243D8"/>
    <w:rsid w:val="00F24453"/>
    <w:rsid w:val="00F24478"/>
    <w:rsid w:val="00F246D9"/>
    <w:rsid w:val="00F24928"/>
    <w:rsid w:val="00F24B7E"/>
    <w:rsid w:val="00F25215"/>
    <w:rsid w:val="00F252AF"/>
    <w:rsid w:val="00F255A3"/>
    <w:rsid w:val="00F2566D"/>
    <w:rsid w:val="00F258E8"/>
    <w:rsid w:val="00F25A45"/>
    <w:rsid w:val="00F25DBF"/>
    <w:rsid w:val="00F25DEA"/>
    <w:rsid w:val="00F26067"/>
    <w:rsid w:val="00F2615B"/>
    <w:rsid w:val="00F2636C"/>
    <w:rsid w:val="00F2689F"/>
    <w:rsid w:val="00F26AC7"/>
    <w:rsid w:val="00F26BE3"/>
    <w:rsid w:val="00F26E6C"/>
    <w:rsid w:val="00F27077"/>
    <w:rsid w:val="00F27154"/>
    <w:rsid w:val="00F277EF"/>
    <w:rsid w:val="00F2789B"/>
    <w:rsid w:val="00F279DA"/>
    <w:rsid w:val="00F27EFC"/>
    <w:rsid w:val="00F30041"/>
    <w:rsid w:val="00F303DE"/>
    <w:rsid w:val="00F304FF"/>
    <w:rsid w:val="00F307C3"/>
    <w:rsid w:val="00F307C8"/>
    <w:rsid w:val="00F30828"/>
    <w:rsid w:val="00F30984"/>
    <w:rsid w:val="00F30A14"/>
    <w:rsid w:val="00F30D8F"/>
    <w:rsid w:val="00F30E85"/>
    <w:rsid w:val="00F30EE0"/>
    <w:rsid w:val="00F30F5A"/>
    <w:rsid w:val="00F311D7"/>
    <w:rsid w:val="00F313D6"/>
    <w:rsid w:val="00F3192E"/>
    <w:rsid w:val="00F31D3A"/>
    <w:rsid w:val="00F31DB7"/>
    <w:rsid w:val="00F32362"/>
    <w:rsid w:val="00F3245B"/>
    <w:rsid w:val="00F32511"/>
    <w:rsid w:val="00F32DE5"/>
    <w:rsid w:val="00F33551"/>
    <w:rsid w:val="00F3367E"/>
    <w:rsid w:val="00F33748"/>
    <w:rsid w:val="00F3384F"/>
    <w:rsid w:val="00F33AE4"/>
    <w:rsid w:val="00F33C23"/>
    <w:rsid w:val="00F33C9F"/>
    <w:rsid w:val="00F33D7E"/>
    <w:rsid w:val="00F33D9C"/>
    <w:rsid w:val="00F33FAE"/>
    <w:rsid w:val="00F34373"/>
    <w:rsid w:val="00F34471"/>
    <w:rsid w:val="00F3461C"/>
    <w:rsid w:val="00F34B0C"/>
    <w:rsid w:val="00F34C4A"/>
    <w:rsid w:val="00F34D42"/>
    <w:rsid w:val="00F3514B"/>
    <w:rsid w:val="00F35219"/>
    <w:rsid w:val="00F35226"/>
    <w:rsid w:val="00F35227"/>
    <w:rsid w:val="00F35266"/>
    <w:rsid w:val="00F35342"/>
    <w:rsid w:val="00F3554D"/>
    <w:rsid w:val="00F3565C"/>
    <w:rsid w:val="00F35877"/>
    <w:rsid w:val="00F35C1A"/>
    <w:rsid w:val="00F35F96"/>
    <w:rsid w:val="00F364B1"/>
    <w:rsid w:val="00F365D6"/>
    <w:rsid w:val="00F36706"/>
    <w:rsid w:val="00F369B2"/>
    <w:rsid w:val="00F36C8C"/>
    <w:rsid w:val="00F36D3F"/>
    <w:rsid w:val="00F3707C"/>
    <w:rsid w:val="00F37254"/>
    <w:rsid w:val="00F37285"/>
    <w:rsid w:val="00F37288"/>
    <w:rsid w:val="00F372F5"/>
    <w:rsid w:val="00F375B0"/>
    <w:rsid w:val="00F37780"/>
    <w:rsid w:val="00F378BF"/>
    <w:rsid w:val="00F379A4"/>
    <w:rsid w:val="00F37C15"/>
    <w:rsid w:val="00F37E50"/>
    <w:rsid w:val="00F40078"/>
    <w:rsid w:val="00F4021C"/>
    <w:rsid w:val="00F402D7"/>
    <w:rsid w:val="00F4046E"/>
    <w:rsid w:val="00F406E1"/>
    <w:rsid w:val="00F409BA"/>
    <w:rsid w:val="00F40A7D"/>
    <w:rsid w:val="00F40BEF"/>
    <w:rsid w:val="00F40C3E"/>
    <w:rsid w:val="00F40F0C"/>
    <w:rsid w:val="00F41171"/>
    <w:rsid w:val="00F411F5"/>
    <w:rsid w:val="00F41321"/>
    <w:rsid w:val="00F413AC"/>
    <w:rsid w:val="00F413C2"/>
    <w:rsid w:val="00F41719"/>
    <w:rsid w:val="00F41923"/>
    <w:rsid w:val="00F419EC"/>
    <w:rsid w:val="00F42168"/>
    <w:rsid w:val="00F4220B"/>
    <w:rsid w:val="00F42326"/>
    <w:rsid w:val="00F42888"/>
    <w:rsid w:val="00F42A8D"/>
    <w:rsid w:val="00F42B16"/>
    <w:rsid w:val="00F42D80"/>
    <w:rsid w:val="00F42F02"/>
    <w:rsid w:val="00F43226"/>
    <w:rsid w:val="00F43556"/>
    <w:rsid w:val="00F43880"/>
    <w:rsid w:val="00F43DED"/>
    <w:rsid w:val="00F43E18"/>
    <w:rsid w:val="00F43E6A"/>
    <w:rsid w:val="00F43ECB"/>
    <w:rsid w:val="00F4400C"/>
    <w:rsid w:val="00F44247"/>
    <w:rsid w:val="00F44390"/>
    <w:rsid w:val="00F44473"/>
    <w:rsid w:val="00F44505"/>
    <w:rsid w:val="00F445FD"/>
    <w:rsid w:val="00F448A9"/>
    <w:rsid w:val="00F449A6"/>
    <w:rsid w:val="00F449E2"/>
    <w:rsid w:val="00F44B27"/>
    <w:rsid w:val="00F44D5D"/>
    <w:rsid w:val="00F44E8E"/>
    <w:rsid w:val="00F44ED8"/>
    <w:rsid w:val="00F4502A"/>
    <w:rsid w:val="00F4507F"/>
    <w:rsid w:val="00F4536B"/>
    <w:rsid w:val="00F45625"/>
    <w:rsid w:val="00F4575A"/>
    <w:rsid w:val="00F45962"/>
    <w:rsid w:val="00F45E96"/>
    <w:rsid w:val="00F45EEF"/>
    <w:rsid w:val="00F462B4"/>
    <w:rsid w:val="00F4636A"/>
    <w:rsid w:val="00F46520"/>
    <w:rsid w:val="00F4682E"/>
    <w:rsid w:val="00F46B59"/>
    <w:rsid w:val="00F46E63"/>
    <w:rsid w:val="00F47145"/>
    <w:rsid w:val="00F47272"/>
    <w:rsid w:val="00F4734E"/>
    <w:rsid w:val="00F473E9"/>
    <w:rsid w:val="00F4766C"/>
    <w:rsid w:val="00F5060E"/>
    <w:rsid w:val="00F507D1"/>
    <w:rsid w:val="00F50C0A"/>
    <w:rsid w:val="00F50D06"/>
    <w:rsid w:val="00F50D86"/>
    <w:rsid w:val="00F50DAE"/>
    <w:rsid w:val="00F51082"/>
    <w:rsid w:val="00F511A0"/>
    <w:rsid w:val="00F515B1"/>
    <w:rsid w:val="00F51633"/>
    <w:rsid w:val="00F5178C"/>
    <w:rsid w:val="00F519CE"/>
    <w:rsid w:val="00F51A0C"/>
    <w:rsid w:val="00F51ADA"/>
    <w:rsid w:val="00F51AE5"/>
    <w:rsid w:val="00F51D5D"/>
    <w:rsid w:val="00F51EA1"/>
    <w:rsid w:val="00F51FB6"/>
    <w:rsid w:val="00F521EF"/>
    <w:rsid w:val="00F525BF"/>
    <w:rsid w:val="00F527A6"/>
    <w:rsid w:val="00F528B0"/>
    <w:rsid w:val="00F5296D"/>
    <w:rsid w:val="00F529D9"/>
    <w:rsid w:val="00F52CCC"/>
    <w:rsid w:val="00F52E41"/>
    <w:rsid w:val="00F52E9D"/>
    <w:rsid w:val="00F52EEA"/>
    <w:rsid w:val="00F53129"/>
    <w:rsid w:val="00F53295"/>
    <w:rsid w:val="00F532F2"/>
    <w:rsid w:val="00F5331B"/>
    <w:rsid w:val="00F53439"/>
    <w:rsid w:val="00F536C8"/>
    <w:rsid w:val="00F537CC"/>
    <w:rsid w:val="00F53A1F"/>
    <w:rsid w:val="00F53BA0"/>
    <w:rsid w:val="00F53EAB"/>
    <w:rsid w:val="00F5409A"/>
    <w:rsid w:val="00F540B9"/>
    <w:rsid w:val="00F544D0"/>
    <w:rsid w:val="00F548F3"/>
    <w:rsid w:val="00F54963"/>
    <w:rsid w:val="00F54A09"/>
    <w:rsid w:val="00F54CD2"/>
    <w:rsid w:val="00F54E99"/>
    <w:rsid w:val="00F557C7"/>
    <w:rsid w:val="00F559CE"/>
    <w:rsid w:val="00F55A00"/>
    <w:rsid w:val="00F55D05"/>
    <w:rsid w:val="00F56024"/>
    <w:rsid w:val="00F5602A"/>
    <w:rsid w:val="00F56491"/>
    <w:rsid w:val="00F564C4"/>
    <w:rsid w:val="00F56782"/>
    <w:rsid w:val="00F567B8"/>
    <w:rsid w:val="00F5685A"/>
    <w:rsid w:val="00F568AE"/>
    <w:rsid w:val="00F5690E"/>
    <w:rsid w:val="00F5693F"/>
    <w:rsid w:val="00F56BC2"/>
    <w:rsid w:val="00F56BFC"/>
    <w:rsid w:val="00F56E10"/>
    <w:rsid w:val="00F56EDA"/>
    <w:rsid w:val="00F57257"/>
    <w:rsid w:val="00F57275"/>
    <w:rsid w:val="00F572DD"/>
    <w:rsid w:val="00F575B8"/>
    <w:rsid w:val="00F575C1"/>
    <w:rsid w:val="00F577D5"/>
    <w:rsid w:val="00F579B7"/>
    <w:rsid w:val="00F600DE"/>
    <w:rsid w:val="00F60203"/>
    <w:rsid w:val="00F60309"/>
    <w:rsid w:val="00F60375"/>
    <w:rsid w:val="00F605AC"/>
    <w:rsid w:val="00F60629"/>
    <w:rsid w:val="00F607C5"/>
    <w:rsid w:val="00F60A65"/>
    <w:rsid w:val="00F60BA2"/>
    <w:rsid w:val="00F60D74"/>
    <w:rsid w:val="00F60DEA"/>
    <w:rsid w:val="00F60DF9"/>
    <w:rsid w:val="00F611DE"/>
    <w:rsid w:val="00F61458"/>
    <w:rsid w:val="00F61536"/>
    <w:rsid w:val="00F61708"/>
    <w:rsid w:val="00F61709"/>
    <w:rsid w:val="00F6182E"/>
    <w:rsid w:val="00F61854"/>
    <w:rsid w:val="00F6188C"/>
    <w:rsid w:val="00F61ACF"/>
    <w:rsid w:val="00F62442"/>
    <w:rsid w:val="00F625DE"/>
    <w:rsid w:val="00F627DD"/>
    <w:rsid w:val="00F627F5"/>
    <w:rsid w:val="00F62BF5"/>
    <w:rsid w:val="00F62CBE"/>
    <w:rsid w:val="00F62D62"/>
    <w:rsid w:val="00F62F74"/>
    <w:rsid w:val="00F62F9E"/>
    <w:rsid w:val="00F6302A"/>
    <w:rsid w:val="00F63186"/>
    <w:rsid w:val="00F6324D"/>
    <w:rsid w:val="00F63270"/>
    <w:rsid w:val="00F63291"/>
    <w:rsid w:val="00F6358D"/>
    <w:rsid w:val="00F63619"/>
    <w:rsid w:val="00F63717"/>
    <w:rsid w:val="00F6371E"/>
    <w:rsid w:val="00F63950"/>
    <w:rsid w:val="00F63A18"/>
    <w:rsid w:val="00F63CC1"/>
    <w:rsid w:val="00F63D38"/>
    <w:rsid w:val="00F63DC1"/>
    <w:rsid w:val="00F63EDB"/>
    <w:rsid w:val="00F63F8D"/>
    <w:rsid w:val="00F642E5"/>
    <w:rsid w:val="00F645BF"/>
    <w:rsid w:val="00F6481F"/>
    <w:rsid w:val="00F64869"/>
    <w:rsid w:val="00F648AE"/>
    <w:rsid w:val="00F6492D"/>
    <w:rsid w:val="00F64B0C"/>
    <w:rsid w:val="00F64B6A"/>
    <w:rsid w:val="00F64C2B"/>
    <w:rsid w:val="00F64EBF"/>
    <w:rsid w:val="00F6501B"/>
    <w:rsid w:val="00F651BE"/>
    <w:rsid w:val="00F65359"/>
    <w:rsid w:val="00F65816"/>
    <w:rsid w:val="00F65B34"/>
    <w:rsid w:val="00F65BAD"/>
    <w:rsid w:val="00F65CDE"/>
    <w:rsid w:val="00F6614C"/>
    <w:rsid w:val="00F6689C"/>
    <w:rsid w:val="00F66A7E"/>
    <w:rsid w:val="00F66AFA"/>
    <w:rsid w:val="00F66BB7"/>
    <w:rsid w:val="00F66C1D"/>
    <w:rsid w:val="00F66DF9"/>
    <w:rsid w:val="00F6705F"/>
    <w:rsid w:val="00F670A6"/>
    <w:rsid w:val="00F67128"/>
    <w:rsid w:val="00F67150"/>
    <w:rsid w:val="00F67159"/>
    <w:rsid w:val="00F671D4"/>
    <w:rsid w:val="00F675F8"/>
    <w:rsid w:val="00F67748"/>
    <w:rsid w:val="00F677FA"/>
    <w:rsid w:val="00F67B12"/>
    <w:rsid w:val="00F67BE1"/>
    <w:rsid w:val="00F67BE3"/>
    <w:rsid w:val="00F67C07"/>
    <w:rsid w:val="00F67CEF"/>
    <w:rsid w:val="00F67D18"/>
    <w:rsid w:val="00F67EAD"/>
    <w:rsid w:val="00F67F53"/>
    <w:rsid w:val="00F70129"/>
    <w:rsid w:val="00F703BE"/>
    <w:rsid w:val="00F70438"/>
    <w:rsid w:val="00F70634"/>
    <w:rsid w:val="00F7065A"/>
    <w:rsid w:val="00F706FC"/>
    <w:rsid w:val="00F70A31"/>
    <w:rsid w:val="00F70AB7"/>
    <w:rsid w:val="00F70EC0"/>
    <w:rsid w:val="00F70F24"/>
    <w:rsid w:val="00F70F4D"/>
    <w:rsid w:val="00F7101E"/>
    <w:rsid w:val="00F7104A"/>
    <w:rsid w:val="00F7175B"/>
    <w:rsid w:val="00F71EBC"/>
    <w:rsid w:val="00F71F69"/>
    <w:rsid w:val="00F72127"/>
    <w:rsid w:val="00F72606"/>
    <w:rsid w:val="00F72857"/>
    <w:rsid w:val="00F728A1"/>
    <w:rsid w:val="00F72B15"/>
    <w:rsid w:val="00F72B72"/>
    <w:rsid w:val="00F72C24"/>
    <w:rsid w:val="00F72C37"/>
    <w:rsid w:val="00F7351A"/>
    <w:rsid w:val="00F7373A"/>
    <w:rsid w:val="00F737D7"/>
    <w:rsid w:val="00F73AB9"/>
    <w:rsid w:val="00F73B94"/>
    <w:rsid w:val="00F73D34"/>
    <w:rsid w:val="00F73EEA"/>
    <w:rsid w:val="00F74016"/>
    <w:rsid w:val="00F74044"/>
    <w:rsid w:val="00F740A0"/>
    <w:rsid w:val="00F741C1"/>
    <w:rsid w:val="00F74716"/>
    <w:rsid w:val="00F74814"/>
    <w:rsid w:val="00F74A13"/>
    <w:rsid w:val="00F74BB9"/>
    <w:rsid w:val="00F74C13"/>
    <w:rsid w:val="00F74F4B"/>
    <w:rsid w:val="00F75076"/>
    <w:rsid w:val="00F75089"/>
    <w:rsid w:val="00F7547B"/>
    <w:rsid w:val="00F75582"/>
    <w:rsid w:val="00F75678"/>
    <w:rsid w:val="00F75957"/>
    <w:rsid w:val="00F75D88"/>
    <w:rsid w:val="00F75E13"/>
    <w:rsid w:val="00F7639D"/>
    <w:rsid w:val="00F76738"/>
    <w:rsid w:val="00F767BE"/>
    <w:rsid w:val="00F76833"/>
    <w:rsid w:val="00F768CC"/>
    <w:rsid w:val="00F76A2E"/>
    <w:rsid w:val="00F76B1B"/>
    <w:rsid w:val="00F76CB6"/>
    <w:rsid w:val="00F76D15"/>
    <w:rsid w:val="00F76EFA"/>
    <w:rsid w:val="00F772CD"/>
    <w:rsid w:val="00F7759C"/>
    <w:rsid w:val="00F775E8"/>
    <w:rsid w:val="00F77A72"/>
    <w:rsid w:val="00F77DD0"/>
    <w:rsid w:val="00F77DD1"/>
    <w:rsid w:val="00F77E83"/>
    <w:rsid w:val="00F77EF6"/>
    <w:rsid w:val="00F8016A"/>
    <w:rsid w:val="00F80181"/>
    <w:rsid w:val="00F803BD"/>
    <w:rsid w:val="00F804BE"/>
    <w:rsid w:val="00F80948"/>
    <w:rsid w:val="00F80E1D"/>
    <w:rsid w:val="00F810EE"/>
    <w:rsid w:val="00F81101"/>
    <w:rsid w:val="00F81436"/>
    <w:rsid w:val="00F8168E"/>
    <w:rsid w:val="00F817CE"/>
    <w:rsid w:val="00F818AD"/>
    <w:rsid w:val="00F81B71"/>
    <w:rsid w:val="00F81BE2"/>
    <w:rsid w:val="00F81FDB"/>
    <w:rsid w:val="00F82391"/>
    <w:rsid w:val="00F823B9"/>
    <w:rsid w:val="00F8244D"/>
    <w:rsid w:val="00F82674"/>
    <w:rsid w:val="00F82891"/>
    <w:rsid w:val="00F82937"/>
    <w:rsid w:val="00F82BAD"/>
    <w:rsid w:val="00F82D69"/>
    <w:rsid w:val="00F82F96"/>
    <w:rsid w:val="00F82F9A"/>
    <w:rsid w:val="00F833C2"/>
    <w:rsid w:val="00F83432"/>
    <w:rsid w:val="00F83461"/>
    <w:rsid w:val="00F83511"/>
    <w:rsid w:val="00F83730"/>
    <w:rsid w:val="00F83890"/>
    <w:rsid w:val="00F83A09"/>
    <w:rsid w:val="00F83BAF"/>
    <w:rsid w:val="00F83BF4"/>
    <w:rsid w:val="00F83C87"/>
    <w:rsid w:val="00F83EF8"/>
    <w:rsid w:val="00F83FCF"/>
    <w:rsid w:val="00F840BA"/>
    <w:rsid w:val="00F841FC"/>
    <w:rsid w:val="00F8456C"/>
    <w:rsid w:val="00F845B2"/>
    <w:rsid w:val="00F84C9C"/>
    <w:rsid w:val="00F84CE7"/>
    <w:rsid w:val="00F84DC5"/>
    <w:rsid w:val="00F84F2B"/>
    <w:rsid w:val="00F84FCE"/>
    <w:rsid w:val="00F84FED"/>
    <w:rsid w:val="00F85096"/>
    <w:rsid w:val="00F850A5"/>
    <w:rsid w:val="00F85154"/>
    <w:rsid w:val="00F8542C"/>
    <w:rsid w:val="00F854D4"/>
    <w:rsid w:val="00F856E0"/>
    <w:rsid w:val="00F8588F"/>
    <w:rsid w:val="00F859D8"/>
    <w:rsid w:val="00F85A5E"/>
    <w:rsid w:val="00F85A93"/>
    <w:rsid w:val="00F8606C"/>
    <w:rsid w:val="00F860FE"/>
    <w:rsid w:val="00F86515"/>
    <w:rsid w:val="00F86567"/>
    <w:rsid w:val="00F86573"/>
    <w:rsid w:val="00F868F5"/>
    <w:rsid w:val="00F8696B"/>
    <w:rsid w:val="00F869B4"/>
    <w:rsid w:val="00F86B21"/>
    <w:rsid w:val="00F86C77"/>
    <w:rsid w:val="00F86DE1"/>
    <w:rsid w:val="00F86E21"/>
    <w:rsid w:val="00F86E52"/>
    <w:rsid w:val="00F86E6B"/>
    <w:rsid w:val="00F872CD"/>
    <w:rsid w:val="00F875A1"/>
    <w:rsid w:val="00F878D5"/>
    <w:rsid w:val="00F87B27"/>
    <w:rsid w:val="00F87BE6"/>
    <w:rsid w:val="00F87E02"/>
    <w:rsid w:val="00F87E68"/>
    <w:rsid w:val="00F87EC1"/>
    <w:rsid w:val="00F87F2C"/>
    <w:rsid w:val="00F90051"/>
    <w:rsid w:val="00F9056A"/>
    <w:rsid w:val="00F906FB"/>
    <w:rsid w:val="00F90744"/>
    <w:rsid w:val="00F907D8"/>
    <w:rsid w:val="00F90C27"/>
    <w:rsid w:val="00F90C64"/>
    <w:rsid w:val="00F90CDD"/>
    <w:rsid w:val="00F90F8D"/>
    <w:rsid w:val="00F91342"/>
    <w:rsid w:val="00F91478"/>
    <w:rsid w:val="00F914B2"/>
    <w:rsid w:val="00F9159D"/>
    <w:rsid w:val="00F916AF"/>
    <w:rsid w:val="00F916BC"/>
    <w:rsid w:val="00F917EA"/>
    <w:rsid w:val="00F91B3F"/>
    <w:rsid w:val="00F9214C"/>
    <w:rsid w:val="00F92152"/>
    <w:rsid w:val="00F925D9"/>
    <w:rsid w:val="00F92782"/>
    <w:rsid w:val="00F92784"/>
    <w:rsid w:val="00F92A8F"/>
    <w:rsid w:val="00F92AED"/>
    <w:rsid w:val="00F92C14"/>
    <w:rsid w:val="00F92C44"/>
    <w:rsid w:val="00F92D05"/>
    <w:rsid w:val="00F92D77"/>
    <w:rsid w:val="00F92DAD"/>
    <w:rsid w:val="00F9304E"/>
    <w:rsid w:val="00F9381B"/>
    <w:rsid w:val="00F93A8A"/>
    <w:rsid w:val="00F93A93"/>
    <w:rsid w:val="00F93AA9"/>
    <w:rsid w:val="00F93C44"/>
    <w:rsid w:val="00F94193"/>
    <w:rsid w:val="00F942A7"/>
    <w:rsid w:val="00F94657"/>
    <w:rsid w:val="00F9468C"/>
    <w:rsid w:val="00F94706"/>
    <w:rsid w:val="00F9471C"/>
    <w:rsid w:val="00F948FA"/>
    <w:rsid w:val="00F94AD9"/>
    <w:rsid w:val="00F94D17"/>
    <w:rsid w:val="00F94F77"/>
    <w:rsid w:val="00F95079"/>
    <w:rsid w:val="00F95238"/>
    <w:rsid w:val="00F95372"/>
    <w:rsid w:val="00F954C3"/>
    <w:rsid w:val="00F95686"/>
    <w:rsid w:val="00F95832"/>
    <w:rsid w:val="00F95857"/>
    <w:rsid w:val="00F95A39"/>
    <w:rsid w:val="00F95A81"/>
    <w:rsid w:val="00F95C19"/>
    <w:rsid w:val="00F95C7B"/>
    <w:rsid w:val="00F95D58"/>
    <w:rsid w:val="00F95DB6"/>
    <w:rsid w:val="00F95F5F"/>
    <w:rsid w:val="00F96171"/>
    <w:rsid w:val="00F961AF"/>
    <w:rsid w:val="00F96385"/>
    <w:rsid w:val="00F9664C"/>
    <w:rsid w:val="00F96985"/>
    <w:rsid w:val="00F96A49"/>
    <w:rsid w:val="00F96ADC"/>
    <w:rsid w:val="00F96C1C"/>
    <w:rsid w:val="00F96E36"/>
    <w:rsid w:val="00F96E92"/>
    <w:rsid w:val="00F96F11"/>
    <w:rsid w:val="00F97032"/>
    <w:rsid w:val="00F97234"/>
    <w:rsid w:val="00F97566"/>
    <w:rsid w:val="00F975E3"/>
    <w:rsid w:val="00F97838"/>
    <w:rsid w:val="00F97855"/>
    <w:rsid w:val="00F97C82"/>
    <w:rsid w:val="00F97CE8"/>
    <w:rsid w:val="00F97FF6"/>
    <w:rsid w:val="00FA0013"/>
    <w:rsid w:val="00FA00F6"/>
    <w:rsid w:val="00FA02C9"/>
    <w:rsid w:val="00FA03BA"/>
    <w:rsid w:val="00FA041B"/>
    <w:rsid w:val="00FA05FB"/>
    <w:rsid w:val="00FA079F"/>
    <w:rsid w:val="00FA0A79"/>
    <w:rsid w:val="00FA0B85"/>
    <w:rsid w:val="00FA0DF3"/>
    <w:rsid w:val="00FA0E78"/>
    <w:rsid w:val="00FA0F55"/>
    <w:rsid w:val="00FA0FEA"/>
    <w:rsid w:val="00FA1290"/>
    <w:rsid w:val="00FA13DD"/>
    <w:rsid w:val="00FA1412"/>
    <w:rsid w:val="00FA17A1"/>
    <w:rsid w:val="00FA1891"/>
    <w:rsid w:val="00FA19F5"/>
    <w:rsid w:val="00FA1BE3"/>
    <w:rsid w:val="00FA1F50"/>
    <w:rsid w:val="00FA1FCF"/>
    <w:rsid w:val="00FA236B"/>
    <w:rsid w:val="00FA2446"/>
    <w:rsid w:val="00FA264B"/>
    <w:rsid w:val="00FA26CB"/>
    <w:rsid w:val="00FA2A1E"/>
    <w:rsid w:val="00FA2AB5"/>
    <w:rsid w:val="00FA2BB3"/>
    <w:rsid w:val="00FA2BE4"/>
    <w:rsid w:val="00FA2C19"/>
    <w:rsid w:val="00FA2E8A"/>
    <w:rsid w:val="00FA2EAE"/>
    <w:rsid w:val="00FA2FC8"/>
    <w:rsid w:val="00FA2FF6"/>
    <w:rsid w:val="00FA31E8"/>
    <w:rsid w:val="00FA332B"/>
    <w:rsid w:val="00FA343E"/>
    <w:rsid w:val="00FA3456"/>
    <w:rsid w:val="00FA353B"/>
    <w:rsid w:val="00FA38CF"/>
    <w:rsid w:val="00FA3C06"/>
    <w:rsid w:val="00FA43A5"/>
    <w:rsid w:val="00FA4B81"/>
    <w:rsid w:val="00FA4CD4"/>
    <w:rsid w:val="00FA4D91"/>
    <w:rsid w:val="00FA4FEA"/>
    <w:rsid w:val="00FA512A"/>
    <w:rsid w:val="00FA53CD"/>
    <w:rsid w:val="00FA55A3"/>
    <w:rsid w:val="00FA55DB"/>
    <w:rsid w:val="00FA583F"/>
    <w:rsid w:val="00FA59A9"/>
    <w:rsid w:val="00FA5A00"/>
    <w:rsid w:val="00FA5A14"/>
    <w:rsid w:val="00FA5DB5"/>
    <w:rsid w:val="00FA5DCA"/>
    <w:rsid w:val="00FA600D"/>
    <w:rsid w:val="00FA6108"/>
    <w:rsid w:val="00FA644E"/>
    <w:rsid w:val="00FA64EA"/>
    <w:rsid w:val="00FA65E0"/>
    <w:rsid w:val="00FA66EA"/>
    <w:rsid w:val="00FA6A02"/>
    <w:rsid w:val="00FA6ADB"/>
    <w:rsid w:val="00FA6E58"/>
    <w:rsid w:val="00FA6FF6"/>
    <w:rsid w:val="00FA73FD"/>
    <w:rsid w:val="00FA743F"/>
    <w:rsid w:val="00FA757F"/>
    <w:rsid w:val="00FA7744"/>
    <w:rsid w:val="00FA790F"/>
    <w:rsid w:val="00FA7B57"/>
    <w:rsid w:val="00FB0634"/>
    <w:rsid w:val="00FB0679"/>
    <w:rsid w:val="00FB0811"/>
    <w:rsid w:val="00FB094C"/>
    <w:rsid w:val="00FB099F"/>
    <w:rsid w:val="00FB0A8E"/>
    <w:rsid w:val="00FB0AD8"/>
    <w:rsid w:val="00FB0C52"/>
    <w:rsid w:val="00FB0D3E"/>
    <w:rsid w:val="00FB1414"/>
    <w:rsid w:val="00FB1C76"/>
    <w:rsid w:val="00FB1D26"/>
    <w:rsid w:val="00FB1D43"/>
    <w:rsid w:val="00FB1D64"/>
    <w:rsid w:val="00FB1F87"/>
    <w:rsid w:val="00FB218A"/>
    <w:rsid w:val="00FB228F"/>
    <w:rsid w:val="00FB23E1"/>
    <w:rsid w:val="00FB24E7"/>
    <w:rsid w:val="00FB2890"/>
    <w:rsid w:val="00FB28D5"/>
    <w:rsid w:val="00FB2C3D"/>
    <w:rsid w:val="00FB2F81"/>
    <w:rsid w:val="00FB2F99"/>
    <w:rsid w:val="00FB31EB"/>
    <w:rsid w:val="00FB320C"/>
    <w:rsid w:val="00FB3295"/>
    <w:rsid w:val="00FB3572"/>
    <w:rsid w:val="00FB357F"/>
    <w:rsid w:val="00FB3A90"/>
    <w:rsid w:val="00FB3BC5"/>
    <w:rsid w:val="00FB3F73"/>
    <w:rsid w:val="00FB4221"/>
    <w:rsid w:val="00FB427B"/>
    <w:rsid w:val="00FB4333"/>
    <w:rsid w:val="00FB4707"/>
    <w:rsid w:val="00FB4810"/>
    <w:rsid w:val="00FB4A59"/>
    <w:rsid w:val="00FB4B6F"/>
    <w:rsid w:val="00FB4C80"/>
    <w:rsid w:val="00FB4D1A"/>
    <w:rsid w:val="00FB4EB7"/>
    <w:rsid w:val="00FB4EE3"/>
    <w:rsid w:val="00FB5051"/>
    <w:rsid w:val="00FB50F0"/>
    <w:rsid w:val="00FB5386"/>
    <w:rsid w:val="00FB5448"/>
    <w:rsid w:val="00FB55E1"/>
    <w:rsid w:val="00FB561B"/>
    <w:rsid w:val="00FB5687"/>
    <w:rsid w:val="00FB594B"/>
    <w:rsid w:val="00FB5963"/>
    <w:rsid w:val="00FB5967"/>
    <w:rsid w:val="00FB5A7B"/>
    <w:rsid w:val="00FB5C9A"/>
    <w:rsid w:val="00FB5CE9"/>
    <w:rsid w:val="00FB5D37"/>
    <w:rsid w:val="00FB5DBE"/>
    <w:rsid w:val="00FB5FA3"/>
    <w:rsid w:val="00FB6093"/>
    <w:rsid w:val="00FB640F"/>
    <w:rsid w:val="00FB6712"/>
    <w:rsid w:val="00FB6A6A"/>
    <w:rsid w:val="00FB6BE8"/>
    <w:rsid w:val="00FB7019"/>
    <w:rsid w:val="00FB71CA"/>
    <w:rsid w:val="00FB7644"/>
    <w:rsid w:val="00FB769D"/>
    <w:rsid w:val="00FB788D"/>
    <w:rsid w:val="00FB7AE3"/>
    <w:rsid w:val="00FB7DBB"/>
    <w:rsid w:val="00FB7EBF"/>
    <w:rsid w:val="00FB7FA2"/>
    <w:rsid w:val="00FC0015"/>
    <w:rsid w:val="00FC00FA"/>
    <w:rsid w:val="00FC034A"/>
    <w:rsid w:val="00FC0891"/>
    <w:rsid w:val="00FC08C0"/>
    <w:rsid w:val="00FC09AD"/>
    <w:rsid w:val="00FC0FA0"/>
    <w:rsid w:val="00FC158E"/>
    <w:rsid w:val="00FC15EC"/>
    <w:rsid w:val="00FC1977"/>
    <w:rsid w:val="00FC1A8E"/>
    <w:rsid w:val="00FC1B4C"/>
    <w:rsid w:val="00FC1C2F"/>
    <w:rsid w:val="00FC1DCE"/>
    <w:rsid w:val="00FC203B"/>
    <w:rsid w:val="00FC2404"/>
    <w:rsid w:val="00FC24CD"/>
    <w:rsid w:val="00FC25B1"/>
    <w:rsid w:val="00FC2712"/>
    <w:rsid w:val="00FC2740"/>
    <w:rsid w:val="00FC2767"/>
    <w:rsid w:val="00FC2984"/>
    <w:rsid w:val="00FC2D73"/>
    <w:rsid w:val="00FC2F99"/>
    <w:rsid w:val="00FC2FF9"/>
    <w:rsid w:val="00FC3237"/>
    <w:rsid w:val="00FC3247"/>
    <w:rsid w:val="00FC36A8"/>
    <w:rsid w:val="00FC36DD"/>
    <w:rsid w:val="00FC3A2C"/>
    <w:rsid w:val="00FC3D44"/>
    <w:rsid w:val="00FC3D8C"/>
    <w:rsid w:val="00FC41E8"/>
    <w:rsid w:val="00FC4356"/>
    <w:rsid w:val="00FC4589"/>
    <w:rsid w:val="00FC46CE"/>
    <w:rsid w:val="00FC4888"/>
    <w:rsid w:val="00FC4AB5"/>
    <w:rsid w:val="00FC4B06"/>
    <w:rsid w:val="00FC4B82"/>
    <w:rsid w:val="00FC4B9D"/>
    <w:rsid w:val="00FC4C24"/>
    <w:rsid w:val="00FC4C36"/>
    <w:rsid w:val="00FC4D81"/>
    <w:rsid w:val="00FC520D"/>
    <w:rsid w:val="00FC5511"/>
    <w:rsid w:val="00FC56C2"/>
    <w:rsid w:val="00FC5792"/>
    <w:rsid w:val="00FC57AF"/>
    <w:rsid w:val="00FC584D"/>
    <w:rsid w:val="00FC5A4B"/>
    <w:rsid w:val="00FC5CA3"/>
    <w:rsid w:val="00FC62B7"/>
    <w:rsid w:val="00FC680C"/>
    <w:rsid w:val="00FC6823"/>
    <w:rsid w:val="00FC6B0F"/>
    <w:rsid w:val="00FC6C30"/>
    <w:rsid w:val="00FC6C3B"/>
    <w:rsid w:val="00FC6E46"/>
    <w:rsid w:val="00FC6E9E"/>
    <w:rsid w:val="00FC707D"/>
    <w:rsid w:val="00FC7429"/>
    <w:rsid w:val="00FC7970"/>
    <w:rsid w:val="00FC798D"/>
    <w:rsid w:val="00FC7B11"/>
    <w:rsid w:val="00FD0107"/>
    <w:rsid w:val="00FD05A6"/>
    <w:rsid w:val="00FD07F6"/>
    <w:rsid w:val="00FD0926"/>
    <w:rsid w:val="00FD0C96"/>
    <w:rsid w:val="00FD0CAC"/>
    <w:rsid w:val="00FD0F00"/>
    <w:rsid w:val="00FD14CD"/>
    <w:rsid w:val="00FD1601"/>
    <w:rsid w:val="00FD17CE"/>
    <w:rsid w:val="00FD1A79"/>
    <w:rsid w:val="00FD1E4E"/>
    <w:rsid w:val="00FD1EC8"/>
    <w:rsid w:val="00FD1F14"/>
    <w:rsid w:val="00FD20CD"/>
    <w:rsid w:val="00FD2452"/>
    <w:rsid w:val="00FD250C"/>
    <w:rsid w:val="00FD2564"/>
    <w:rsid w:val="00FD258E"/>
    <w:rsid w:val="00FD263B"/>
    <w:rsid w:val="00FD2850"/>
    <w:rsid w:val="00FD2BE5"/>
    <w:rsid w:val="00FD2CAF"/>
    <w:rsid w:val="00FD2F46"/>
    <w:rsid w:val="00FD310D"/>
    <w:rsid w:val="00FD33C4"/>
    <w:rsid w:val="00FD347D"/>
    <w:rsid w:val="00FD37A8"/>
    <w:rsid w:val="00FD37D4"/>
    <w:rsid w:val="00FD3A31"/>
    <w:rsid w:val="00FD3FFA"/>
    <w:rsid w:val="00FD4019"/>
    <w:rsid w:val="00FD404F"/>
    <w:rsid w:val="00FD4343"/>
    <w:rsid w:val="00FD442E"/>
    <w:rsid w:val="00FD4496"/>
    <w:rsid w:val="00FD4692"/>
    <w:rsid w:val="00FD4706"/>
    <w:rsid w:val="00FD47ED"/>
    <w:rsid w:val="00FD492A"/>
    <w:rsid w:val="00FD493B"/>
    <w:rsid w:val="00FD4A16"/>
    <w:rsid w:val="00FD4EFA"/>
    <w:rsid w:val="00FD510B"/>
    <w:rsid w:val="00FD5292"/>
    <w:rsid w:val="00FD5391"/>
    <w:rsid w:val="00FD5878"/>
    <w:rsid w:val="00FD58A8"/>
    <w:rsid w:val="00FD5A5E"/>
    <w:rsid w:val="00FD5C27"/>
    <w:rsid w:val="00FD5C7A"/>
    <w:rsid w:val="00FD5CE3"/>
    <w:rsid w:val="00FD5DC1"/>
    <w:rsid w:val="00FD5F68"/>
    <w:rsid w:val="00FD6500"/>
    <w:rsid w:val="00FD6700"/>
    <w:rsid w:val="00FD69EA"/>
    <w:rsid w:val="00FD6B82"/>
    <w:rsid w:val="00FD6C68"/>
    <w:rsid w:val="00FD6C6E"/>
    <w:rsid w:val="00FD6CDD"/>
    <w:rsid w:val="00FD6D48"/>
    <w:rsid w:val="00FD707F"/>
    <w:rsid w:val="00FD713E"/>
    <w:rsid w:val="00FD72A6"/>
    <w:rsid w:val="00FD7336"/>
    <w:rsid w:val="00FD74DB"/>
    <w:rsid w:val="00FD760C"/>
    <w:rsid w:val="00FD7660"/>
    <w:rsid w:val="00FD76A9"/>
    <w:rsid w:val="00FD772C"/>
    <w:rsid w:val="00FD78E4"/>
    <w:rsid w:val="00FD795B"/>
    <w:rsid w:val="00FD7B0A"/>
    <w:rsid w:val="00FD7DB7"/>
    <w:rsid w:val="00FD7E74"/>
    <w:rsid w:val="00FD7EB3"/>
    <w:rsid w:val="00FE0074"/>
    <w:rsid w:val="00FE017F"/>
    <w:rsid w:val="00FE036A"/>
    <w:rsid w:val="00FE0482"/>
    <w:rsid w:val="00FE054B"/>
    <w:rsid w:val="00FE0655"/>
    <w:rsid w:val="00FE0859"/>
    <w:rsid w:val="00FE087C"/>
    <w:rsid w:val="00FE0973"/>
    <w:rsid w:val="00FE1058"/>
    <w:rsid w:val="00FE10D8"/>
    <w:rsid w:val="00FE12E3"/>
    <w:rsid w:val="00FE139E"/>
    <w:rsid w:val="00FE13A6"/>
    <w:rsid w:val="00FE150E"/>
    <w:rsid w:val="00FE16BE"/>
    <w:rsid w:val="00FE1916"/>
    <w:rsid w:val="00FE196A"/>
    <w:rsid w:val="00FE1993"/>
    <w:rsid w:val="00FE19CB"/>
    <w:rsid w:val="00FE1BE6"/>
    <w:rsid w:val="00FE1C1F"/>
    <w:rsid w:val="00FE2007"/>
    <w:rsid w:val="00FE20F8"/>
    <w:rsid w:val="00FE2163"/>
    <w:rsid w:val="00FE2365"/>
    <w:rsid w:val="00FE2497"/>
    <w:rsid w:val="00FE2555"/>
    <w:rsid w:val="00FE2956"/>
    <w:rsid w:val="00FE2990"/>
    <w:rsid w:val="00FE29F4"/>
    <w:rsid w:val="00FE2B83"/>
    <w:rsid w:val="00FE2E70"/>
    <w:rsid w:val="00FE2EA6"/>
    <w:rsid w:val="00FE2ED2"/>
    <w:rsid w:val="00FE2F37"/>
    <w:rsid w:val="00FE3455"/>
    <w:rsid w:val="00FE3540"/>
    <w:rsid w:val="00FE3713"/>
    <w:rsid w:val="00FE37D7"/>
    <w:rsid w:val="00FE3AE2"/>
    <w:rsid w:val="00FE3C45"/>
    <w:rsid w:val="00FE3C69"/>
    <w:rsid w:val="00FE3C85"/>
    <w:rsid w:val="00FE3DDD"/>
    <w:rsid w:val="00FE3EA5"/>
    <w:rsid w:val="00FE4141"/>
    <w:rsid w:val="00FE41F5"/>
    <w:rsid w:val="00FE476E"/>
    <w:rsid w:val="00FE4823"/>
    <w:rsid w:val="00FE48DF"/>
    <w:rsid w:val="00FE49A9"/>
    <w:rsid w:val="00FE4A39"/>
    <w:rsid w:val="00FE4C7B"/>
    <w:rsid w:val="00FE4D1B"/>
    <w:rsid w:val="00FE4D94"/>
    <w:rsid w:val="00FE4DB1"/>
    <w:rsid w:val="00FE4FA0"/>
    <w:rsid w:val="00FE4FB1"/>
    <w:rsid w:val="00FE4FE8"/>
    <w:rsid w:val="00FE5113"/>
    <w:rsid w:val="00FE518B"/>
    <w:rsid w:val="00FE5514"/>
    <w:rsid w:val="00FE5587"/>
    <w:rsid w:val="00FE58F3"/>
    <w:rsid w:val="00FE5BAD"/>
    <w:rsid w:val="00FE5BE6"/>
    <w:rsid w:val="00FE5DFC"/>
    <w:rsid w:val="00FE6005"/>
    <w:rsid w:val="00FE62A1"/>
    <w:rsid w:val="00FE62B0"/>
    <w:rsid w:val="00FE6312"/>
    <w:rsid w:val="00FE647F"/>
    <w:rsid w:val="00FE6764"/>
    <w:rsid w:val="00FE6C25"/>
    <w:rsid w:val="00FE6D00"/>
    <w:rsid w:val="00FE6F8C"/>
    <w:rsid w:val="00FE7026"/>
    <w:rsid w:val="00FE7336"/>
    <w:rsid w:val="00FE73AA"/>
    <w:rsid w:val="00FE7408"/>
    <w:rsid w:val="00FE758F"/>
    <w:rsid w:val="00FE7756"/>
    <w:rsid w:val="00FE783F"/>
    <w:rsid w:val="00FE787C"/>
    <w:rsid w:val="00FE7A88"/>
    <w:rsid w:val="00FE7AC3"/>
    <w:rsid w:val="00FE7C97"/>
    <w:rsid w:val="00FE7E0E"/>
    <w:rsid w:val="00FE7EAF"/>
    <w:rsid w:val="00FF020E"/>
    <w:rsid w:val="00FF0219"/>
    <w:rsid w:val="00FF0457"/>
    <w:rsid w:val="00FF0971"/>
    <w:rsid w:val="00FF0B40"/>
    <w:rsid w:val="00FF0C84"/>
    <w:rsid w:val="00FF1005"/>
    <w:rsid w:val="00FF11E7"/>
    <w:rsid w:val="00FF13D4"/>
    <w:rsid w:val="00FF1549"/>
    <w:rsid w:val="00FF1766"/>
    <w:rsid w:val="00FF17DC"/>
    <w:rsid w:val="00FF18A0"/>
    <w:rsid w:val="00FF1927"/>
    <w:rsid w:val="00FF2518"/>
    <w:rsid w:val="00FF258B"/>
    <w:rsid w:val="00FF2648"/>
    <w:rsid w:val="00FF275A"/>
    <w:rsid w:val="00FF2A36"/>
    <w:rsid w:val="00FF3116"/>
    <w:rsid w:val="00FF31A2"/>
    <w:rsid w:val="00FF32B8"/>
    <w:rsid w:val="00FF3359"/>
    <w:rsid w:val="00FF3999"/>
    <w:rsid w:val="00FF3C0D"/>
    <w:rsid w:val="00FF40EA"/>
    <w:rsid w:val="00FF4456"/>
    <w:rsid w:val="00FF4460"/>
    <w:rsid w:val="00FF45A5"/>
    <w:rsid w:val="00FF4634"/>
    <w:rsid w:val="00FF472F"/>
    <w:rsid w:val="00FF4913"/>
    <w:rsid w:val="00FF4983"/>
    <w:rsid w:val="00FF4BD6"/>
    <w:rsid w:val="00FF4E0D"/>
    <w:rsid w:val="00FF4EB6"/>
    <w:rsid w:val="00FF4F93"/>
    <w:rsid w:val="00FF50CB"/>
    <w:rsid w:val="00FF51B8"/>
    <w:rsid w:val="00FF5670"/>
    <w:rsid w:val="00FF5735"/>
    <w:rsid w:val="00FF587F"/>
    <w:rsid w:val="00FF58C5"/>
    <w:rsid w:val="00FF5C2D"/>
    <w:rsid w:val="00FF5C91"/>
    <w:rsid w:val="00FF5CB6"/>
    <w:rsid w:val="00FF5D7D"/>
    <w:rsid w:val="00FF5F3A"/>
    <w:rsid w:val="00FF5F9B"/>
    <w:rsid w:val="00FF5FEB"/>
    <w:rsid w:val="00FF62C1"/>
    <w:rsid w:val="00FF6324"/>
    <w:rsid w:val="00FF6432"/>
    <w:rsid w:val="00FF6437"/>
    <w:rsid w:val="00FF654B"/>
    <w:rsid w:val="00FF67C1"/>
    <w:rsid w:val="00FF6B41"/>
    <w:rsid w:val="00FF6BCA"/>
    <w:rsid w:val="00FF6D1C"/>
    <w:rsid w:val="00FF6DFF"/>
    <w:rsid w:val="00FF7261"/>
    <w:rsid w:val="00FF743A"/>
    <w:rsid w:val="00FF7598"/>
    <w:rsid w:val="00FF76BC"/>
    <w:rsid w:val="00FF7777"/>
    <w:rsid w:val="00FF7837"/>
    <w:rsid w:val="00FF784A"/>
    <w:rsid w:val="00FF78E5"/>
    <w:rsid w:val="00FF7A59"/>
    <w:rsid w:val="00FF7D97"/>
    <w:rsid w:val="00FF7E92"/>
    <w:rsid w:val="034E1E4C"/>
    <w:rsid w:val="04D7E24F"/>
    <w:rsid w:val="09E87CE2"/>
    <w:rsid w:val="0C39D94D"/>
    <w:rsid w:val="0D057C7B"/>
    <w:rsid w:val="0DC7DB02"/>
    <w:rsid w:val="0DD02E6A"/>
    <w:rsid w:val="0E238DB8"/>
    <w:rsid w:val="10372817"/>
    <w:rsid w:val="15478A92"/>
    <w:rsid w:val="1573F594"/>
    <w:rsid w:val="16029101"/>
    <w:rsid w:val="170C80D3"/>
    <w:rsid w:val="1968D820"/>
    <w:rsid w:val="19915626"/>
    <w:rsid w:val="1A9AB1D6"/>
    <w:rsid w:val="1C7A4837"/>
    <w:rsid w:val="1D541A87"/>
    <w:rsid w:val="1DA287A7"/>
    <w:rsid w:val="1E261491"/>
    <w:rsid w:val="1FF1325D"/>
    <w:rsid w:val="2047D786"/>
    <w:rsid w:val="21CE269C"/>
    <w:rsid w:val="2673A75D"/>
    <w:rsid w:val="26BEEA04"/>
    <w:rsid w:val="28705F4B"/>
    <w:rsid w:val="2AC6344D"/>
    <w:rsid w:val="2ACF6851"/>
    <w:rsid w:val="2AD6984B"/>
    <w:rsid w:val="2D465EB9"/>
    <w:rsid w:val="2F2EBE71"/>
    <w:rsid w:val="2F91325B"/>
    <w:rsid w:val="3029B3A3"/>
    <w:rsid w:val="320AE0F0"/>
    <w:rsid w:val="327A2525"/>
    <w:rsid w:val="3299D8E9"/>
    <w:rsid w:val="331DAB4A"/>
    <w:rsid w:val="353873C6"/>
    <w:rsid w:val="35521BB4"/>
    <w:rsid w:val="35DAF9E0"/>
    <w:rsid w:val="37CBB063"/>
    <w:rsid w:val="38E1CB76"/>
    <w:rsid w:val="404EAA19"/>
    <w:rsid w:val="40F85430"/>
    <w:rsid w:val="426392CF"/>
    <w:rsid w:val="436B5B9E"/>
    <w:rsid w:val="43D299E5"/>
    <w:rsid w:val="45C0E65B"/>
    <w:rsid w:val="466A765B"/>
    <w:rsid w:val="46B4FA10"/>
    <w:rsid w:val="46DC65DF"/>
    <w:rsid w:val="4B3F0B9F"/>
    <w:rsid w:val="4B6C8A6D"/>
    <w:rsid w:val="4D26EF3A"/>
    <w:rsid w:val="4EAD9CE0"/>
    <w:rsid w:val="500ED65E"/>
    <w:rsid w:val="513662B4"/>
    <w:rsid w:val="51BB65DC"/>
    <w:rsid w:val="51D0ACCE"/>
    <w:rsid w:val="53F16DD0"/>
    <w:rsid w:val="542BB1A5"/>
    <w:rsid w:val="55BAB303"/>
    <w:rsid w:val="5632A8DD"/>
    <w:rsid w:val="5A14DD55"/>
    <w:rsid w:val="5A61938C"/>
    <w:rsid w:val="5D681866"/>
    <w:rsid w:val="5F47AC95"/>
    <w:rsid w:val="62E92D70"/>
    <w:rsid w:val="64E893A3"/>
    <w:rsid w:val="6706DCA1"/>
    <w:rsid w:val="671CBD16"/>
    <w:rsid w:val="6830424C"/>
    <w:rsid w:val="689FCBE2"/>
    <w:rsid w:val="6C533796"/>
    <w:rsid w:val="6C68B3F2"/>
    <w:rsid w:val="6DFA5436"/>
    <w:rsid w:val="6E887925"/>
    <w:rsid w:val="6FB265E3"/>
    <w:rsid w:val="6FE56628"/>
    <w:rsid w:val="71DCC613"/>
    <w:rsid w:val="72B4B78A"/>
    <w:rsid w:val="75348353"/>
    <w:rsid w:val="766329BE"/>
    <w:rsid w:val="76681F58"/>
    <w:rsid w:val="767769E0"/>
    <w:rsid w:val="76D1046A"/>
    <w:rsid w:val="7772F166"/>
    <w:rsid w:val="77A34316"/>
    <w:rsid w:val="78B11D93"/>
    <w:rsid w:val="7CB9130C"/>
    <w:rsid w:val="7E06C33B"/>
    <w:rsid w:val="7E27A4CA"/>
    <w:rsid w:val="7EAD0021"/>
    <w:rsid w:val="7ED13DA4"/>
    <w:rsid w:val="7F05826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G Times (WN)" w:hAnsi="CG Times (WN)"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next w:val="1"/>
    <w:link w:val="68"/>
    <w:qFormat/>
    <w:uiPriority w:val="0"/>
    <w:pPr>
      <w:keepNext/>
      <w:keepLines/>
      <w:numPr>
        <w:ilvl w:val="0"/>
        <w:numId w:val="1"/>
      </w:numPr>
      <w:pBdr>
        <w:top w:val="single" w:color="auto" w:sz="12" w:space="3"/>
      </w:pBdr>
      <w:overflowPunct w:val="0"/>
      <w:autoSpaceDE w:val="0"/>
      <w:autoSpaceDN w:val="0"/>
      <w:adjustRightInd w:val="0"/>
      <w:spacing w:before="240" w:after="180"/>
      <w:textAlignment w:val="baseline"/>
      <w:outlineLvl w:val="0"/>
    </w:pPr>
    <w:rPr>
      <w:rFonts w:ascii="Arial" w:hAnsi="Arial" w:eastAsia="MS Mincho" w:cs="Times New Roman"/>
      <w:sz w:val="36"/>
      <w:lang w:val="en-GB" w:eastAsia="ja-JP" w:bidi="ar-SA"/>
    </w:rPr>
  </w:style>
  <w:style w:type="paragraph" w:styleId="3">
    <w:name w:val="heading 2"/>
    <w:basedOn w:val="2"/>
    <w:next w:val="1"/>
    <w:link w:val="124"/>
    <w:qFormat/>
    <w:uiPriority w:val="0"/>
    <w:pPr>
      <w:numPr>
        <w:ilvl w:val="1"/>
      </w:numPr>
      <w:pBdr>
        <w:top w:val="none" w:color="auto" w:sz="0" w:space="0"/>
      </w:pBdr>
      <w:spacing w:before="180"/>
      <w:outlineLvl w:val="1"/>
    </w:pPr>
    <w:rPr>
      <w:sz w:val="32"/>
    </w:rPr>
  </w:style>
  <w:style w:type="paragraph" w:styleId="4">
    <w:name w:val="heading 3"/>
    <w:basedOn w:val="3"/>
    <w:next w:val="1"/>
    <w:link w:val="125"/>
    <w:qFormat/>
    <w:uiPriority w:val="0"/>
    <w:pPr>
      <w:numPr>
        <w:ilvl w:val="2"/>
      </w:numPr>
      <w:spacing w:before="120"/>
      <w:outlineLvl w:val="2"/>
    </w:pPr>
    <w:rPr>
      <w:sz w:val="28"/>
    </w:rPr>
  </w:style>
  <w:style w:type="paragraph" w:styleId="5">
    <w:name w:val="heading 4"/>
    <w:basedOn w:val="4"/>
    <w:next w:val="1"/>
    <w:link w:val="126"/>
    <w:qFormat/>
    <w:uiPriority w:val="0"/>
    <w:pPr>
      <w:numPr>
        <w:ilvl w:val="3"/>
      </w:numPr>
      <w:outlineLvl w:val="3"/>
    </w:pPr>
    <w:rPr>
      <w:sz w:val="24"/>
    </w:rPr>
  </w:style>
  <w:style w:type="paragraph" w:styleId="6">
    <w:name w:val="heading 5"/>
    <w:basedOn w:val="5"/>
    <w:next w:val="1"/>
    <w:link w:val="127"/>
    <w:qFormat/>
    <w:uiPriority w:val="0"/>
    <w:pPr>
      <w:numPr>
        <w:ilvl w:val="4"/>
      </w:numPr>
      <w:outlineLvl w:val="4"/>
    </w:pPr>
    <w:rPr>
      <w:sz w:val="22"/>
    </w:rPr>
  </w:style>
  <w:style w:type="paragraph" w:styleId="7">
    <w:name w:val="heading 6"/>
    <w:basedOn w:val="8"/>
    <w:next w:val="1"/>
    <w:link w:val="128"/>
    <w:qFormat/>
    <w:uiPriority w:val="0"/>
    <w:pPr>
      <w:numPr>
        <w:ilvl w:val="5"/>
      </w:numPr>
      <w:outlineLvl w:val="5"/>
    </w:pPr>
  </w:style>
  <w:style w:type="paragraph" w:styleId="9">
    <w:name w:val="heading 7"/>
    <w:basedOn w:val="8"/>
    <w:next w:val="1"/>
    <w:link w:val="129"/>
    <w:qFormat/>
    <w:uiPriority w:val="0"/>
    <w:pPr>
      <w:numPr>
        <w:ilvl w:val="6"/>
      </w:numPr>
      <w:outlineLvl w:val="6"/>
    </w:pPr>
  </w:style>
  <w:style w:type="paragraph" w:styleId="10">
    <w:name w:val="heading 8"/>
    <w:basedOn w:val="2"/>
    <w:next w:val="1"/>
    <w:link w:val="130"/>
    <w:qFormat/>
    <w:uiPriority w:val="0"/>
    <w:pPr>
      <w:numPr>
        <w:ilvl w:val="7"/>
      </w:numPr>
      <w:outlineLvl w:val="7"/>
    </w:pPr>
  </w:style>
  <w:style w:type="paragraph" w:styleId="11">
    <w:name w:val="heading 9"/>
    <w:basedOn w:val="10"/>
    <w:next w:val="1"/>
    <w:link w:val="131"/>
    <w:qFormat/>
    <w:uiPriority w:val="0"/>
    <w:pPr>
      <w:numPr>
        <w:ilvl w:val="8"/>
      </w:numPr>
      <w:outlineLvl w:val="8"/>
    </w:pPr>
  </w:style>
  <w:style w:type="character" w:default="1" w:styleId="53">
    <w:name w:val="Default Paragraph Font"/>
    <w:semiHidden/>
    <w:unhideWhenUsed/>
    <w:qFormat/>
    <w:uiPriority w:val="1"/>
  </w:style>
  <w:style w:type="table" w:default="1" w:styleId="51">
    <w:name w:val="Normal Table"/>
    <w:semiHidden/>
    <w:unhideWhenUsed/>
    <w:uiPriority w:val="99"/>
    <w:tblPr>
      <w:tblCellMar>
        <w:top w:w="0" w:type="dxa"/>
        <w:left w:w="108" w:type="dxa"/>
        <w:bottom w:w="0" w:type="dxa"/>
        <w:right w:w="108" w:type="dxa"/>
      </w:tblCellMar>
    </w:tblPr>
  </w:style>
  <w:style w:type="paragraph" w:customStyle="1" w:styleId="8">
    <w:name w:val="H6"/>
    <w:basedOn w:val="6"/>
    <w:next w:val="1"/>
    <w:qFormat/>
    <w:uiPriority w:val="0"/>
    <w:pPr>
      <w:ind w:left="1985" w:hanging="1985"/>
      <w:outlineLvl w:val="9"/>
    </w:pPr>
    <w:rPr>
      <w:sz w:val="20"/>
    </w:rPr>
  </w:style>
  <w:style w:type="paragraph" w:styleId="12">
    <w:name w:val="List 3"/>
    <w:basedOn w:val="13"/>
    <w:qFormat/>
    <w:uiPriority w:val="0"/>
    <w:pPr>
      <w:ind w:left="1135"/>
    </w:pPr>
  </w:style>
  <w:style w:type="paragraph" w:styleId="13">
    <w:name w:val="List 2"/>
    <w:basedOn w:val="14"/>
    <w:qFormat/>
    <w:uiPriority w:val="0"/>
    <w:pPr>
      <w:ind w:left="851"/>
    </w:pPr>
  </w:style>
  <w:style w:type="paragraph" w:styleId="14">
    <w:name w:val="List"/>
    <w:basedOn w:val="15"/>
    <w:qFormat/>
    <w:uiPriority w:val="0"/>
    <w:pPr>
      <w:ind w:left="568" w:hanging="284"/>
    </w:pPr>
  </w:style>
  <w:style w:type="paragraph" w:styleId="15">
    <w:name w:val="Body Text"/>
    <w:basedOn w:val="1"/>
    <w:link w:val="74"/>
    <w:qFormat/>
    <w:uiPriority w:val="0"/>
  </w:style>
  <w:style w:type="paragraph" w:styleId="16">
    <w:name w:val="toc 7"/>
    <w:basedOn w:val="17"/>
    <w:next w:val="1"/>
    <w:qFormat/>
    <w:uiPriority w:val="39"/>
    <w:pPr>
      <w:tabs>
        <w:tab w:val="right" w:leader="dot" w:pos="9639"/>
      </w:tabs>
      <w:ind w:left="2268" w:hanging="2268"/>
    </w:pPr>
  </w:style>
  <w:style w:type="paragraph" w:styleId="17">
    <w:name w:val="toc 6"/>
    <w:basedOn w:val="18"/>
    <w:next w:val="1"/>
    <w:qFormat/>
    <w:uiPriority w:val="39"/>
    <w:pPr>
      <w:tabs>
        <w:tab w:val="right" w:leader="dot" w:pos="9639"/>
      </w:tabs>
      <w:ind w:left="1985" w:hanging="1985"/>
    </w:pPr>
  </w:style>
  <w:style w:type="paragraph" w:styleId="18">
    <w:name w:val="toc 5"/>
    <w:basedOn w:val="19"/>
    <w:qFormat/>
    <w:uiPriority w:val="39"/>
    <w:pPr>
      <w:tabs>
        <w:tab w:val="right" w:leader="dot" w:pos="9639"/>
      </w:tabs>
      <w:ind w:left="1701" w:hanging="1701"/>
    </w:pPr>
  </w:style>
  <w:style w:type="paragraph" w:styleId="19">
    <w:name w:val="toc 4"/>
    <w:basedOn w:val="20"/>
    <w:qFormat/>
    <w:uiPriority w:val="39"/>
    <w:pPr>
      <w:tabs>
        <w:tab w:val="right" w:leader="dot" w:pos="9639"/>
      </w:tabs>
      <w:ind w:left="1418" w:hanging="1418"/>
    </w:pPr>
  </w:style>
  <w:style w:type="paragraph" w:styleId="20">
    <w:name w:val="toc 3"/>
    <w:basedOn w:val="21"/>
    <w:qFormat/>
    <w:uiPriority w:val="39"/>
    <w:pPr>
      <w:tabs>
        <w:tab w:val="right" w:leader="dot" w:pos="9639"/>
      </w:tabs>
      <w:ind w:left="1134" w:hanging="1134"/>
    </w:pPr>
  </w:style>
  <w:style w:type="paragraph" w:styleId="21">
    <w:name w:val="toc 2"/>
    <w:basedOn w:val="22"/>
    <w:qFormat/>
    <w:uiPriority w:val="39"/>
    <w:pPr>
      <w:keepNext w:val="0"/>
      <w:tabs>
        <w:tab w:val="right" w:leader="dot" w:pos="9639"/>
      </w:tabs>
      <w:spacing w:before="0"/>
      <w:ind w:left="851" w:hanging="851"/>
    </w:pPr>
    <w:rPr>
      <w:sz w:val="20"/>
    </w:rPr>
  </w:style>
  <w:style w:type="paragraph" w:styleId="22">
    <w:name w:val="toc 1"/>
    <w:qFormat/>
    <w:uiPriority w:val="39"/>
    <w:pPr>
      <w:keepNext/>
      <w:keepLines/>
      <w:widowControl w:val="0"/>
      <w:tabs>
        <w:tab w:val="right" w:leader="dot" w:pos="9639"/>
      </w:tabs>
      <w:overflowPunct w:val="0"/>
      <w:autoSpaceDE w:val="0"/>
      <w:autoSpaceDN w:val="0"/>
      <w:adjustRightInd w:val="0"/>
      <w:spacing w:before="120"/>
      <w:ind w:left="567" w:right="425" w:hanging="567"/>
      <w:textAlignment w:val="baseline"/>
    </w:pPr>
    <w:rPr>
      <w:rFonts w:ascii="Times New Roman" w:hAnsi="Times New Roman" w:eastAsia="MS Mincho" w:cs="Times New Roman"/>
      <w:sz w:val="22"/>
      <w:lang w:val="en-GB" w:eastAsia="ja-JP" w:bidi="ar-SA"/>
    </w:rPr>
  </w:style>
  <w:style w:type="paragraph" w:styleId="23">
    <w:name w:val="List Number 2"/>
    <w:basedOn w:val="24"/>
    <w:qFormat/>
    <w:uiPriority w:val="0"/>
    <w:pPr>
      <w:numPr>
        <w:numId w:val="2"/>
      </w:numPr>
    </w:pPr>
  </w:style>
  <w:style w:type="paragraph" w:styleId="24">
    <w:name w:val="List Number"/>
    <w:basedOn w:val="14"/>
    <w:qFormat/>
    <w:uiPriority w:val="0"/>
    <w:pPr>
      <w:numPr>
        <w:ilvl w:val="0"/>
        <w:numId w:val="3"/>
      </w:numPr>
    </w:pPr>
  </w:style>
  <w:style w:type="paragraph" w:styleId="25">
    <w:name w:val="List Bullet 4"/>
    <w:basedOn w:val="26"/>
    <w:qFormat/>
    <w:uiPriority w:val="0"/>
    <w:pPr>
      <w:numPr>
        <w:numId w:val="4"/>
      </w:numPr>
    </w:pPr>
  </w:style>
  <w:style w:type="paragraph" w:styleId="26">
    <w:name w:val="List Bullet 3"/>
    <w:basedOn w:val="27"/>
    <w:qFormat/>
    <w:uiPriority w:val="0"/>
    <w:pPr>
      <w:numPr>
        <w:numId w:val="5"/>
      </w:numPr>
    </w:pPr>
  </w:style>
  <w:style w:type="paragraph" w:styleId="27">
    <w:name w:val="List Bullet 2"/>
    <w:basedOn w:val="28"/>
    <w:qFormat/>
    <w:uiPriority w:val="0"/>
    <w:pPr>
      <w:numPr>
        <w:numId w:val="6"/>
      </w:numPr>
    </w:pPr>
  </w:style>
  <w:style w:type="paragraph" w:styleId="28">
    <w:name w:val="List Bullet"/>
    <w:basedOn w:val="14"/>
    <w:qFormat/>
    <w:uiPriority w:val="0"/>
    <w:pPr>
      <w:numPr>
        <w:ilvl w:val="0"/>
        <w:numId w:val="7"/>
      </w:numPr>
    </w:pPr>
  </w:style>
  <w:style w:type="paragraph" w:styleId="29">
    <w:name w:val="caption"/>
    <w:basedOn w:val="1"/>
    <w:next w:val="1"/>
    <w:link w:val="164"/>
    <w:qFormat/>
    <w:uiPriority w:val="0"/>
    <w:pPr>
      <w:spacing w:before="120"/>
    </w:pPr>
    <w:rPr>
      <w:b/>
      <w:lang w:eastAsia="en-GB"/>
    </w:rPr>
  </w:style>
  <w:style w:type="paragraph" w:styleId="30">
    <w:name w:val="Document Map"/>
    <w:basedOn w:val="1"/>
    <w:link w:val="115"/>
    <w:qFormat/>
    <w:uiPriority w:val="0"/>
    <w:pPr>
      <w:shd w:val="clear" w:color="auto" w:fill="000080"/>
    </w:pPr>
    <w:rPr>
      <w:rFonts w:ascii="Tahoma" w:hAnsi="Tahoma" w:cs="Tahoma"/>
    </w:rPr>
  </w:style>
  <w:style w:type="paragraph" w:styleId="31">
    <w:name w:val="annotation text"/>
    <w:basedOn w:val="1"/>
    <w:link w:val="109"/>
    <w:qFormat/>
    <w:uiPriority w:val="99"/>
  </w:style>
  <w:style w:type="paragraph" w:styleId="32">
    <w:name w:val="List Number 3"/>
    <w:basedOn w:val="23"/>
    <w:uiPriority w:val="0"/>
    <w:pPr>
      <w:numPr>
        <w:numId w:val="8"/>
      </w:numPr>
      <w:contextualSpacing/>
    </w:pPr>
  </w:style>
  <w:style w:type="paragraph" w:styleId="33">
    <w:name w:val="List Continue"/>
    <w:basedOn w:val="1"/>
    <w:uiPriority w:val="0"/>
    <w:pPr>
      <w:ind w:left="283"/>
      <w:contextualSpacing/>
    </w:pPr>
  </w:style>
  <w:style w:type="paragraph" w:styleId="34">
    <w:name w:val="Plain Text"/>
    <w:basedOn w:val="1"/>
    <w:link w:val="139"/>
    <w:uiPriority w:val="0"/>
    <w:rPr>
      <w:rFonts w:ascii="Courier New" w:hAnsi="Courier New"/>
      <w:lang w:val="nb-NO"/>
    </w:rPr>
  </w:style>
  <w:style w:type="paragraph" w:styleId="35">
    <w:name w:val="List Bullet 5"/>
    <w:basedOn w:val="25"/>
    <w:qFormat/>
    <w:uiPriority w:val="0"/>
    <w:pPr>
      <w:numPr>
        <w:numId w:val="9"/>
      </w:numPr>
    </w:pPr>
  </w:style>
  <w:style w:type="paragraph" w:styleId="36">
    <w:name w:val="toc 8"/>
    <w:basedOn w:val="22"/>
    <w:qFormat/>
    <w:uiPriority w:val="39"/>
    <w:pPr>
      <w:spacing w:before="180"/>
      <w:ind w:left="2693" w:hanging="2693"/>
    </w:pPr>
    <w:rPr>
      <w:b/>
    </w:rPr>
  </w:style>
  <w:style w:type="paragraph" w:styleId="37">
    <w:name w:val="Balloon Text"/>
    <w:basedOn w:val="1"/>
    <w:link w:val="108"/>
    <w:qFormat/>
    <w:uiPriority w:val="0"/>
    <w:rPr>
      <w:rFonts w:ascii="Segoe UI" w:hAnsi="Segoe UI" w:cs="Segoe UI"/>
      <w:sz w:val="18"/>
      <w:szCs w:val="18"/>
    </w:rPr>
  </w:style>
  <w:style w:type="paragraph" w:styleId="38">
    <w:name w:val="footer"/>
    <w:basedOn w:val="39"/>
    <w:link w:val="121"/>
    <w:qFormat/>
    <w:uiPriority w:val="0"/>
    <w:pPr>
      <w:jc w:val="center"/>
    </w:pPr>
    <w:rPr>
      <w:i/>
    </w:rPr>
  </w:style>
  <w:style w:type="paragraph" w:styleId="39">
    <w:name w:val="header"/>
    <w:link w:val="120"/>
    <w:qFormat/>
    <w:uiPriority w:val="0"/>
    <w:pPr>
      <w:widowControl w:val="0"/>
      <w:overflowPunct w:val="0"/>
      <w:autoSpaceDE w:val="0"/>
      <w:autoSpaceDN w:val="0"/>
      <w:adjustRightInd w:val="0"/>
      <w:textAlignment w:val="baseline"/>
    </w:pPr>
    <w:rPr>
      <w:rFonts w:ascii="Arial" w:hAnsi="Arial" w:eastAsia="MS Mincho" w:cs="Times New Roman"/>
      <w:b/>
      <w:sz w:val="18"/>
      <w:lang w:val="en-GB" w:eastAsia="ja-JP" w:bidi="ar-SA"/>
    </w:rPr>
  </w:style>
  <w:style w:type="paragraph" w:styleId="40">
    <w:name w:val="index heading"/>
    <w:basedOn w:val="1"/>
    <w:next w:val="1"/>
    <w:qFormat/>
    <w:uiPriority w:val="0"/>
    <w:pPr>
      <w:pBdr>
        <w:top w:val="single" w:color="auto" w:sz="12" w:space="0"/>
      </w:pBdr>
      <w:spacing w:before="360" w:after="240"/>
    </w:pPr>
    <w:rPr>
      <w:b/>
      <w:i/>
      <w:sz w:val="26"/>
      <w:lang w:eastAsia="en-GB"/>
    </w:rPr>
  </w:style>
  <w:style w:type="paragraph" w:styleId="41">
    <w:name w:val="footnote text"/>
    <w:basedOn w:val="1"/>
    <w:link w:val="122"/>
    <w:qFormat/>
    <w:uiPriority w:val="0"/>
    <w:pPr>
      <w:keepLines/>
      <w:ind w:left="454" w:hanging="454"/>
    </w:pPr>
    <w:rPr>
      <w:sz w:val="16"/>
    </w:rPr>
  </w:style>
  <w:style w:type="paragraph" w:styleId="42">
    <w:name w:val="List 5"/>
    <w:basedOn w:val="43"/>
    <w:qFormat/>
    <w:uiPriority w:val="0"/>
    <w:pPr>
      <w:ind w:left="1702"/>
    </w:pPr>
  </w:style>
  <w:style w:type="paragraph" w:styleId="43">
    <w:name w:val="List 4"/>
    <w:basedOn w:val="12"/>
    <w:qFormat/>
    <w:uiPriority w:val="0"/>
    <w:pPr>
      <w:ind w:left="1418"/>
    </w:pPr>
  </w:style>
  <w:style w:type="paragraph" w:styleId="44">
    <w:name w:val="table of figures"/>
    <w:basedOn w:val="15"/>
    <w:next w:val="1"/>
    <w:qFormat/>
    <w:uiPriority w:val="99"/>
    <w:pPr>
      <w:ind w:left="1701" w:hanging="1701"/>
    </w:pPr>
    <w:rPr>
      <w:b/>
    </w:rPr>
  </w:style>
  <w:style w:type="paragraph" w:styleId="45">
    <w:name w:val="toc 9"/>
    <w:basedOn w:val="36"/>
    <w:qFormat/>
    <w:uiPriority w:val="39"/>
    <w:pPr>
      <w:ind w:left="1418" w:hanging="1418"/>
    </w:pPr>
  </w:style>
  <w:style w:type="paragraph" w:styleId="46">
    <w:name w:val="List Continue 2"/>
    <w:basedOn w:val="1"/>
    <w:qFormat/>
    <w:uiPriority w:val="0"/>
    <w:pPr>
      <w:ind w:left="566"/>
      <w:contextualSpacing/>
    </w:pPr>
  </w:style>
  <w:style w:type="paragraph" w:styleId="47">
    <w:name w:val="Normal (Web)"/>
    <w:basedOn w:val="1"/>
    <w:unhideWhenUsed/>
    <w:uiPriority w:val="99"/>
    <w:pPr>
      <w:spacing w:before="100" w:beforeAutospacing="1" w:after="100" w:afterAutospacing="1"/>
    </w:pPr>
  </w:style>
  <w:style w:type="paragraph" w:styleId="48">
    <w:name w:val="index 1"/>
    <w:basedOn w:val="1"/>
    <w:qFormat/>
    <w:uiPriority w:val="0"/>
    <w:pPr>
      <w:keepLines/>
    </w:pPr>
  </w:style>
  <w:style w:type="paragraph" w:styleId="49">
    <w:name w:val="index 2"/>
    <w:basedOn w:val="48"/>
    <w:qFormat/>
    <w:uiPriority w:val="0"/>
    <w:pPr>
      <w:ind w:left="284"/>
    </w:pPr>
  </w:style>
  <w:style w:type="paragraph" w:styleId="50">
    <w:name w:val="annotation subject"/>
    <w:basedOn w:val="31"/>
    <w:next w:val="31"/>
    <w:link w:val="110"/>
    <w:qFormat/>
    <w:uiPriority w:val="0"/>
    <w:rPr>
      <w:b/>
      <w:bCs/>
    </w:rPr>
  </w:style>
  <w:style w:type="table" w:styleId="52">
    <w:name w:val="Table Grid"/>
    <w:basedOn w:val="51"/>
    <w:qFormat/>
    <w:uiPriority w:val="0"/>
    <w:rPr>
      <w:rFonts w:ascii="Calibri" w:hAnsi="Calibri" w:eastAsia="Calibri"/>
      <w:sz w:val="22"/>
      <w:szCs w:val="22"/>
      <w:lang w:val="de-D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4">
    <w:name w:val="Strong"/>
    <w:qFormat/>
    <w:uiPriority w:val="22"/>
    <w:rPr>
      <w:b/>
      <w:bCs/>
    </w:rPr>
  </w:style>
  <w:style w:type="character" w:styleId="55">
    <w:name w:val="page number"/>
    <w:basedOn w:val="53"/>
    <w:qFormat/>
    <w:uiPriority w:val="0"/>
  </w:style>
  <w:style w:type="character" w:styleId="56">
    <w:name w:val="FollowedHyperlink"/>
    <w:unhideWhenUsed/>
    <w:qFormat/>
    <w:uiPriority w:val="0"/>
    <w:rPr>
      <w:color w:val="800080"/>
      <w:u w:val="single"/>
    </w:rPr>
  </w:style>
  <w:style w:type="character" w:styleId="57">
    <w:name w:val="Emphasis"/>
    <w:qFormat/>
    <w:uiPriority w:val="0"/>
    <w:rPr>
      <w:i/>
      <w:iCs/>
    </w:rPr>
  </w:style>
  <w:style w:type="character" w:styleId="58">
    <w:name w:val="Hyperlink"/>
    <w:qFormat/>
    <w:uiPriority w:val="99"/>
    <w:rPr>
      <w:color w:val="0000FF"/>
      <w:u w:val="single"/>
    </w:rPr>
  </w:style>
  <w:style w:type="character" w:styleId="59">
    <w:name w:val="HTML Code"/>
    <w:unhideWhenUsed/>
    <w:qFormat/>
    <w:uiPriority w:val="99"/>
    <w:rPr>
      <w:rFonts w:ascii="Courier New" w:hAnsi="Courier New" w:eastAsia="Times New Roman" w:cs="Courier New"/>
      <w:sz w:val="20"/>
      <w:szCs w:val="20"/>
    </w:rPr>
  </w:style>
  <w:style w:type="character" w:styleId="60">
    <w:name w:val="annotation reference"/>
    <w:qFormat/>
    <w:uiPriority w:val="99"/>
    <w:rPr>
      <w:sz w:val="16"/>
      <w:szCs w:val="16"/>
    </w:rPr>
  </w:style>
  <w:style w:type="character" w:styleId="61">
    <w:name w:val="footnote reference"/>
    <w:qFormat/>
    <w:uiPriority w:val="0"/>
    <w:rPr>
      <w:b/>
      <w:position w:val="6"/>
      <w:sz w:val="16"/>
    </w:rPr>
  </w:style>
  <w:style w:type="paragraph" w:customStyle="1" w:styleId="62">
    <w:name w:val="Figure"/>
    <w:basedOn w:val="1"/>
    <w:next w:val="29"/>
    <w:qFormat/>
    <w:uiPriority w:val="0"/>
    <w:pPr>
      <w:keepNext/>
      <w:keepLines/>
      <w:spacing w:before="180"/>
      <w:jc w:val="center"/>
    </w:pPr>
  </w:style>
  <w:style w:type="paragraph" w:customStyle="1" w:styleId="63">
    <w:name w:val="3GPP_Header"/>
    <w:basedOn w:val="15"/>
    <w:qFormat/>
    <w:uiPriority w:val="0"/>
    <w:pPr>
      <w:tabs>
        <w:tab w:val="left" w:pos="1701"/>
        <w:tab w:val="right" w:pos="9639"/>
      </w:tabs>
      <w:spacing w:after="240"/>
    </w:pPr>
    <w:rPr>
      <w:b/>
    </w:rPr>
  </w:style>
  <w:style w:type="paragraph" w:customStyle="1" w:styleId="64">
    <w:name w:val="EQ"/>
    <w:basedOn w:val="1"/>
    <w:next w:val="1"/>
    <w:qFormat/>
    <w:uiPriority w:val="0"/>
    <w:pPr>
      <w:keepLines/>
      <w:tabs>
        <w:tab w:val="center" w:pos="4536"/>
        <w:tab w:val="right" w:pos="9072"/>
      </w:tabs>
    </w:pPr>
  </w:style>
  <w:style w:type="paragraph" w:customStyle="1" w:styleId="65">
    <w:name w:val="Editor's Note"/>
    <w:basedOn w:val="66"/>
    <w:link w:val="117"/>
    <w:qFormat/>
    <w:uiPriority w:val="0"/>
    <w:rPr>
      <w:color w:val="FF0000"/>
      <w:lang w:val="zh-CN" w:eastAsia="zh-CN"/>
    </w:rPr>
  </w:style>
  <w:style w:type="paragraph" w:customStyle="1" w:styleId="66">
    <w:name w:val="NO"/>
    <w:basedOn w:val="1"/>
    <w:link w:val="116"/>
    <w:qFormat/>
    <w:uiPriority w:val="0"/>
    <w:pPr>
      <w:keepLines/>
      <w:ind w:left="1135" w:hanging="851"/>
    </w:pPr>
  </w:style>
  <w:style w:type="paragraph" w:customStyle="1" w:styleId="67">
    <w:name w:val="Reference"/>
    <w:basedOn w:val="15"/>
    <w:qFormat/>
    <w:uiPriority w:val="0"/>
    <w:pPr>
      <w:numPr>
        <w:ilvl w:val="0"/>
        <w:numId w:val="10"/>
      </w:numPr>
    </w:pPr>
  </w:style>
  <w:style w:type="character" w:customStyle="1" w:styleId="68">
    <w:name w:val="Heading 1 Char"/>
    <w:link w:val="2"/>
    <w:qFormat/>
    <w:uiPriority w:val="0"/>
    <w:rPr>
      <w:rFonts w:ascii="Arial" w:hAnsi="Arial"/>
      <w:sz w:val="36"/>
      <w:lang w:eastAsia="ja-JP"/>
    </w:rPr>
  </w:style>
  <w:style w:type="paragraph" w:customStyle="1" w:styleId="69">
    <w:name w:val="B1"/>
    <w:basedOn w:val="14"/>
    <w:link w:val="98"/>
    <w:qFormat/>
    <w:uiPriority w:val="0"/>
    <w:rPr>
      <w:rFonts w:ascii="Times New Roman" w:hAnsi="Times New Roman"/>
    </w:rPr>
  </w:style>
  <w:style w:type="paragraph" w:customStyle="1" w:styleId="70">
    <w:name w:val="B2"/>
    <w:basedOn w:val="13"/>
    <w:link w:val="99"/>
    <w:qFormat/>
    <w:uiPriority w:val="0"/>
    <w:rPr>
      <w:rFonts w:ascii="Times New Roman" w:hAnsi="Times New Roman"/>
    </w:rPr>
  </w:style>
  <w:style w:type="paragraph" w:customStyle="1" w:styleId="71">
    <w:name w:val="B3"/>
    <w:basedOn w:val="12"/>
    <w:link w:val="100"/>
    <w:qFormat/>
    <w:uiPriority w:val="0"/>
    <w:rPr>
      <w:rFonts w:ascii="Times New Roman" w:hAnsi="Times New Roman"/>
    </w:rPr>
  </w:style>
  <w:style w:type="paragraph" w:customStyle="1" w:styleId="72">
    <w:name w:val="B4"/>
    <w:basedOn w:val="43"/>
    <w:link w:val="101"/>
    <w:qFormat/>
    <w:uiPriority w:val="0"/>
    <w:rPr>
      <w:rFonts w:ascii="Times New Roman" w:hAnsi="Times New Roman"/>
    </w:rPr>
  </w:style>
  <w:style w:type="paragraph" w:customStyle="1" w:styleId="73">
    <w:name w:val="Proposal"/>
    <w:basedOn w:val="15"/>
    <w:qFormat/>
    <w:uiPriority w:val="0"/>
    <w:pPr>
      <w:numPr>
        <w:ilvl w:val="0"/>
        <w:numId w:val="11"/>
      </w:numPr>
      <w:tabs>
        <w:tab w:val="left" w:pos="1701"/>
      </w:tabs>
    </w:pPr>
    <w:rPr>
      <w:b/>
      <w:bCs/>
    </w:rPr>
  </w:style>
  <w:style w:type="character" w:customStyle="1" w:styleId="74">
    <w:name w:val="Body Text Char"/>
    <w:link w:val="15"/>
    <w:qFormat/>
    <w:uiPriority w:val="0"/>
    <w:rPr>
      <w:rFonts w:asciiTheme="minorHAnsi" w:hAnsiTheme="minorHAnsi" w:eastAsiaTheme="minorEastAsia" w:cstheme="minorBidi"/>
      <w:kern w:val="2"/>
      <w:sz w:val="24"/>
      <w:szCs w:val="24"/>
      <w:lang w:val="en-US" w:eastAsia="ja-JP"/>
      <w14:ligatures w14:val="standardContextual"/>
    </w:rPr>
  </w:style>
  <w:style w:type="paragraph" w:customStyle="1" w:styleId="75">
    <w:name w:val="B5"/>
    <w:basedOn w:val="42"/>
    <w:link w:val="102"/>
    <w:qFormat/>
    <w:uiPriority w:val="0"/>
    <w:rPr>
      <w:rFonts w:ascii="Times New Roman" w:hAnsi="Times New Roman"/>
    </w:rPr>
  </w:style>
  <w:style w:type="paragraph" w:customStyle="1" w:styleId="76">
    <w:name w:val="EX"/>
    <w:basedOn w:val="1"/>
    <w:qFormat/>
    <w:uiPriority w:val="0"/>
    <w:pPr>
      <w:keepLines/>
      <w:ind w:left="1702" w:hanging="1418"/>
    </w:pPr>
  </w:style>
  <w:style w:type="paragraph" w:customStyle="1" w:styleId="77">
    <w:name w:val="EW"/>
    <w:basedOn w:val="76"/>
    <w:qFormat/>
    <w:uiPriority w:val="0"/>
    <w:pPr>
      <w:spacing w:after="0"/>
    </w:pPr>
  </w:style>
  <w:style w:type="paragraph" w:customStyle="1" w:styleId="78">
    <w:name w:val="TAL"/>
    <w:basedOn w:val="1"/>
    <w:link w:val="140"/>
    <w:qFormat/>
    <w:uiPriority w:val="0"/>
    <w:pPr>
      <w:keepNext/>
      <w:keepLines/>
    </w:pPr>
    <w:rPr>
      <w:sz w:val="18"/>
      <w:lang w:val="zh-CN" w:eastAsia="zh-CN"/>
    </w:rPr>
  </w:style>
  <w:style w:type="paragraph" w:customStyle="1" w:styleId="79">
    <w:name w:val="TAC"/>
    <w:basedOn w:val="78"/>
    <w:link w:val="156"/>
    <w:qFormat/>
    <w:uiPriority w:val="0"/>
    <w:pPr>
      <w:jc w:val="center"/>
    </w:pPr>
  </w:style>
  <w:style w:type="paragraph" w:customStyle="1" w:styleId="80">
    <w:name w:val="TAH"/>
    <w:basedOn w:val="79"/>
    <w:link w:val="141"/>
    <w:qFormat/>
    <w:uiPriority w:val="0"/>
    <w:rPr>
      <w:b/>
    </w:rPr>
  </w:style>
  <w:style w:type="paragraph" w:customStyle="1" w:styleId="81">
    <w:name w:val="TAN"/>
    <w:basedOn w:val="78"/>
    <w:qFormat/>
    <w:uiPriority w:val="0"/>
    <w:pPr>
      <w:ind w:left="851" w:hanging="851"/>
    </w:pPr>
  </w:style>
  <w:style w:type="paragraph" w:customStyle="1" w:styleId="82">
    <w:name w:val="TAR"/>
    <w:basedOn w:val="78"/>
    <w:qFormat/>
    <w:uiPriority w:val="0"/>
    <w:pPr>
      <w:jc w:val="right"/>
    </w:pPr>
  </w:style>
  <w:style w:type="paragraph" w:customStyle="1" w:styleId="83">
    <w:name w:val="TH"/>
    <w:basedOn w:val="1"/>
    <w:link w:val="142"/>
    <w:qFormat/>
    <w:uiPriority w:val="0"/>
    <w:pPr>
      <w:keepNext/>
      <w:keepLines/>
      <w:spacing w:before="60"/>
      <w:jc w:val="center"/>
    </w:pPr>
    <w:rPr>
      <w:b/>
      <w:lang w:val="zh-CN" w:eastAsia="zh-CN"/>
    </w:rPr>
  </w:style>
  <w:style w:type="paragraph" w:customStyle="1" w:styleId="84">
    <w:name w:val="TF"/>
    <w:basedOn w:val="83"/>
    <w:link w:val="146"/>
    <w:qFormat/>
    <w:uiPriority w:val="0"/>
    <w:pPr>
      <w:keepNext w:val="0"/>
      <w:spacing w:before="0" w:after="240"/>
    </w:pPr>
  </w:style>
  <w:style w:type="paragraph" w:customStyle="1" w:styleId="85">
    <w:name w:val="TT"/>
    <w:basedOn w:val="2"/>
    <w:next w:val="1"/>
    <w:qFormat/>
    <w:uiPriority w:val="0"/>
    <w:pPr>
      <w:numPr>
        <w:numId w:val="0"/>
      </w:numPr>
      <w:ind w:left="1134" w:hanging="1134"/>
      <w:outlineLvl w:val="9"/>
    </w:pPr>
  </w:style>
  <w:style w:type="paragraph" w:customStyle="1" w:styleId="86">
    <w:name w:val="ZA"/>
    <w:qFormat/>
    <w:uiPriority w:val="0"/>
    <w:pPr>
      <w:framePr w:w="10206" w:h="794" w:hRule="exact" w:wrap="notBeside" w:vAnchor="page" w:hAnchor="margin" w:y="1135"/>
      <w:widowControl w:val="0"/>
      <w:pBdr>
        <w:bottom w:val="single" w:color="auto" w:sz="12" w:space="1"/>
      </w:pBdr>
      <w:overflowPunct w:val="0"/>
      <w:autoSpaceDE w:val="0"/>
      <w:autoSpaceDN w:val="0"/>
      <w:adjustRightInd w:val="0"/>
      <w:jc w:val="right"/>
      <w:textAlignment w:val="baseline"/>
    </w:pPr>
    <w:rPr>
      <w:rFonts w:ascii="Arial" w:hAnsi="Arial" w:eastAsia="MS Mincho" w:cs="Times New Roman"/>
      <w:sz w:val="40"/>
      <w:lang w:val="en-GB" w:eastAsia="ja-JP" w:bidi="ar-SA"/>
    </w:rPr>
  </w:style>
  <w:style w:type="paragraph" w:customStyle="1" w:styleId="87">
    <w:name w:val="ZB"/>
    <w:qFormat/>
    <w:uiPriority w:val="0"/>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eastAsia="MS Mincho" w:cs="Times New Roman"/>
      <w:i/>
      <w:lang w:val="en-GB" w:eastAsia="ja-JP" w:bidi="ar-SA"/>
    </w:rPr>
  </w:style>
  <w:style w:type="paragraph" w:customStyle="1" w:styleId="88">
    <w:name w:val="ZD"/>
    <w:qFormat/>
    <w:uiPriority w:val="0"/>
    <w:pPr>
      <w:framePr w:wrap="notBeside" w:vAnchor="page" w:hAnchor="margin" w:y="15764"/>
      <w:widowControl w:val="0"/>
      <w:overflowPunct w:val="0"/>
      <w:autoSpaceDE w:val="0"/>
      <w:autoSpaceDN w:val="0"/>
      <w:adjustRightInd w:val="0"/>
      <w:textAlignment w:val="baseline"/>
    </w:pPr>
    <w:rPr>
      <w:rFonts w:ascii="Arial" w:hAnsi="Arial" w:eastAsia="MS Mincho" w:cs="Times New Roman"/>
      <w:sz w:val="32"/>
      <w:lang w:val="en-GB" w:eastAsia="ja-JP" w:bidi="ar-SA"/>
    </w:rPr>
  </w:style>
  <w:style w:type="paragraph" w:customStyle="1" w:styleId="89">
    <w:name w:val="ZG"/>
    <w:qFormat/>
    <w:uiPriority w:val="0"/>
    <w:pPr>
      <w:framePr w:wrap="notBeside" w:vAnchor="page" w:hAnchor="margin" w:xAlign="right" w:y="6805"/>
      <w:widowControl w:val="0"/>
      <w:overflowPunct w:val="0"/>
      <w:autoSpaceDE w:val="0"/>
      <w:autoSpaceDN w:val="0"/>
      <w:adjustRightInd w:val="0"/>
      <w:jc w:val="right"/>
      <w:textAlignment w:val="baseline"/>
    </w:pPr>
    <w:rPr>
      <w:rFonts w:ascii="Arial" w:hAnsi="Arial" w:eastAsia="MS Mincho" w:cs="Times New Roman"/>
      <w:lang w:val="en-GB" w:eastAsia="ja-JP" w:bidi="ar-SA"/>
    </w:rPr>
  </w:style>
  <w:style w:type="character" w:customStyle="1" w:styleId="90">
    <w:name w:val="ZGSM"/>
    <w:qFormat/>
    <w:uiPriority w:val="0"/>
  </w:style>
  <w:style w:type="paragraph" w:customStyle="1" w:styleId="91">
    <w:name w:val="ZH"/>
    <w:qFormat/>
    <w:uiPriority w:val="0"/>
    <w:pPr>
      <w:framePr w:wrap="notBeside" w:vAnchor="page" w:hAnchor="margin" w:xAlign="center" w:y="6805"/>
      <w:widowControl w:val="0"/>
      <w:overflowPunct w:val="0"/>
      <w:autoSpaceDE w:val="0"/>
      <w:autoSpaceDN w:val="0"/>
      <w:adjustRightInd w:val="0"/>
      <w:textAlignment w:val="baseline"/>
    </w:pPr>
    <w:rPr>
      <w:rFonts w:ascii="Arial" w:hAnsi="Arial" w:eastAsia="MS Mincho" w:cs="Times New Roman"/>
      <w:lang w:val="en-GB" w:eastAsia="ja-JP" w:bidi="ar-SA"/>
    </w:rPr>
  </w:style>
  <w:style w:type="paragraph" w:customStyle="1" w:styleId="92">
    <w:name w:val="ZT"/>
    <w:qFormat/>
    <w:uiPriority w:val="0"/>
    <w:pPr>
      <w:framePr w:wrap="notBeside" w:vAnchor="margin" w:hAnchor="margin" w:yAlign="center"/>
      <w:widowControl w:val="0"/>
      <w:overflowPunct w:val="0"/>
      <w:autoSpaceDE w:val="0"/>
      <w:autoSpaceDN w:val="0"/>
      <w:adjustRightInd w:val="0"/>
      <w:spacing w:line="240" w:lineRule="atLeast"/>
      <w:jc w:val="right"/>
      <w:textAlignment w:val="baseline"/>
    </w:pPr>
    <w:rPr>
      <w:rFonts w:ascii="Arial" w:hAnsi="Arial" w:eastAsia="MS Mincho" w:cs="Times New Roman"/>
      <w:b/>
      <w:sz w:val="34"/>
      <w:lang w:val="en-GB" w:eastAsia="ja-JP" w:bidi="ar-SA"/>
    </w:rPr>
  </w:style>
  <w:style w:type="paragraph" w:customStyle="1" w:styleId="93">
    <w:name w:val="ZTD"/>
    <w:basedOn w:val="87"/>
    <w:qFormat/>
    <w:uiPriority w:val="0"/>
    <w:pPr>
      <w:framePr w:hRule="auto" w:y="852"/>
    </w:pPr>
    <w:rPr>
      <w:i w:val="0"/>
      <w:sz w:val="40"/>
    </w:rPr>
  </w:style>
  <w:style w:type="paragraph" w:customStyle="1" w:styleId="94">
    <w:name w:val="ZU"/>
    <w:qFormat/>
    <w:uiPriority w:val="0"/>
    <w:pPr>
      <w:framePr w:w="10206" w:wrap="notBeside" w:vAnchor="page" w:hAnchor="margin" w:y="6238"/>
      <w:widowControl w:val="0"/>
      <w:pBdr>
        <w:top w:val="single" w:color="auto" w:sz="12" w:space="1"/>
      </w:pBdr>
      <w:overflowPunct w:val="0"/>
      <w:autoSpaceDE w:val="0"/>
      <w:autoSpaceDN w:val="0"/>
      <w:adjustRightInd w:val="0"/>
      <w:jc w:val="right"/>
      <w:textAlignment w:val="baseline"/>
    </w:pPr>
    <w:rPr>
      <w:rFonts w:ascii="Arial" w:hAnsi="Arial" w:eastAsia="MS Mincho" w:cs="Times New Roman"/>
      <w:lang w:val="en-GB" w:eastAsia="ja-JP" w:bidi="ar-SA"/>
    </w:rPr>
  </w:style>
  <w:style w:type="paragraph" w:customStyle="1" w:styleId="95">
    <w:name w:val="ZV"/>
    <w:basedOn w:val="94"/>
    <w:qFormat/>
    <w:uiPriority w:val="0"/>
    <w:pPr>
      <w:framePr w:y="16161"/>
    </w:pPr>
  </w:style>
  <w:style w:type="paragraph" w:customStyle="1" w:styleId="96">
    <w:name w:val="FP"/>
    <w:basedOn w:val="1"/>
    <w:qFormat/>
    <w:uiPriority w:val="0"/>
  </w:style>
  <w:style w:type="paragraph" w:customStyle="1" w:styleId="97">
    <w:name w:val="Observation"/>
    <w:basedOn w:val="73"/>
    <w:qFormat/>
    <w:uiPriority w:val="0"/>
    <w:pPr>
      <w:numPr>
        <w:ilvl w:val="0"/>
        <w:numId w:val="12"/>
      </w:numPr>
      <w:ind w:left="1710" w:hanging="1710"/>
    </w:pPr>
  </w:style>
  <w:style w:type="character" w:customStyle="1" w:styleId="98">
    <w:name w:val="B1 Char1"/>
    <w:link w:val="69"/>
    <w:qFormat/>
    <w:uiPriority w:val="0"/>
    <w:rPr>
      <w:rFonts w:ascii="Times New Roman" w:hAnsi="Times New Roman"/>
      <w:lang w:eastAsia="zh-CN"/>
    </w:rPr>
  </w:style>
  <w:style w:type="character" w:customStyle="1" w:styleId="99">
    <w:name w:val="B2 Char"/>
    <w:link w:val="70"/>
    <w:qFormat/>
    <w:uiPriority w:val="0"/>
    <w:rPr>
      <w:rFonts w:ascii="Times New Roman" w:hAnsi="Times New Roman"/>
      <w:lang w:eastAsia="ja-JP"/>
    </w:rPr>
  </w:style>
  <w:style w:type="character" w:customStyle="1" w:styleId="100">
    <w:name w:val="B3 Char2"/>
    <w:link w:val="71"/>
    <w:qFormat/>
    <w:uiPriority w:val="0"/>
    <w:rPr>
      <w:rFonts w:ascii="Times New Roman" w:hAnsi="Times New Roman"/>
      <w:lang w:eastAsia="ja-JP"/>
    </w:rPr>
  </w:style>
  <w:style w:type="character" w:customStyle="1" w:styleId="101">
    <w:name w:val="B4 Char"/>
    <w:link w:val="72"/>
    <w:qFormat/>
    <w:uiPriority w:val="0"/>
    <w:rPr>
      <w:rFonts w:ascii="Times New Roman" w:hAnsi="Times New Roman"/>
      <w:lang w:eastAsia="ja-JP"/>
    </w:rPr>
  </w:style>
  <w:style w:type="character" w:customStyle="1" w:styleId="102">
    <w:name w:val="B5 Char"/>
    <w:link w:val="75"/>
    <w:qFormat/>
    <w:uiPriority w:val="0"/>
    <w:rPr>
      <w:rFonts w:ascii="Times New Roman" w:hAnsi="Times New Roman"/>
      <w:lang w:eastAsia="ja-JP"/>
    </w:rPr>
  </w:style>
  <w:style w:type="paragraph" w:customStyle="1" w:styleId="103">
    <w:name w:val="B6"/>
    <w:basedOn w:val="75"/>
    <w:link w:val="104"/>
    <w:qFormat/>
    <w:uiPriority w:val="0"/>
    <w:pPr>
      <w:ind w:left="1985"/>
    </w:pPr>
  </w:style>
  <w:style w:type="character" w:customStyle="1" w:styleId="104">
    <w:name w:val="B6 Char"/>
    <w:link w:val="103"/>
    <w:qFormat/>
    <w:uiPriority w:val="0"/>
    <w:rPr>
      <w:rFonts w:ascii="Times New Roman" w:hAnsi="Times New Roman"/>
      <w:lang w:eastAsia="ja-JP"/>
    </w:rPr>
  </w:style>
  <w:style w:type="paragraph" w:customStyle="1" w:styleId="105">
    <w:name w:val="B7"/>
    <w:basedOn w:val="103"/>
    <w:link w:val="106"/>
    <w:qFormat/>
    <w:uiPriority w:val="0"/>
    <w:pPr>
      <w:ind w:left="2269"/>
    </w:pPr>
  </w:style>
  <w:style w:type="character" w:customStyle="1" w:styleId="106">
    <w:name w:val="B7 Char"/>
    <w:basedOn w:val="104"/>
    <w:link w:val="105"/>
    <w:qFormat/>
    <w:uiPriority w:val="0"/>
    <w:rPr>
      <w:rFonts w:ascii="Times New Roman" w:hAnsi="Times New Roman"/>
      <w:lang w:eastAsia="ja-JP"/>
    </w:rPr>
  </w:style>
  <w:style w:type="paragraph" w:customStyle="1" w:styleId="107">
    <w:name w:val="B8"/>
    <w:basedOn w:val="105"/>
    <w:qFormat/>
    <w:uiPriority w:val="0"/>
    <w:pPr>
      <w:ind w:left="2552"/>
    </w:pPr>
  </w:style>
  <w:style w:type="character" w:customStyle="1" w:styleId="108">
    <w:name w:val="Balloon Text Char"/>
    <w:link w:val="37"/>
    <w:qFormat/>
    <w:uiPriority w:val="0"/>
    <w:rPr>
      <w:rFonts w:ascii="Segoe UI" w:hAnsi="Segoe UI" w:cs="Segoe UI" w:eastAsiaTheme="minorEastAsia"/>
      <w:kern w:val="2"/>
      <w:sz w:val="18"/>
      <w:szCs w:val="18"/>
      <w:lang w:val="en-US" w:eastAsia="ja-JP"/>
      <w14:ligatures w14:val="standardContextual"/>
    </w:rPr>
  </w:style>
  <w:style w:type="character" w:customStyle="1" w:styleId="109">
    <w:name w:val="Comment Text Char"/>
    <w:link w:val="31"/>
    <w:qFormat/>
    <w:uiPriority w:val="99"/>
    <w:rPr>
      <w:rFonts w:asciiTheme="minorHAnsi" w:hAnsiTheme="minorHAnsi" w:eastAsiaTheme="minorEastAsia" w:cstheme="minorBidi"/>
      <w:kern w:val="2"/>
      <w:sz w:val="24"/>
      <w:szCs w:val="24"/>
      <w:lang w:val="en-US" w:eastAsia="ja-JP"/>
      <w14:ligatures w14:val="standardContextual"/>
    </w:rPr>
  </w:style>
  <w:style w:type="character" w:customStyle="1" w:styleId="110">
    <w:name w:val="Comment Subject Char"/>
    <w:link w:val="50"/>
    <w:qFormat/>
    <w:uiPriority w:val="0"/>
    <w:rPr>
      <w:rFonts w:ascii="Times New Roman" w:hAnsi="Times New Roman"/>
      <w:b/>
      <w:bCs/>
      <w:lang w:eastAsia="ja-JP"/>
    </w:rPr>
  </w:style>
  <w:style w:type="paragraph" w:customStyle="1" w:styleId="111">
    <w:name w:val="CR Cover Page"/>
    <w:link w:val="112"/>
    <w:qFormat/>
    <w:uiPriority w:val="0"/>
    <w:pPr>
      <w:spacing w:after="120"/>
    </w:pPr>
    <w:rPr>
      <w:rFonts w:ascii="Arial" w:hAnsi="Arial" w:eastAsia="MS Mincho" w:cs="Times New Roman"/>
      <w:lang w:val="en-GB" w:eastAsia="ko-KR" w:bidi="ar-SA"/>
    </w:rPr>
  </w:style>
  <w:style w:type="character" w:customStyle="1" w:styleId="112">
    <w:name w:val="CR Cover Page Zchn"/>
    <w:link w:val="111"/>
    <w:qFormat/>
    <w:uiPriority w:val="0"/>
    <w:rPr>
      <w:rFonts w:ascii="Arial" w:hAnsi="Arial"/>
      <w:lang w:eastAsia="ko-KR"/>
    </w:rPr>
  </w:style>
  <w:style w:type="paragraph" w:customStyle="1" w:styleId="113">
    <w:name w:val="Doc-text2"/>
    <w:basedOn w:val="1"/>
    <w:link w:val="114"/>
    <w:qFormat/>
    <w:uiPriority w:val="0"/>
    <w:pPr>
      <w:tabs>
        <w:tab w:val="left" w:pos="1622"/>
      </w:tabs>
      <w:ind w:left="1622" w:hanging="363"/>
    </w:pPr>
    <w:rPr>
      <w:lang w:val="zh-CN" w:eastAsia="zh-CN"/>
    </w:rPr>
  </w:style>
  <w:style w:type="character" w:customStyle="1" w:styleId="114">
    <w:name w:val="Doc-text2 Char"/>
    <w:link w:val="113"/>
    <w:qFormat/>
    <w:locked/>
    <w:uiPriority w:val="0"/>
    <w:rPr>
      <w:rFonts w:asciiTheme="minorHAnsi" w:hAnsiTheme="minorHAnsi" w:eastAsiaTheme="minorEastAsia" w:cstheme="minorBidi"/>
      <w:kern w:val="2"/>
      <w:sz w:val="24"/>
      <w:szCs w:val="24"/>
      <w:lang w:val="zh-CN" w:eastAsia="zh-CN"/>
      <w14:ligatures w14:val="standardContextual"/>
    </w:rPr>
  </w:style>
  <w:style w:type="character" w:customStyle="1" w:styleId="115">
    <w:name w:val="Document Map Char"/>
    <w:link w:val="30"/>
    <w:qFormat/>
    <w:uiPriority w:val="0"/>
    <w:rPr>
      <w:rFonts w:ascii="Tahoma" w:hAnsi="Tahoma" w:cs="Tahoma" w:eastAsiaTheme="minorEastAsia"/>
      <w:kern w:val="2"/>
      <w:sz w:val="24"/>
      <w:szCs w:val="24"/>
      <w:shd w:val="clear" w:color="auto" w:fill="000080"/>
      <w:lang w:val="en-US" w:eastAsia="ja-JP"/>
      <w14:ligatures w14:val="standardContextual"/>
    </w:rPr>
  </w:style>
  <w:style w:type="character" w:customStyle="1" w:styleId="116">
    <w:name w:val="NO Char"/>
    <w:link w:val="66"/>
    <w:qFormat/>
    <w:uiPriority w:val="0"/>
    <w:rPr>
      <w:rFonts w:asciiTheme="minorHAnsi" w:hAnsiTheme="minorHAnsi" w:eastAsiaTheme="minorEastAsia" w:cstheme="minorBidi"/>
      <w:kern w:val="2"/>
      <w:sz w:val="24"/>
      <w:szCs w:val="24"/>
      <w:lang w:val="en-US" w:eastAsia="ja-JP"/>
      <w14:ligatures w14:val="standardContextual"/>
    </w:rPr>
  </w:style>
  <w:style w:type="character" w:customStyle="1" w:styleId="117">
    <w:name w:val="Editor's Note Char"/>
    <w:link w:val="65"/>
    <w:qFormat/>
    <w:uiPriority w:val="0"/>
    <w:rPr>
      <w:rFonts w:ascii="Times New Roman" w:hAnsi="Times New Roman"/>
      <w:color w:val="FF0000"/>
      <w:lang w:val="zh-CN" w:eastAsia="zh-CN"/>
    </w:rPr>
  </w:style>
  <w:style w:type="paragraph" w:customStyle="1" w:styleId="118">
    <w:name w:val="EmailDiscussion"/>
    <w:basedOn w:val="1"/>
    <w:next w:val="1"/>
    <w:qFormat/>
    <w:uiPriority w:val="0"/>
    <w:pPr>
      <w:numPr>
        <w:ilvl w:val="0"/>
        <w:numId w:val="13"/>
      </w:numPr>
      <w:spacing w:before="40" w:after="0"/>
    </w:pPr>
    <w:rPr>
      <w:b/>
      <w:lang w:eastAsia="en-GB"/>
    </w:rPr>
  </w:style>
  <w:style w:type="paragraph" w:customStyle="1" w:styleId="119">
    <w:name w:val="Figure_Title"/>
    <w:basedOn w:val="1"/>
    <w:next w:val="1"/>
    <w:qFormat/>
    <w:uiPriority w:val="0"/>
    <w:pPr>
      <w:keepLines/>
      <w:tabs>
        <w:tab w:val="left" w:pos="794"/>
        <w:tab w:val="left" w:pos="1191"/>
        <w:tab w:val="left" w:pos="1588"/>
        <w:tab w:val="left" w:pos="1985"/>
      </w:tabs>
      <w:spacing w:before="120" w:after="480"/>
      <w:jc w:val="center"/>
    </w:pPr>
    <w:rPr>
      <w:b/>
      <w:lang w:eastAsia="en-GB"/>
    </w:rPr>
  </w:style>
  <w:style w:type="character" w:customStyle="1" w:styleId="120">
    <w:name w:val="Header Char"/>
    <w:link w:val="39"/>
    <w:qFormat/>
    <w:uiPriority w:val="0"/>
    <w:rPr>
      <w:rFonts w:ascii="Arial" w:hAnsi="Arial"/>
      <w:b/>
      <w:sz w:val="18"/>
      <w:lang w:eastAsia="ja-JP"/>
    </w:rPr>
  </w:style>
  <w:style w:type="character" w:customStyle="1" w:styleId="121">
    <w:name w:val="Footer Char"/>
    <w:link w:val="38"/>
    <w:qFormat/>
    <w:uiPriority w:val="0"/>
    <w:rPr>
      <w:rFonts w:ascii="Arial" w:hAnsi="Arial"/>
      <w:b/>
      <w:i/>
      <w:sz w:val="18"/>
      <w:lang w:eastAsia="ja-JP"/>
    </w:rPr>
  </w:style>
  <w:style w:type="character" w:customStyle="1" w:styleId="122">
    <w:name w:val="Footnote Text Char"/>
    <w:link w:val="41"/>
    <w:qFormat/>
    <w:uiPriority w:val="0"/>
    <w:rPr>
      <w:rFonts w:asciiTheme="minorHAnsi" w:hAnsiTheme="minorHAnsi" w:eastAsiaTheme="minorEastAsia" w:cstheme="minorBidi"/>
      <w:kern w:val="2"/>
      <w:sz w:val="16"/>
      <w:szCs w:val="24"/>
      <w:lang w:val="en-US" w:eastAsia="ja-JP"/>
      <w14:ligatures w14:val="standardContextual"/>
    </w:rPr>
  </w:style>
  <w:style w:type="paragraph" w:customStyle="1" w:styleId="123">
    <w:name w:val="Guidance"/>
    <w:basedOn w:val="1"/>
    <w:qFormat/>
    <w:uiPriority w:val="0"/>
    <w:rPr>
      <w:i/>
      <w:color w:val="0000FF"/>
    </w:rPr>
  </w:style>
  <w:style w:type="character" w:customStyle="1" w:styleId="124">
    <w:name w:val="Heading 2 Char"/>
    <w:link w:val="3"/>
    <w:qFormat/>
    <w:uiPriority w:val="0"/>
    <w:rPr>
      <w:rFonts w:ascii="Arial" w:hAnsi="Arial"/>
      <w:sz w:val="32"/>
      <w:lang w:eastAsia="ja-JP"/>
    </w:rPr>
  </w:style>
  <w:style w:type="character" w:customStyle="1" w:styleId="125">
    <w:name w:val="Heading 3 Char"/>
    <w:link w:val="4"/>
    <w:qFormat/>
    <w:uiPriority w:val="0"/>
    <w:rPr>
      <w:rFonts w:ascii="Arial" w:hAnsi="Arial"/>
      <w:sz w:val="28"/>
      <w:lang w:eastAsia="ja-JP"/>
    </w:rPr>
  </w:style>
  <w:style w:type="character" w:customStyle="1" w:styleId="126">
    <w:name w:val="Heading 4 Char"/>
    <w:link w:val="5"/>
    <w:qFormat/>
    <w:uiPriority w:val="0"/>
    <w:rPr>
      <w:rFonts w:ascii="Arial" w:hAnsi="Arial"/>
      <w:sz w:val="24"/>
      <w:lang w:eastAsia="ja-JP"/>
    </w:rPr>
  </w:style>
  <w:style w:type="character" w:customStyle="1" w:styleId="127">
    <w:name w:val="Heading 5 Char"/>
    <w:link w:val="6"/>
    <w:qFormat/>
    <w:uiPriority w:val="0"/>
    <w:rPr>
      <w:rFonts w:ascii="Arial" w:hAnsi="Arial"/>
      <w:sz w:val="22"/>
      <w:lang w:eastAsia="ja-JP"/>
    </w:rPr>
  </w:style>
  <w:style w:type="character" w:customStyle="1" w:styleId="128">
    <w:name w:val="Heading 6 Char"/>
    <w:link w:val="7"/>
    <w:qFormat/>
    <w:uiPriority w:val="0"/>
    <w:rPr>
      <w:rFonts w:ascii="Arial" w:hAnsi="Arial"/>
      <w:lang w:eastAsia="ja-JP"/>
    </w:rPr>
  </w:style>
  <w:style w:type="character" w:customStyle="1" w:styleId="129">
    <w:name w:val="Heading 7 Char"/>
    <w:link w:val="9"/>
    <w:qFormat/>
    <w:uiPriority w:val="0"/>
    <w:rPr>
      <w:rFonts w:ascii="Arial" w:hAnsi="Arial"/>
      <w:lang w:eastAsia="ja-JP"/>
    </w:rPr>
  </w:style>
  <w:style w:type="character" w:customStyle="1" w:styleId="130">
    <w:name w:val="Heading 8 Char"/>
    <w:link w:val="10"/>
    <w:qFormat/>
    <w:uiPriority w:val="0"/>
    <w:rPr>
      <w:rFonts w:ascii="Arial" w:hAnsi="Arial"/>
      <w:sz w:val="36"/>
      <w:lang w:eastAsia="ja-JP"/>
    </w:rPr>
  </w:style>
  <w:style w:type="character" w:customStyle="1" w:styleId="131">
    <w:name w:val="Heading 9 Char"/>
    <w:link w:val="11"/>
    <w:qFormat/>
    <w:uiPriority w:val="0"/>
    <w:rPr>
      <w:rFonts w:ascii="Arial" w:hAnsi="Arial"/>
      <w:sz w:val="36"/>
      <w:lang w:eastAsia="ja-JP"/>
    </w:rPr>
  </w:style>
  <w:style w:type="paragraph" w:customStyle="1" w:styleId="132">
    <w:name w:val="LD"/>
    <w:qFormat/>
    <w:uiPriority w:val="0"/>
    <w:pPr>
      <w:keepNext/>
      <w:keepLines/>
      <w:overflowPunct w:val="0"/>
      <w:autoSpaceDE w:val="0"/>
      <w:autoSpaceDN w:val="0"/>
      <w:adjustRightInd w:val="0"/>
      <w:spacing w:line="180" w:lineRule="exact"/>
      <w:textAlignment w:val="baseline"/>
    </w:pPr>
    <w:rPr>
      <w:rFonts w:ascii="Courier New" w:hAnsi="Courier New" w:eastAsia="MS Mincho" w:cs="Times New Roman"/>
      <w:lang w:val="en-GB" w:eastAsia="ja-JP" w:bidi="ar-SA"/>
    </w:rPr>
  </w:style>
  <w:style w:type="paragraph" w:styleId="133">
    <w:name w:val="List Paragraph"/>
    <w:basedOn w:val="1"/>
    <w:link w:val="134"/>
    <w:qFormat/>
    <w:uiPriority w:val="34"/>
    <w:pPr>
      <w:numPr>
        <w:ilvl w:val="0"/>
        <w:numId w:val="14"/>
      </w:numPr>
      <w:tabs>
        <w:tab w:val="left" w:pos="0"/>
      </w:tabs>
      <w:suppressAutoHyphens/>
      <w:spacing w:after="0"/>
      <w:ind w:hanging="360"/>
    </w:pPr>
    <w:rPr>
      <w:rFonts w:eastAsia="Times New Roman" w:cstheme="minorHAnsi"/>
      <w:szCs w:val="20"/>
      <w:lang w:eastAsia="zh-CN"/>
    </w:rPr>
  </w:style>
  <w:style w:type="character" w:customStyle="1" w:styleId="134">
    <w:name w:val="List Paragraph Char"/>
    <w:link w:val="133"/>
    <w:qFormat/>
    <w:locked/>
    <w:uiPriority w:val="34"/>
    <w:rPr>
      <w:rFonts w:eastAsia="Times New Roman" w:asciiTheme="minorHAnsi" w:hAnsiTheme="minorHAnsi" w:cstheme="minorHAnsi"/>
      <w:kern w:val="2"/>
      <w:lang w:val="en-US" w:eastAsia="zh-CN"/>
      <w14:ligatures w14:val="standardContextual"/>
    </w:rPr>
  </w:style>
  <w:style w:type="paragraph" w:customStyle="1" w:styleId="135">
    <w:name w:val="NF"/>
    <w:basedOn w:val="66"/>
    <w:qFormat/>
    <w:uiPriority w:val="0"/>
    <w:pPr>
      <w:keepNext/>
      <w:spacing w:after="0"/>
    </w:pPr>
    <w:rPr>
      <w:sz w:val="18"/>
    </w:rPr>
  </w:style>
  <w:style w:type="paragraph" w:customStyle="1" w:styleId="136">
    <w:name w:val="NW"/>
    <w:basedOn w:val="66"/>
    <w:qFormat/>
    <w:uiPriority w:val="0"/>
    <w:pPr>
      <w:spacing w:after="0"/>
    </w:pPr>
  </w:style>
  <w:style w:type="paragraph" w:customStyle="1" w:styleId="137">
    <w:name w:val="PL"/>
    <w:link w:val="138"/>
    <w:qFormat/>
    <w:uiPriority w:val="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582"/>
        <w:tab w:val="left" w:pos="9968"/>
        <w:tab w:val="left" w:pos="10348"/>
        <w:tab w:val="left" w:pos="10733"/>
        <w:tab w:val="left" w:pos="11113"/>
        <w:tab w:val="left" w:pos="11499"/>
        <w:tab w:val="left" w:pos="11884"/>
        <w:tab w:val="left" w:pos="12264"/>
        <w:tab w:val="left" w:pos="12650"/>
        <w:tab w:val="left" w:pos="13030"/>
        <w:tab w:val="left" w:pos="13415"/>
        <w:tab w:val="left" w:pos="13801"/>
        <w:tab w:val="left" w:pos="14181"/>
      </w:tabs>
    </w:pPr>
    <w:rPr>
      <w:rFonts w:ascii="Courier New" w:hAnsi="Courier New" w:eastAsia="Batang" w:cs="Times New Roman"/>
      <w:sz w:val="16"/>
      <w:lang w:val="en-GB" w:eastAsia="sv-SE" w:bidi="ar-SA"/>
    </w:rPr>
  </w:style>
  <w:style w:type="character" w:customStyle="1" w:styleId="138">
    <w:name w:val="PL Char"/>
    <w:link w:val="137"/>
    <w:qFormat/>
    <w:uiPriority w:val="0"/>
    <w:rPr>
      <w:rFonts w:ascii="Courier New" w:hAnsi="Courier New" w:eastAsia="Batang"/>
      <w:sz w:val="16"/>
      <w:shd w:val="clear" w:color="auto" w:fill="E6E6E6"/>
      <w:lang w:eastAsia="sv-SE"/>
    </w:rPr>
  </w:style>
  <w:style w:type="character" w:customStyle="1" w:styleId="139">
    <w:name w:val="Plain Text Char"/>
    <w:link w:val="34"/>
    <w:uiPriority w:val="0"/>
    <w:rPr>
      <w:rFonts w:ascii="Courier New" w:hAnsi="Courier New" w:eastAsiaTheme="minorEastAsia" w:cstheme="minorBidi"/>
      <w:kern w:val="2"/>
      <w:sz w:val="24"/>
      <w:szCs w:val="24"/>
      <w:lang w:val="nb-NO" w:eastAsia="ja-JP"/>
      <w14:ligatures w14:val="standardContextual"/>
    </w:rPr>
  </w:style>
  <w:style w:type="character" w:customStyle="1" w:styleId="140">
    <w:name w:val="TAL Car"/>
    <w:link w:val="78"/>
    <w:qFormat/>
    <w:uiPriority w:val="0"/>
    <w:rPr>
      <w:rFonts w:asciiTheme="minorHAnsi" w:hAnsiTheme="minorHAnsi" w:eastAsiaTheme="minorEastAsia" w:cstheme="minorBidi"/>
      <w:kern w:val="2"/>
      <w:sz w:val="18"/>
      <w:szCs w:val="24"/>
      <w:lang w:val="zh-CN" w:eastAsia="zh-CN"/>
      <w14:ligatures w14:val="standardContextual"/>
    </w:rPr>
  </w:style>
  <w:style w:type="character" w:customStyle="1" w:styleId="141">
    <w:name w:val="TAH Car"/>
    <w:link w:val="80"/>
    <w:qFormat/>
    <w:locked/>
    <w:uiPriority w:val="0"/>
    <w:rPr>
      <w:rFonts w:ascii="Arial" w:hAnsi="Arial"/>
      <w:b/>
      <w:sz w:val="18"/>
      <w:lang w:val="zh-CN" w:eastAsia="zh-CN"/>
    </w:rPr>
  </w:style>
  <w:style w:type="character" w:customStyle="1" w:styleId="142">
    <w:name w:val="TH Char"/>
    <w:link w:val="83"/>
    <w:qFormat/>
    <w:uiPriority w:val="0"/>
    <w:rPr>
      <w:rFonts w:asciiTheme="minorHAnsi" w:hAnsiTheme="minorHAnsi" w:eastAsiaTheme="minorEastAsia" w:cstheme="minorBidi"/>
      <w:b/>
      <w:kern w:val="2"/>
      <w:sz w:val="24"/>
      <w:szCs w:val="24"/>
      <w:lang w:val="zh-CN" w:eastAsia="zh-CN"/>
      <w14:ligatures w14:val="standardContextual"/>
    </w:rPr>
  </w:style>
  <w:style w:type="paragraph" w:customStyle="1" w:styleId="143">
    <w:name w:val="TAJ"/>
    <w:basedOn w:val="83"/>
    <w:uiPriority w:val="0"/>
  </w:style>
  <w:style w:type="paragraph" w:customStyle="1" w:styleId="144">
    <w:name w:val="TAL Char Char"/>
    <w:basedOn w:val="1"/>
    <w:link w:val="145"/>
    <w:uiPriority w:val="0"/>
    <w:pPr>
      <w:keepNext/>
      <w:keepLines/>
    </w:pPr>
    <w:rPr>
      <w:rFonts w:eastAsia="Malgun Gothic"/>
      <w:sz w:val="18"/>
      <w:lang w:val="zh-CN" w:eastAsia="zh-CN"/>
    </w:rPr>
  </w:style>
  <w:style w:type="character" w:customStyle="1" w:styleId="145">
    <w:name w:val="TAL Char Char Char"/>
    <w:link w:val="144"/>
    <w:uiPriority w:val="0"/>
    <w:rPr>
      <w:rFonts w:eastAsia="Malgun Gothic" w:asciiTheme="minorHAnsi" w:hAnsiTheme="minorHAnsi" w:cstheme="minorBidi"/>
      <w:kern w:val="2"/>
      <w:sz w:val="18"/>
      <w:szCs w:val="24"/>
      <w:lang w:val="zh-CN" w:eastAsia="zh-CN"/>
      <w14:ligatures w14:val="standardContextual"/>
    </w:rPr>
  </w:style>
  <w:style w:type="character" w:customStyle="1" w:styleId="146">
    <w:name w:val="TF Char"/>
    <w:link w:val="84"/>
    <w:qFormat/>
    <w:uiPriority w:val="0"/>
    <w:rPr>
      <w:rFonts w:ascii="Arial" w:hAnsi="Arial"/>
      <w:b/>
      <w:lang w:val="zh-CN" w:eastAsia="zh-CN"/>
    </w:rPr>
  </w:style>
  <w:style w:type="table" w:customStyle="1" w:styleId="147">
    <w:name w:val="Table Grid1"/>
    <w:basedOn w:val="51"/>
    <w:uiPriority w:val="99"/>
    <w:rPr>
      <w:rFonts w:ascii="Calibri" w:hAnsi="Calibri" w:eastAsia="Calibri"/>
      <w:sz w:val="22"/>
      <w:szCs w:val="22"/>
      <w:lang w:val="sv-S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8">
    <w:name w:val="00_Text"/>
    <w:basedOn w:val="1"/>
    <w:link w:val="149"/>
    <w:qFormat/>
    <w:uiPriority w:val="0"/>
    <w:pPr>
      <w:spacing w:before="120" w:line="264" w:lineRule="auto"/>
    </w:pPr>
    <w:rPr>
      <w:rFonts w:eastAsia="宋体"/>
    </w:rPr>
  </w:style>
  <w:style w:type="character" w:customStyle="1" w:styleId="149">
    <w:name w:val="00_Text Char"/>
    <w:basedOn w:val="53"/>
    <w:link w:val="148"/>
    <w:uiPriority w:val="0"/>
    <w:rPr>
      <w:rFonts w:eastAsia="宋体" w:asciiTheme="minorHAnsi" w:hAnsiTheme="minorHAnsi" w:cstheme="minorBidi"/>
      <w:kern w:val="2"/>
      <w:sz w:val="24"/>
      <w:szCs w:val="24"/>
      <w:lang w:val="en-US" w:eastAsia="ja-JP"/>
      <w14:ligatures w14:val="standardContextual"/>
    </w:rPr>
  </w:style>
  <w:style w:type="paragraph" w:customStyle="1" w:styleId="150">
    <w:name w:val="B1+"/>
    <w:basedOn w:val="69"/>
    <w:qFormat/>
    <w:uiPriority w:val="99"/>
    <w:pPr>
      <w:numPr>
        <w:ilvl w:val="0"/>
        <w:numId w:val="15"/>
      </w:numPr>
      <w:tabs>
        <w:tab w:val="left" w:pos="720"/>
        <w:tab w:val="clear" w:pos="737"/>
      </w:tabs>
      <w:spacing w:after="180"/>
      <w:ind w:left="720"/>
    </w:pPr>
  </w:style>
  <w:style w:type="paragraph" w:customStyle="1" w:styleId="151">
    <w:name w:val="B2+"/>
    <w:basedOn w:val="70"/>
    <w:qFormat/>
    <w:uiPriority w:val="99"/>
    <w:pPr>
      <w:numPr>
        <w:ilvl w:val="0"/>
        <w:numId w:val="16"/>
      </w:numPr>
      <w:tabs>
        <w:tab w:val="left" w:pos="851"/>
      </w:tabs>
      <w:spacing w:after="180"/>
      <w:ind w:left="851" w:hanging="851"/>
    </w:pPr>
    <w:rPr>
      <w:rFonts w:eastAsia="PMingLiU"/>
      <w:lang w:eastAsia="ko-KR"/>
    </w:rPr>
  </w:style>
  <w:style w:type="paragraph" w:customStyle="1" w:styleId="152">
    <w:name w:val="MTDisplayEquation"/>
    <w:basedOn w:val="1"/>
    <w:next w:val="1"/>
    <w:link w:val="153"/>
    <w:qFormat/>
    <w:uiPriority w:val="0"/>
    <w:pPr>
      <w:tabs>
        <w:tab w:val="center" w:pos="4540"/>
        <w:tab w:val="right" w:pos="9080"/>
      </w:tabs>
    </w:pPr>
  </w:style>
  <w:style w:type="character" w:customStyle="1" w:styleId="153">
    <w:name w:val="MTDisplayEquation 字符"/>
    <w:basedOn w:val="53"/>
    <w:link w:val="152"/>
    <w:qFormat/>
    <w:uiPriority w:val="0"/>
    <w:rPr>
      <w:rFonts w:asciiTheme="minorHAnsi" w:hAnsiTheme="minorHAnsi" w:eastAsiaTheme="minorEastAsia" w:cstheme="minorBidi"/>
      <w:kern w:val="2"/>
      <w:sz w:val="24"/>
      <w:szCs w:val="24"/>
      <w:lang w:val="en-US" w:eastAsia="ja-JP"/>
      <w14:ligatures w14:val="standardContextual"/>
    </w:rPr>
  </w:style>
  <w:style w:type="paragraph" w:customStyle="1" w:styleId="154">
    <w:name w:val="Revision"/>
    <w:hidden/>
    <w:semiHidden/>
    <w:uiPriority w:val="99"/>
    <w:rPr>
      <w:rFonts w:ascii="Arial" w:hAnsi="Arial" w:eastAsia="MS Mincho" w:cs="Times New Roman"/>
      <w:lang w:val="en-GB" w:eastAsia="zh-CN" w:bidi="ar-SA"/>
    </w:rPr>
  </w:style>
  <w:style w:type="character" w:customStyle="1" w:styleId="155">
    <w:name w:val="TAL Char"/>
    <w:qFormat/>
    <w:uiPriority w:val="0"/>
    <w:rPr>
      <w:rFonts w:ascii="Arial" w:hAnsi="Arial"/>
      <w:sz w:val="18"/>
    </w:rPr>
  </w:style>
  <w:style w:type="character" w:customStyle="1" w:styleId="156">
    <w:name w:val="TAC Char"/>
    <w:link w:val="79"/>
    <w:qFormat/>
    <w:locked/>
    <w:uiPriority w:val="0"/>
    <w:rPr>
      <w:rFonts w:ascii="Arial" w:hAnsi="Arial"/>
      <w:sz w:val="18"/>
      <w:lang w:val="zh-CN" w:eastAsia="zh-CN"/>
    </w:rPr>
  </w:style>
  <w:style w:type="character" w:customStyle="1" w:styleId="157">
    <w:name w:val="TAH Char"/>
    <w:qFormat/>
    <w:uiPriority w:val="0"/>
    <w:rPr>
      <w:rFonts w:ascii="Arial" w:hAnsi="Arial"/>
      <w:b/>
      <w:sz w:val="18"/>
    </w:rPr>
  </w:style>
  <w:style w:type="character" w:customStyle="1" w:styleId="158">
    <w:name w:val="Mention"/>
    <w:basedOn w:val="53"/>
    <w:unhideWhenUsed/>
    <w:qFormat/>
    <w:uiPriority w:val="99"/>
    <w:rPr>
      <w:color w:val="2B579A"/>
      <w:shd w:val="clear" w:color="auto" w:fill="E1DFDD"/>
    </w:rPr>
  </w:style>
  <w:style w:type="character" w:styleId="159">
    <w:name w:val="Placeholder Text"/>
    <w:basedOn w:val="53"/>
    <w:semiHidden/>
    <w:uiPriority w:val="99"/>
    <w:rPr>
      <w:color w:val="808080"/>
    </w:rPr>
  </w:style>
  <w:style w:type="table" w:customStyle="1" w:styleId="160">
    <w:name w:val="Table Grid2"/>
    <w:basedOn w:val="51"/>
    <w:qFormat/>
    <w:uiPriority w:val="39"/>
    <w:rPr>
      <w:rFonts w:ascii="Wingdings" w:hAnsi="Wingdings" w:eastAsia="Wingdings" w:cs="Malgun Gothic"/>
      <w:sz w:val="22"/>
      <w:szCs w:val="22"/>
      <w:lang w:val="de-D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1">
    <w:name w:val="Table Grid3"/>
    <w:basedOn w:val="51"/>
    <w:qFormat/>
    <w:uiPriority w:val="39"/>
    <w:rPr>
      <w:rFonts w:ascii="Wingdings" w:hAnsi="Wingdings" w:eastAsia="Wingdings" w:cs="Malgun Gothic"/>
      <w:sz w:val="22"/>
      <w:szCs w:val="22"/>
      <w:lang w:val="de-D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2">
    <w:name w:val="B1 Zchn"/>
    <w:qFormat/>
    <w:uiPriority w:val="0"/>
    <w:rPr>
      <w:lang w:eastAsia="en-US"/>
    </w:rPr>
  </w:style>
  <w:style w:type="character" w:customStyle="1" w:styleId="163">
    <w:name w:val="B1 (文字)"/>
    <w:qFormat/>
    <w:uiPriority w:val="0"/>
    <w:rPr>
      <w:lang w:eastAsia="en-US"/>
    </w:rPr>
  </w:style>
  <w:style w:type="character" w:customStyle="1" w:styleId="164">
    <w:name w:val="Caption Char"/>
    <w:link w:val="29"/>
    <w:qFormat/>
    <w:uiPriority w:val="0"/>
    <w:rPr>
      <w:rFonts w:asciiTheme="minorHAnsi" w:hAnsiTheme="minorHAnsi" w:eastAsiaTheme="minorEastAsia" w:cstheme="minorBidi"/>
      <w:b/>
      <w:kern w:val="2"/>
      <w:sz w:val="24"/>
      <w:szCs w:val="24"/>
      <w:lang w:val="en-US"/>
      <w14:ligatures w14:val="standardContextual"/>
    </w:rPr>
  </w:style>
  <w:style w:type="character" w:customStyle="1" w:styleId="165">
    <w:name w:val="B1 Char"/>
    <w:qFormat/>
    <w:uiPriority w:val="0"/>
    <w:rPr>
      <w:rFonts w:ascii="Times New Roman" w:hAnsi="Times New Roman" w:eastAsia="Times New Roman" w:cs="Times New Roman"/>
      <w:sz w:val="20"/>
      <w:szCs w:val="20"/>
      <w:lang w:val="en-GB" w:eastAsia="en-GB"/>
    </w:rPr>
  </w:style>
  <w:style w:type="character" w:customStyle="1" w:styleId="166">
    <w:name w:val="s4"/>
    <w:basedOn w:val="53"/>
    <w:qFormat/>
    <w:uiPriority w:val="0"/>
    <w:rPr>
      <w:rFonts w:hint="default" w:ascii="Arial" w:hAnsi="Arial" w:cs="Arial"/>
      <w:color w:val="000000"/>
      <w:sz w:val="18"/>
      <w:szCs w:val="18"/>
    </w:rPr>
  </w:style>
  <w:style w:type="character" w:customStyle="1" w:styleId="167">
    <w:name w:val="s7"/>
    <w:basedOn w:val="53"/>
    <w:uiPriority w:val="0"/>
    <w:rPr>
      <w:rFonts w:hint="default" w:ascii="Arial" w:hAnsi="Arial" w:cs="Arial"/>
      <w:color w:val="000000"/>
      <w:sz w:val="12"/>
      <w:szCs w:val="12"/>
    </w:rPr>
  </w:style>
  <w:style w:type="character" w:customStyle="1" w:styleId="168">
    <w:name w:val="s6"/>
    <w:basedOn w:val="53"/>
    <w:qFormat/>
    <w:uiPriority w:val="0"/>
    <w:rPr>
      <w:rFonts w:hint="default" w:ascii="Helvetica" w:hAnsi="Helvetica"/>
      <w:color w:val="000000"/>
      <w:sz w:val="18"/>
      <w:szCs w:val="18"/>
    </w:rPr>
  </w:style>
  <w:style w:type="character" w:customStyle="1" w:styleId="169">
    <w:name w:val="s5"/>
    <w:basedOn w:val="53"/>
    <w:qFormat/>
    <w:uiPriority w:val="0"/>
    <w:rPr>
      <w:rFonts w:hint="default" w:ascii="Helvetica" w:hAnsi="Helvetica"/>
      <w:color w:val="000000"/>
      <w:sz w:val="18"/>
      <w:szCs w:val="18"/>
    </w:rPr>
  </w:style>
  <w:style w:type="character" w:customStyle="1" w:styleId="170">
    <w:name w:val="s3"/>
    <w:basedOn w:val="53"/>
    <w:uiPriority w:val="0"/>
    <w:rPr>
      <w:rFonts w:hint="default" w:ascii="Arial" w:hAnsi="Arial" w:cs="Arial"/>
      <w:color w:val="000000"/>
      <w:sz w:val="18"/>
      <w:szCs w:val="18"/>
    </w:rPr>
  </w:style>
  <w:style w:type="character" w:customStyle="1" w:styleId="171">
    <w:name w:val="Unresolved Mention"/>
    <w:basedOn w:val="53"/>
    <w:unhideWhenUsed/>
    <w:uiPriority w:val="99"/>
    <w:rPr>
      <w:color w:val="605E5C"/>
      <w:shd w:val="clear" w:color="auto" w:fill="E1DFDD"/>
    </w:rPr>
  </w:style>
  <w:style w:type="table" w:customStyle="1" w:styleId="172">
    <w:name w:val="TableGrid1"/>
    <w:basedOn w:val="51"/>
    <w:qFormat/>
    <w:uiPriority w:val="59"/>
    <w:rPr>
      <w:rFonts w:ascii="Times New Roman" w:hAnsi="Times New Roman" w:eastAsia="宋体"/>
      <w:lang w:val="en-US"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73">
    <w:name w:val="table"/>
    <w:basedOn w:val="1"/>
    <w:next w:val="1"/>
    <w:qFormat/>
    <w:uiPriority w:val="0"/>
    <w:pPr>
      <w:numPr>
        <w:ilvl w:val="0"/>
        <w:numId w:val="17"/>
      </w:numPr>
      <w:jc w:val="center"/>
    </w:pPr>
  </w:style>
  <w:style w:type="table" w:customStyle="1" w:styleId="174">
    <w:name w:val="Table Grid4"/>
    <w:basedOn w:val="51"/>
    <w:qFormat/>
    <w:uiPriority w:val="39"/>
    <w:rPr>
      <w:rFonts w:ascii="Wingdings" w:hAnsi="Wingdings" w:eastAsia="Wingdings" w:cs="Malgun Gothic"/>
      <w:sz w:val="22"/>
      <w:szCs w:val="22"/>
      <w:lang w:val="de-DE"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5">
    <w:name w:val="Table Grid5"/>
    <w:basedOn w:val="51"/>
    <w:qFormat/>
    <w:uiPriority w:val="0"/>
    <w:rPr>
      <w:rFonts w:asciiTheme="minorHAnsi" w:hAnsiTheme="minorHAnsi" w:eastAsiaTheme="minorHAnsi" w:cstheme="minorBidi"/>
      <w:kern w:val="2"/>
      <w:sz w:val="22"/>
      <w:szCs w:val="22"/>
      <w:lang w:val="en-US"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6">
    <w:name w:val="paragraph"/>
    <w:basedOn w:val="1"/>
    <w:uiPriority w:val="0"/>
    <w:pPr>
      <w:spacing w:before="100" w:beforeAutospacing="1" w:after="100" w:afterAutospacing="1"/>
    </w:pPr>
    <w:rPr>
      <w:rFonts w:ascii="Times New Roman" w:hAnsi="Times New Roman" w:eastAsia="Times New Roman" w:cs="Times New Roman"/>
      <w:kern w:val="0"/>
      <w14:ligatures w14:val="none"/>
    </w:rPr>
  </w:style>
  <w:style w:type="character" w:customStyle="1" w:styleId="177">
    <w:name w:val="normaltextrun"/>
    <w:basedOn w:val="53"/>
    <w:qFormat/>
    <w:uiPriority w:val="0"/>
  </w:style>
  <w:style w:type="character" w:customStyle="1" w:styleId="178">
    <w:name w:val="eop"/>
    <w:basedOn w:val="53"/>
    <w:uiPriority w:val="0"/>
  </w:style>
  <w:style w:type="character" w:customStyle="1" w:styleId="179">
    <w:name w:val="tabchar"/>
    <w:basedOn w:val="53"/>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4.xml"/><Relationship Id="rId20" Type="http://schemas.openxmlformats.org/officeDocument/2006/relationships/customXml" Target="../customXml/item3.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f282d3b-eb4a-4b09-b61f-b9593442e286">
      <Terms xmlns="http://schemas.microsoft.com/office/infopath/2007/PartnerControls"/>
    </lcf76f155ced4ddcb4097134ff3c332f>
    <TaxCatchAll xmlns="d8762117-8292-4133-b1c7-eab5c6487cfd" xsi:nil="true"/>
    <_Flow_SignoffStatus xmlns="2f282d3b-eb4a-4b09-b61f-b9593442e286"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3E9551B3FDDA24EBF0A209BAAD637CA" ma:contentTypeVersion="22" ma:contentTypeDescription="Create a new document." ma:contentTypeScope="" ma:versionID="43fd9aa8ce6bfcf943b9ec0865a326c5">
  <xsd:schema xmlns:xsd="http://www.w3.org/2001/XMLSchema" xmlns:xs="http://www.w3.org/2001/XMLSchema" xmlns:p="http://schemas.microsoft.com/office/2006/metadata/properties" xmlns:ns1="http://schemas.microsoft.com/sharepoint/v3" xmlns:ns2="2f282d3b-eb4a-4b09-b61f-b9593442e286" xmlns:ns3="9b239327-9e80-40e4-b1b7-4394fed77a33" xmlns:ns4="d8762117-8292-4133-b1c7-eab5c6487cfd" targetNamespace="http://schemas.microsoft.com/office/2006/metadata/properties" ma:root="true" ma:fieldsID="c2f5d01f1542ad6d6e0ac8608ac7d8f0" ns1:_="" ns2:_="" ns3:_="" ns4:_="">
    <xsd:import namespace="http://schemas.microsoft.com/sharepoint/v3"/>
    <xsd:import namespace="2f282d3b-eb4a-4b09-b61f-b9593442e286"/>
    <xsd:import namespace="9b239327-9e80-40e4-b1b7-4394fed77a33"/>
    <xsd:import namespace="d8762117-8292-4133-b1c7-eab5c6487c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_Flow_SignoffStatu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282d3b-eb4a-4b09-b61f-b9593442e2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239327-9e80-40e4-b1b7-4394fed77a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762117-8292-4133-b1c7-eab5c6487cfd"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b887a991-dcc8-442b-9da6-e470cbc3e4a9}" ma:internalName="TaxCatchAll" ma:showField="CatchAllData" ma:web="9b239327-9e80-40e4-b1b7-4394fed77a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09CF6C-BAF1-0B42-9102-F6A65DC515CA}">
  <ds:schemaRefs/>
</ds:datastoreItem>
</file>

<file path=customXml/itemProps2.xml><?xml version="1.0" encoding="utf-8"?>
<ds:datastoreItem xmlns:ds="http://schemas.openxmlformats.org/officeDocument/2006/customXml" ds:itemID="{8AEBAA06-D70A-4C86-85A6-32051E721BDA}">
  <ds:schemaRefs/>
</ds:datastoreItem>
</file>

<file path=customXml/itemProps3.xml><?xml version="1.0" encoding="utf-8"?>
<ds:datastoreItem xmlns:ds="http://schemas.openxmlformats.org/officeDocument/2006/customXml" ds:itemID="{22F3BFA0-D903-4BA6-9314-DAF71997E705}">
  <ds:schemaRefs/>
</ds:datastoreItem>
</file>

<file path=customXml/itemProps4.xml><?xml version="1.0" encoding="utf-8"?>
<ds:datastoreItem xmlns:ds="http://schemas.openxmlformats.org/officeDocument/2006/customXml" ds:itemID="{F0C23059-9552-4162-BCB3-0557D30350A9}">
  <ds:schemaRefs/>
</ds:datastoreItem>
</file>

<file path=docProps/app.xml><?xml version="1.0" encoding="utf-8"?>
<Properties xmlns="http://schemas.openxmlformats.org/officeDocument/2006/extended-properties" xmlns:vt="http://schemas.openxmlformats.org/officeDocument/2006/docPropsVTypes">
  <Template>Normal</Template>
  <Pages>96</Pages>
  <Words>2620</Words>
  <Characters>14574</Characters>
  <Lines>1582</Lines>
  <Paragraphs>445</Paragraphs>
  <TotalTime>6160</TotalTime>
  <ScaleCrop>false</ScaleCrop>
  <LinksUpToDate>false</LinksUpToDate>
  <CharactersWithSpaces>17074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2024-12-05T06:13:00Z</dcterms:created>
  <dc:creator>Yufei Blankenship</dc:creator>
  <cp:lastModifiedBy>闹海</cp:lastModifiedBy>
  <dcterms:modified xsi:type="dcterms:W3CDTF">2026-03-27T02:31:43Z</dcterms:modified>
  <cp:revision>545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0x010100F3E9551B3FDDA24EBF0A209BAAD637CA</vt:lpwstr>
  </property>
  <property fmtid="{D5CDD505-2E9C-101B-9397-08002B2CF9AE}" pid="4" name="Date">
    <vt:filetime>2018-03-26T22:00:00Z</vt:filetime>
  </property>
  <property fmtid="{D5CDD505-2E9C-101B-9397-08002B2CF9AE}" pid="5" name="KSOProductBuildVer">
    <vt:lpwstr>2052-12.1.0.25225</vt:lpwstr>
  </property>
  <property fmtid="{D5CDD505-2E9C-101B-9397-08002B2CF9AE}" pid="6" name="ICV">
    <vt:lpwstr>DE4DFAF599914269AEFA2DB852CC0E51_13</vt:lpwstr>
  </property>
</Properties>
</file>