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1.jpg" ContentType="image/jpeg"/>
  <Override PartName="/word/media/rId82.png" ContentType="image/png"/>
  <Override PartName="/word/media/rId76.jpg" ContentType="image/jpeg"/>
  <Override PartName="/word/media/rId85.jpg" ContentType="image/jpeg"/>
  <Override PartName="/word/media/rId79.jpg" ContentType="image/jpeg"/>
  <Override PartName="/word/media/rId34.png" ContentType="image/png"/>
  <Override PartName="/word/media/rId46.png" ContentType="image/png"/>
  <Override PartName="/word/media/rId43.png" ContentType="image/png"/>
  <Override PartName="/word/media/rId49.png" ContentType="image/png"/>
  <Override PartName="/word/media/rId30.png" ContentType="image/png"/>
  <Override PartName="/word/media/rId58.png" ContentType="image/png"/>
  <Override PartName="/word/media/rId55.jpg" ContentType="image/jpeg"/>
  <Override PartName="/word/media/rId52.png" ContentType="image/png"/>
  <Override PartName="/word/media/rId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 663</w:t>
      </w:r>
    </w:p>
    <w:p>
      <w:pPr>
        <w:pStyle w:val="Author"/>
      </w:pPr>
      <w:r>
        <w:t xml:space="preserve">Colin Madland, Mark Halvorson, Scott Macklin</w:t>
      </w:r>
    </w:p>
    <w:p>
      <w:pPr>
        <w:pStyle w:val="Date"/>
      </w:pPr>
      <w:r>
        <w:t xml:space="preserve">Mar 14, 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0">
        <w:r>
          <w:rPr>
            <w:rStyle w:val="Hyperlink"/>
          </w:rPr>
          <w:t xml:space="preserve">Garrison et al., 2000</w:t>
        </w:r>
      </w:hyperlink>
      <w:r>
        <w:t xml:space="preserve">;</w:t>
      </w:r>
      <w:r>
        <w:t xml:space="preserve"> </w:t>
      </w:r>
      <w:hyperlink r:id="rId21">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2">
        <w:r>
          <w:rPr>
            <w:rStyle w:val="Hyperlink"/>
          </w:rPr>
          <w:t xml:space="preserve">Dewey, 1897</w:t>
        </w:r>
      </w:hyperlink>
      <w:r>
        <w:t xml:space="preserve">;</w:t>
      </w:r>
      <w:r>
        <w:t xml:space="preserve"> </w:t>
      </w:r>
      <w:hyperlink r:id="rId23">
        <w:r>
          <w:rPr>
            <w:rStyle w:val="Hyperlink"/>
          </w:rPr>
          <w:t xml:space="preserve">Vygotsky, 1978</w:t>
        </w:r>
      </w:hyperlink>
      <w:r>
        <w:t xml:space="preserve">). We will also consider various modes of interaction in learning environments and how these two models have informed the model of teaching and learning in TWU FAR Centres.</w:t>
      </w:r>
    </w:p>
    <w:p>
      <w:pPr>
        <w:pStyle w:val="Heading3"/>
      </w:pPr>
      <w:r>
        <w:t xml:space="preserve">Topics</w:t>
      </w:r>
    </w:p>
    <w:p>
      <w:pPr>
        <w:pStyle w:val="FirstParagraph"/>
      </w:pPr>
      <w:r>
        <w:t xml:space="preserve">This unit is divided into the following topics:</w:t>
      </w:r>
    </w:p>
    <w:p>
      <w:pPr>
        <w:pStyle w:val="Compact"/>
        <w:numPr>
          <w:ilvl w:val="0"/>
          <w:numId w:val="1002"/>
        </w:numPr>
      </w:pPr>
      <w:r>
        <w:t xml:space="preserve">Introduction to the Community of Inquiry Model</w:t>
      </w:r>
      <w:r>
        <w:br/>
      </w:r>
    </w:p>
    <w:p>
      <w:pPr>
        <w:pStyle w:val="Compact"/>
        <w:numPr>
          <w:ilvl w:val="0"/>
          <w:numId w:val="1002"/>
        </w:numPr>
      </w:pPr>
      <w:r>
        <w:t xml:space="preserve">Modes of Interaction</w:t>
      </w:r>
      <w:r>
        <w:br/>
      </w:r>
    </w:p>
    <w:p>
      <w:pPr>
        <w:pStyle w:val="Compact"/>
        <w:numPr>
          <w:ilvl w:val="0"/>
          <w:numId w:val="1002"/>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3"/>
        </w:numPr>
      </w:pPr>
      <w:r>
        <w:t xml:space="preserve">Analyze the characteristics of the Community of Inquiry model.</w:t>
      </w:r>
    </w:p>
    <w:p>
      <w:pPr>
        <w:pStyle w:val="Compact"/>
        <w:numPr>
          <w:ilvl w:val="0"/>
          <w:numId w:val="1003"/>
        </w:numPr>
      </w:pPr>
      <w:r>
        <w:t xml:space="preserve">Evaluate different modes of interaction.</w:t>
      </w:r>
    </w:p>
    <w:p>
      <w:pPr>
        <w:pStyle w:val="Compact"/>
        <w:numPr>
          <w:ilvl w:val="0"/>
          <w:numId w:val="1003"/>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04"/>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4"/>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4"/>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5"/>
        </w:numPr>
      </w:pPr>
      <w:r>
        <w:t xml:space="preserve">Garrison, D. R., Anderson, T., &amp; Archer, W. (1999).</w:t>
      </w:r>
      <w:r>
        <w:t xml:space="preserve"> </w:t>
      </w:r>
      <w:hyperlink r:id="rId24">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5"/>
        </w:numPr>
      </w:pPr>
      <w:r>
        <w:t xml:space="preserve">Anderson, T. (2023, October).</w:t>
      </w:r>
      <w:r>
        <w:t xml:space="preserve"> </w:t>
      </w:r>
      <w:hyperlink r:id="rId25">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5"/>
        </w:numPr>
      </w:pPr>
      <w:r>
        <w:t xml:space="preserve">Kanuka, H. (2011).</w:t>
      </w:r>
      <w:r>
        <w:t xml:space="preserve"> </w:t>
      </w:r>
      <w:hyperlink r:id="rId26">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6"/>
        </w:numPr>
      </w:pPr>
      <w:r>
        <w:t xml:space="preserve">Vaughan, N., Cleveland-Innes, M., &amp; Garrison, D. (2013).</w:t>
      </w:r>
      <w:r>
        <w:t xml:space="preserve"> </w:t>
      </w:r>
      <w:hyperlink r:id="rId21">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 ProTip on Tracking Down Articles - Click to Expand</w:t>
            </w:r>
          </w:p>
        </w:tc>
      </w:tr>
      <w:tr>
        <w:trPr>
          <w:cantSplit/>
        </w:trPr>
        <w:tc>
          <w:tcPr>
            <w:tcMar>
              <w:top w:w="108" w:type="dxa"/>
              <w:bottom w:w="108" w:type="dxa"/>
            </w:tcMar>
          </w:tcPr>
          <w:p>
            <w:pPr>
              <w:pStyle w:val="BodyText"/>
            </w:pPr>
            <w:pPr>
              <w:spacing w:before="16"/>
            </w:pPr>
            <w:r>
              <w:t xml:space="preserve">Ok…it would seem that the TWU library has lost access to the database that contains the Kanuka article above (</w:t>
            </w:r>
            <w:r>
              <w:t xml:space="preserve">‘Interaction and the online distance classroom…’</w:t>
            </w:r>
            <w:r>
              <w:t xml:space="preserve">). Here is how I go about tracking down articles In this case, I’ve completed all of the checked items and am waiting to hear back from Dr. Kanuka):</w:t>
            </w:r>
          </w:p>
          <w:p>
            <w:pPr>
              <w:pStyle w:val="BodyText"/>
            </w:pPr>
            <w:r>
              <w:t xml:space="preserve">✅ I see if I have access through another library. As a PhD candidate at UVic, I have access to their library, and it turns out that this article is in their collection, but that doesn’t help you.</w:t>
            </w:r>
            <w:r>
              <w:br/>
            </w:r>
            <w:r>
              <w:t xml:space="preserve">✅ I use a Firefox extension called</w:t>
            </w:r>
            <w:r>
              <w:t xml:space="preserve"> </w:t>
            </w:r>
            <w:r>
              <w:t xml:space="preserve">‘Unpaywall’</w:t>
            </w:r>
            <w:r>
              <w:t xml:space="preserve">, which searches for open-access versions of the same articleas researchers are often able to post pre-print versions of their article on their own site. In this case, unpaywall just links to the PDF that I have access to through UVic.</w:t>
            </w:r>
            <w:r>
              <w:br/>
            </w:r>
            <w:r>
              <w:t xml:space="preserve">✅ I contact the</w:t>
            </w:r>
            <w:r>
              <w:t xml:space="preserve"> </w:t>
            </w:r>
            <w:hyperlink r:id="rId27">
              <w:r>
                <w:rPr>
                  <w:rStyle w:val="Hyperlink"/>
                </w:rPr>
                <w:t xml:space="preserve">TWU library</w:t>
              </w:r>
            </w:hyperlink>
            <w:r>
              <w:t xml:space="preserve"> </w:t>
            </w:r>
            <w:r>
              <w:t xml:space="preserve">for assistance, as librarians are among the most helpful people on the planet. In this case, I was provided an open link, but that link looks fishy as it isn’t apparently tied to Kanuka’s site, but rather an aggregation site. Often, I also request an inter-library loan, in which the TWU library would contact another library (maybe UVic) and request a copy through them.</w:t>
            </w:r>
            <w:r>
              <w:br/>
            </w:r>
            <w:r>
              <w:t xml:space="preserve">✅ Search</w:t>
            </w:r>
            <w:r>
              <w:t xml:space="preserve"> </w:t>
            </w:r>
            <w:hyperlink r:id="rId28">
              <w:r>
                <w:rPr>
                  <w:rStyle w:val="Hyperlink"/>
                </w:rPr>
                <w:t xml:space="preserve">Google Scholar</w:t>
              </w:r>
            </w:hyperlink>
            <w:r>
              <w:t xml:space="preserve"> </w:t>
            </w:r>
            <w:r>
              <w:t xml:space="preserve">as that will often pick up on preprints on the author’s website.</w:t>
            </w:r>
            <w:r>
              <w:br/>
            </w:r>
            <w:r>
              <w:t xml:space="preserve">✅ Search</w:t>
            </w:r>
            <w:r>
              <w:t xml:space="preserve"> </w:t>
            </w:r>
            <w:hyperlink r:id="rId29">
              <w:r>
                <w:rPr>
                  <w:rStyle w:val="Hyperlink"/>
                </w:rPr>
                <w:t xml:space="preserve">ResearchGate</w:t>
              </w:r>
            </w:hyperlink>
            <w:r>
              <w:t xml:space="preserve"> </w:t>
            </w:r>
            <w:r>
              <w:t xml:space="preserve">for preprints.</w:t>
            </w:r>
            <w:r>
              <w:br/>
            </w:r>
            <w:r>
              <w:t xml:space="preserve">✅ Contact the author of the paper. They often have permission to share preprints (see above) and are usually happy to share their work, especially with grad students.</w:t>
            </w:r>
            <w:r>
              <w:br/>
            </w:r>
            <w:r>
              <w:t xml:space="preserve">❌ Here is where we start getting into academic grey areas…so don’t do this. It is against publishers policy to use tools like the hashtag #ICanHazPDF on Twitter, where you post the title of the article you are looking for under that hashtag and another researcher might respond by DM’ing you a copy. You shouldn’t do this, because it cuts into the</w:t>
            </w:r>
            <w:r>
              <w:t xml:space="preserve"> </w:t>
            </w:r>
            <w:r>
              <w:rPr>
                <w:b/>
                <w:bCs/>
                <w:i/>
                <w:iCs/>
              </w:rPr>
              <w:t xml:space="preserve">absurd</w:t>
            </w:r>
            <w:r>
              <w:t xml:space="preserve"> </w:t>
            </w:r>
            <w:r>
              <w:t xml:space="preserve">profits of massive multi-national corporations who benefit from the free work of researchers all over the world. This is nothing like walking down a hallway and knocking on your colleague’s door to ask if they have a copy of a paper, because that is super illegal too and this is digital…or something.</w:t>
            </w:r>
          </w:p>
          <w:p>
            <w:pPr>
              <w:pStyle w:val="BodyText"/>
            </w:pPr>
            <w:r>
              <w:t xml:space="preserve">And this whole mess of strategies could be avoided if everyone published under an open license and the research that is created, usually with government funding, was freely available to those who need it.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Share this article</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393722"/>
                  <wp:effectExtent b="0" l="0" r="0" t="0"/>
                  <wp:docPr descr="Share this article" title="" id="31" name="Picture"/>
                  <a:graphic>
                    <a:graphicData uri="http://schemas.openxmlformats.org/drawingml/2006/picture">
                      <pic:pic>
                        <pic:nvPicPr>
                          <pic:cNvPr descr="assets/u2/share.png" id="32" name="Picture"/>
                          <pic:cNvPicPr>
                            <a:picLocks noChangeArrowheads="1" noChangeAspect="1"/>
                          </pic:cNvPicPr>
                        </pic:nvPicPr>
                        <pic:blipFill>
                          <a:blip r:embed="rId30"/>
                          <a:stretch>
                            <a:fillRect/>
                          </a:stretch>
                        </pic:blipFill>
                        <pic:spPr bwMode="auto">
                          <a:xfrm>
                            <a:off x="0" y="0"/>
                            <a:ext cx="5334000" cy="139372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An update on this link…</w:t>
            </w:r>
          </w:p>
          <w:p>
            <w:pPr>
              <w:pStyle w:val="FirstParagraph"/>
            </w:pPr>
            <w:pPr>
              <w:spacing w:after="16"/>
            </w:pPr>
            <w:r>
              <w:t xml:space="preserve">✅ I received a response from the author, who generously provided a PDF copy of the article. This is very common.</w:t>
            </w:r>
            <w:r>
              <w:br/>
            </w:r>
            <w:r>
              <w:t xml:space="preserve">✅ Also, I discovered at the bottom of the page when I viewed the article signed into a different library, that there was an option to get a sharing link, so I copied that link and updated the URL above. This seems to provide a read-only link for people who don’t have access through a library or other institution.</w:t>
            </w:r>
          </w:p>
        </w:tc>
      </w:tr>
    </w:tbl>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be prepared share them in our class meeting. 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w:t>
      </w:r>
      <w:r>
        <w:t xml:space="preserve"> </w:t>
      </w:r>
      <w:hyperlink r:id="rId33">
        <w:r>
          <w:rPr>
            <w:rStyle w:val="Hyperlink"/>
          </w:rPr>
          <w:t xml:space="preserve">Driscoll, 2005)</w:t>
        </w:r>
      </w:hyperlink>
      <w:r>
        <w:t xml:space="preserve"> </w:t>
      </w:r>
      <w:r>
        <w:t xml:space="preserve">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‘Community of Inquiry’</w:t>
      </w:r>
      <w:r>
        <w:t xml:space="preserve"> </w:t>
      </w:r>
      <w:r>
        <w:t xml:space="preserve">(CoI), which was first described by Garrison, Anderson, and Archer in their 2000 article</w:t>
      </w:r>
      <w:r>
        <w:t xml:space="preserve"> </w:t>
      </w:r>
      <w:r>
        <w:t xml:space="preserve">“Critical Inquiry in a text-based environment”</w:t>
      </w:r>
      <w:r>
        <w:t xml:space="preserve">. Garrison, et al. theorize that there are three critical components, or</w:t>
      </w:r>
      <w:r>
        <w:t xml:space="preserve"> </w:t>
      </w:r>
      <w:r>
        <w:t xml:space="preserve">“presences”</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5" name="Picture"/>
            <a:graphic>
              <a:graphicData uri="http://schemas.openxmlformats.org/drawingml/2006/picture">
                <pic:pic>
                  <pic:nvPicPr>
                    <pic:cNvPr descr="assets/u2/CoI-Model.png" id="36" name="Picture"/>
                    <pic:cNvPicPr>
                      <a:picLocks noChangeArrowheads="1" noChangeAspect="1"/>
                    </pic:cNvPicPr>
                  </pic:nvPicPr>
                  <pic:blipFill>
                    <a:blip r:embed="rId34"/>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‘serious scholarly work’</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“real people.”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7">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8">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‘ldrs663’</w:t>
      </w:r>
      <w:r>
        <w:t xml:space="preserve"> </w:t>
      </w:r>
      <w:r>
        <w:t xml:space="preserve">in any annotations you create so that we can all find each other.</w:t>
      </w:r>
    </w:p>
    <w:p>
      <w:pPr>
        <w:pStyle w:val="BodyText"/>
      </w:pPr>
      <w:hyperlink r:id="rId39">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07"/>
        </w:numPr>
      </w:pPr>
      <w:r>
        <w:t xml:space="preserve">Were all three presences demonstrated?</w:t>
      </w:r>
    </w:p>
    <w:p>
      <w:pPr>
        <w:pStyle w:val="Compact"/>
        <w:numPr>
          <w:ilvl w:val="0"/>
          <w:numId w:val="1007"/>
        </w:numPr>
      </w:pPr>
      <w:r>
        <w:t xml:space="preserve">Which of the three were most obvious? Least?</w:t>
      </w:r>
    </w:p>
    <w:p>
      <w:pPr>
        <w:pStyle w:val="Compact"/>
        <w:numPr>
          <w:ilvl w:val="0"/>
          <w:numId w:val="1007"/>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‘interaction’</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40">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1">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‘interaction’</w:t>
      </w:r>
      <w:r>
        <w:t xml:space="preserve">.</w:t>
      </w:r>
      <w:r>
        <w:t xml:space="preserve"> </w:t>
      </w:r>
      <w:r>
        <w:t xml:space="preserve">(Note that you can check your answer right away, and then click the arrow for the next example.)</w:t>
      </w:r>
    </w:p>
    <w:p>
      <w:pPr>
        <w:pStyle w:val="BodyText"/>
      </w:pPr>
      <w:hyperlink r:id="rId42">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‘correct’</w:t>
      </w:r>
      <w:r>
        <w:t xml:space="preserve"> </w:t>
      </w:r>
      <w:r>
        <w:t xml:space="preserve">and</w:t>
      </w:r>
      <w:r>
        <w:t xml:space="preserve"> </w:t>
      </w:r>
      <w:r>
        <w:t xml:space="preserve">‘incorrect’</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4" name="Picture"/>
            <a:graphic>
              <a:graphicData uri="http://schemas.openxmlformats.org/drawingml/2006/picture">
                <pic:pic>
                  <pic:nvPicPr>
                    <pic:cNvPr descr="assets/u2/Modes-Interaction-Anderson_new.png" id="45" name="Picture"/>
                    <pic:cNvPicPr>
                      <a:picLocks noChangeArrowheads="1" noChangeAspect="1"/>
                    </pic:cNvPicPr>
                  </pic:nvPicPr>
                  <pic:blipFill>
                    <a:blip r:embed="rId43"/>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7" name="Picture"/>
            <a:graphic>
              <a:graphicData uri="http://schemas.openxmlformats.org/drawingml/2006/picture">
                <pic:pic>
                  <pic:nvPicPr>
                    <pic:cNvPr descr="assets/u2/Kanuka-Modes-of-Interaction_new.png" id="48" name="Picture"/>
                    <pic:cNvPicPr>
                      <a:picLocks noChangeArrowheads="1" noChangeAspect="1"/>
                    </pic:cNvPicPr>
                  </pic:nvPicPr>
                  <pic:blipFill>
                    <a:blip r:embed="rId46"/>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50" name="Picture"/>
            <a:graphic>
              <a:graphicData uri="http://schemas.openxmlformats.org/drawingml/2006/picture">
                <pic:pic>
                  <pic:nvPicPr>
                    <pic:cNvPr descr="assets/u2/Modes-of-Interaction-Madland_new.png" id="51" name="Picture"/>
                    <pic:cNvPicPr>
                      <a:picLocks noChangeArrowheads="1" noChangeAspect="1"/>
                    </pic:cNvPicPr>
                  </pic:nvPicPr>
                  <pic:blipFill>
                    <a:blip r:embed="rId49"/>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‘Group Project’</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25">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‘interaction’</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08"/>
        </w:numPr>
      </w:pPr>
      <w:r>
        <w:t xml:space="preserve">Analyze the characteristics of the Community of Inquiry model.</w:t>
      </w:r>
    </w:p>
    <w:p>
      <w:pPr>
        <w:pStyle w:val="Compact"/>
        <w:numPr>
          <w:ilvl w:val="0"/>
          <w:numId w:val="1008"/>
        </w:numPr>
      </w:pPr>
      <w:r>
        <w:t xml:space="preserve">Evaluate different modes of interaction.</w:t>
      </w:r>
    </w:p>
    <w:p>
      <w:pPr>
        <w:pStyle w:val="Compact"/>
        <w:numPr>
          <w:ilvl w:val="0"/>
          <w:numId w:val="1008"/>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09"/>
        </w:numPr>
      </w:pPr>
      <w:r>
        <w:t xml:space="preserve">Social Theories of Learning</w:t>
      </w:r>
    </w:p>
    <w:p>
      <w:pPr>
        <w:pStyle w:val="Compact"/>
        <w:numPr>
          <w:ilvl w:val="0"/>
          <w:numId w:val="1009"/>
        </w:numPr>
      </w:pPr>
      <w:r>
        <w:t xml:space="preserve">Cooperative Learning</w:t>
      </w:r>
    </w:p>
    <w:p>
      <w:pPr>
        <w:pStyle w:val="Compact"/>
        <w:numPr>
          <w:ilvl w:val="0"/>
          <w:numId w:val="1009"/>
        </w:numPr>
      </w:pPr>
      <w:r>
        <w:t xml:space="preserve">Facilitating Transformational Learning in Group Settings</w:t>
      </w:r>
    </w:p>
    <w:p>
      <w:pPr>
        <w:pStyle w:val="Compact"/>
        <w:numPr>
          <w:ilvl w:val="0"/>
          <w:numId w:val="1009"/>
        </w:numPr>
      </w:pPr>
      <w:r>
        <w:t xml:space="preserve">Navigating Group Dynamics</w:t>
      </w:r>
    </w:p>
    <w:p>
      <w:pPr>
        <w:pStyle w:val="Compact"/>
        <w:numPr>
          <w:ilvl w:val="0"/>
          <w:numId w:val="1009"/>
        </w:numPr>
      </w:pPr>
      <w:r>
        <w:t xml:space="preserve">Core Facilitation Competencies</w:t>
      </w:r>
    </w:p>
    <w:p>
      <w:pPr>
        <w:pStyle w:val="Compact"/>
        <w:numPr>
          <w:ilvl w:val="0"/>
          <w:numId w:val="1009"/>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0"/>
        </w:numPr>
      </w:pPr>
      <w:r>
        <w:t xml:space="preserve">Explain how to design learning environments to maximize learning</w:t>
      </w:r>
    </w:p>
    <w:p>
      <w:pPr>
        <w:pStyle w:val="Compact"/>
        <w:numPr>
          <w:ilvl w:val="0"/>
          <w:numId w:val="1010"/>
        </w:numPr>
      </w:pPr>
      <w:r>
        <w:t xml:space="preserve">Plan appropriate group learning processes to support transformative learning.</w:t>
      </w:r>
    </w:p>
    <w:p>
      <w:pPr>
        <w:pStyle w:val="Compact"/>
        <w:numPr>
          <w:ilvl w:val="0"/>
          <w:numId w:val="1010"/>
        </w:numPr>
      </w:pPr>
      <w:r>
        <w:t xml:space="preserve">Demonstrate how to facilitate a course of study.</w:t>
      </w:r>
    </w:p>
    <w:p>
      <w:pPr>
        <w:pStyle w:val="Compact"/>
        <w:numPr>
          <w:ilvl w:val="0"/>
          <w:numId w:val="1010"/>
        </w:numPr>
      </w:pPr>
      <w:r>
        <w:t xml:space="preserve">Design cooperative activities to maximize student-student and student-content interactions</w:t>
      </w:r>
    </w:p>
    <w:p>
      <w:pPr>
        <w:pStyle w:val="Compact"/>
        <w:numPr>
          <w:ilvl w:val="0"/>
          <w:numId w:val="1010"/>
        </w:numPr>
      </w:pPr>
      <w:r>
        <w:t xml:space="preserve">Apply knowledge of the Community of Inquiry model and liberating structures to the facilitation of cooperative learning activities</w:t>
      </w:r>
    </w:p>
    <w:p>
      <w:pPr>
        <w:pStyle w:val="Compact"/>
        <w:numPr>
          <w:ilvl w:val="0"/>
          <w:numId w:val="1010"/>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1"/>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1"/>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1"/>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1"/>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1"/>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1"/>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1"/>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“from observing others one forms an idea of how new behaviors are performed, and on later occasions this coded information serves as a guide for action”</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‘sweet spot’</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3" name="Picture"/>
            <a:graphic>
              <a:graphicData uri="http://schemas.openxmlformats.org/drawingml/2006/picture">
                <pic:pic>
                  <pic:nvPicPr>
                    <pic:cNvPr descr="assets/u3/ZPD_Image_new.png" id="54" name="Picture"/>
                    <pic:cNvPicPr>
                      <a:picLocks noChangeArrowheads="1" noChangeAspect="1"/>
                    </pic:cNvPicPr>
                  </pic:nvPicPr>
                  <pic:blipFill>
                    <a:blip r:embed="rId52"/>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“it implies becoming a full participant, a member, a kind of person”</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2"/>
        </w:numPr>
      </w:pPr>
      <w:r>
        <w:t xml:space="preserve">How does the idea of the zone of proximal development help you support learning?</w:t>
      </w:r>
    </w:p>
    <w:p>
      <w:pPr>
        <w:pStyle w:val="Compact"/>
        <w:numPr>
          <w:ilvl w:val="0"/>
          <w:numId w:val="1012"/>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2"/>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2"/>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6" name="Picture"/>
            <a:graphic>
              <a:graphicData uri="http://schemas.openxmlformats.org/drawingml/2006/picture">
                <pic:pic>
                  <pic:nvPicPr>
                    <pic:cNvPr descr="assets/u3/U5_T2_Image.jpg" id="57" name="Picture"/>
                    <pic:cNvPicPr>
                      <a:picLocks noChangeArrowheads="1" noChangeAspect="1"/>
                    </pic:cNvPicPr>
                  </pic:nvPicPr>
                  <pic:blipFill>
                    <a:blip r:embed="rId55"/>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“positive interdependence, individual accountability, promotive interactions, appropriate use of social skills, and group processing”</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‘A’</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‘social loafing’</w:t>
      </w:r>
      <w:r>
        <w:t xml:space="preserve"> </w:t>
      </w:r>
      <w:r>
        <w:t xml:space="preserve">that is common in typical</w:t>
      </w:r>
      <w:r>
        <w:t xml:space="preserve"> </w:t>
      </w:r>
      <w:r>
        <w:t xml:space="preserve">‘group projects.’</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9" name="Picture"/>
            <a:graphic>
              <a:graphicData uri="http://schemas.openxmlformats.org/drawingml/2006/picture">
                <pic:pic>
                  <pic:nvPicPr>
                    <pic:cNvPr descr="assets/u3/Image_cooperative_learning.png" id="60" name="Picture"/>
                    <pic:cNvPicPr>
                      <a:picLocks noChangeArrowheads="1" noChangeAspect="1"/>
                    </pic:cNvPicPr>
                  </pic:nvPicPr>
                  <pic:blipFill>
                    <a:blip r:embed="rId58"/>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3"/>
        </w:numPr>
      </w:pPr>
      <w:r>
        <w:t xml:space="preserve">How can coaching concepts be applied to helping learners learn?</w:t>
      </w:r>
      <w:r>
        <w:br/>
      </w:r>
    </w:p>
    <w:p>
      <w:pPr>
        <w:pStyle w:val="Compact"/>
        <w:numPr>
          <w:ilvl w:val="0"/>
          <w:numId w:val="1013"/>
        </w:numPr>
      </w:pPr>
      <w:r>
        <w:t xml:space="preserve">What key characteristics define effective coaching for learning?</w:t>
      </w:r>
      <w:r>
        <w:br/>
      </w:r>
    </w:p>
    <w:p>
      <w:pPr>
        <w:pStyle w:val="Compact"/>
        <w:numPr>
          <w:ilvl w:val="0"/>
          <w:numId w:val="101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“the exploration as the first quarter of the session; engaging with the subject and developing understanding as the middle half; and enabling action and development as the final quarter.”</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61">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4"/>
        </w:numPr>
      </w:pPr>
      <w:r>
        <w:t xml:space="preserve">According to Roger Schwarz what is a facilitator’s main task?</w:t>
      </w:r>
      <w:r>
        <w:br/>
      </w:r>
    </w:p>
    <w:p>
      <w:pPr>
        <w:pStyle w:val="Compact"/>
        <w:numPr>
          <w:ilvl w:val="0"/>
          <w:numId w:val="1014"/>
        </w:numPr>
      </w:pPr>
      <w:r>
        <w:t xml:space="preserve">According to Carl Rogers what are the core conditions for facilitating learning?</w:t>
      </w:r>
      <w:r>
        <w:br/>
      </w:r>
    </w:p>
    <w:p>
      <w:pPr>
        <w:pStyle w:val="Compact"/>
        <w:numPr>
          <w:ilvl w:val="0"/>
          <w:numId w:val="1014"/>
        </w:numPr>
      </w:pPr>
      <w:r>
        <w:t xml:space="preserve">What are the three foci of the facilitator role?</w:t>
      </w:r>
      <w:r>
        <w:br/>
      </w:r>
    </w:p>
    <w:p>
      <w:pPr>
        <w:pStyle w:val="Compact"/>
        <w:numPr>
          <w:ilvl w:val="0"/>
          <w:numId w:val="1014"/>
        </w:numPr>
      </w:pPr>
      <w:r>
        <w:t xml:space="preserve">What are the core values informing facilitation?</w:t>
      </w:r>
      <w:r>
        <w:br/>
      </w:r>
    </w:p>
    <w:p>
      <w:pPr>
        <w:pStyle w:val="Compact"/>
        <w:numPr>
          <w:ilvl w:val="0"/>
          <w:numId w:val="1014"/>
        </w:numPr>
      </w:pPr>
      <w:r>
        <w:t xml:space="preserve">How can the EFFECT model help you to plan a facilitated learning session?</w:t>
      </w:r>
      <w:r>
        <w:br/>
      </w:r>
    </w:p>
    <w:p>
      <w:pPr>
        <w:pStyle w:val="Compact"/>
        <w:numPr>
          <w:ilvl w:val="0"/>
          <w:numId w:val="1014"/>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“two or more individuals who are connected to one another by and within social relationship”</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5"/>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5"/>
        </w:numPr>
      </w:pPr>
      <w:r>
        <w:rPr>
          <w:b/>
          <w:bCs/>
        </w:rPr>
        <w:t xml:space="preserve">Stability</w:t>
      </w:r>
      <w:r>
        <w:t xml:space="preserve">: The longer a group stays together, the more cohesive it becomes.</w:t>
      </w:r>
    </w:p>
    <w:p>
      <w:pPr>
        <w:pStyle w:val="Compact"/>
        <w:numPr>
          <w:ilvl w:val="0"/>
          <w:numId w:val="1015"/>
        </w:numPr>
      </w:pPr>
      <w:r>
        <w:rPr>
          <w:b/>
          <w:bCs/>
        </w:rPr>
        <w:t xml:space="preserve">Size</w:t>
      </w:r>
      <w:r>
        <w:t xml:space="preserve">: Smaller groups tend to have higher cohesion.</w:t>
      </w:r>
    </w:p>
    <w:p>
      <w:pPr>
        <w:pStyle w:val="Compact"/>
        <w:numPr>
          <w:ilvl w:val="0"/>
          <w:numId w:val="1015"/>
        </w:numPr>
      </w:pPr>
      <w:r>
        <w:rPr>
          <w:b/>
          <w:bCs/>
        </w:rPr>
        <w:t xml:space="preserve">Support</w:t>
      </w:r>
      <w:r>
        <w:t xml:space="preserve">: Coaching and encouragement to support other members strengthens the group’s identity.</w:t>
      </w:r>
    </w:p>
    <w:p>
      <w:pPr>
        <w:pStyle w:val="Compact"/>
        <w:numPr>
          <w:ilvl w:val="0"/>
          <w:numId w:val="1015"/>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6"/>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17"/>
        </w:numPr>
      </w:pPr>
      <w:r>
        <w:rPr>
          <w:b/>
          <w:bCs/>
        </w:rPr>
        <w:t xml:space="preserve">Forming</w:t>
      </w:r>
      <w:r>
        <w:t xml:space="preserve">: Members get to know one another, exchange personal information, and establish new relationships.</w:t>
      </w:r>
    </w:p>
    <w:p>
      <w:pPr>
        <w:pStyle w:val="Compact"/>
        <w:numPr>
          <w:ilvl w:val="0"/>
          <w:numId w:val="1017"/>
        </w:numPr>
      </w:pPr>
      <w:r>
        <w:rPr>
          <w:b/>
          <w:bCs/>
        </w:rPr>
        <w:t xml:space="preserve">Storming</w:t>
      </w:r>
      <w:r>
        <w:t xml:space="preserve">: Members open up to each other and confront each other’s ideas and perspectives.</w:t>
      </w:r>
    </w:p>
    <w:p>
      <w:pPr>
        <w:pStyle w:val="Compact"/>
        <w:numPr>
          <w:ilvl w:val="0"/>
          <w:numId w:val="1017"/>
        </w:numPr>
      </w:pPr>
      <w:r>
        <w:rPr>
          <w:b/>
          <w:bCs/>
        </w:rPr>
        <w:t xml:space="preserve">Norming</w:t>
      </w:r>
      <w:r>
        <w:t xml:space="preserve">: Members achieve a consensus about goals, definition of roles, and clear coordination of effort.</w:t>
      </w:r>
    </w:p>
    <w:p>
      <w:pPr>
        <w:pStyle w:val="Compact"/>
        <w:numPr>
          <w:ilvl w:val="0"/>
          <w:numId w:val="1017"/>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17"/>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18"/>
        </w:numPr>
      </w:pPr>
      <w:r>
        <w:t xml:space="preserve">What are some of the key benefits and dangers of learning in group settings?</w:t>
      </w:r>
      <w:r>
        <w:br/>
      </w:r>
    </w:p>
    <w:p>
      <w:pPr>
        <w:pStyle w:val="Compact"/>
        <w:numPr>
          <w:ilvl w:val="0"/>
          <w:numId w:val="1018"/>
        </w:numPr>
      </w:pPr>
      <w:r>
        <w:t xml:space="preserve">What are some key dimensions of groups?</w:t>
      </w:r>
      <w:r>
        <w:br/>
      </w:r>
    </w:p>
    <w:p>
      <w:pPr>
        <w:pStyle w:val="Compact"/>
        <w:numPr>
          <w:ilvl w:val="0"/>
          <w:numId w:val="1018"/>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3">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19"/>
        </w:numPr>
      </w:pPr>
      <w:r>
        <w:t xml:space="preserve">How is White’s Optimal Performance Zone similar Vygotsky’s ZPD?</w:t>
      </w:r>
      <w:r>
        <w:br/>
      </w:r>
    </w:p>
    <w:p>
      <w:pPr>
        <w:pStyle w:val="Compact"/>
        <w:numPr>
          <w:ilvl w:val="0"/>
          <w:numId w:val="1019"/>
        </w:numPr>
      </w:pPr>
      <w:r>
        <w:t xml:space="preserve">How does White’s model help a facilitator determine how to adjust their facilitation strategies?</w:t>
      </w:r>
      <w:r>
        <w:br/>
      </w:r>
    </w:p>
    <w:p>
      <w:pPr>
        <w:pStyle w:val="Compact"/>
        <w:numPr>
          <w:ilvl w:val="0"/>
          <w:numId w:val="1019"/>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0"/>
        </w:numPr>
      </w:pPr>
      <w:r>
        <w:t xml:space="preserve">Develop multi-session study plans for completing courses</w:t>
      </w:r>
    </w:p>
    <w:p>
      <w:pPr>
        <w:pStyle w:val="Compact"/>
        <w:numPr>
          <w:ilvl w:val="0"/>
          <w:numId w:val="1020"/>
        </w:numPr>
      </w:pPr>
      <w:r>
        <w:t xml:space="preserve">Select clear study methods and learning activities</w:t>
      </w:r>
    </w:p>
    <w:p>
      <w:pPr>
        <w:pStyle w:val="Compact"/>
        <w:numPr>
          <w:ilvl w:val="0"/>
          <w:numId w:val="1020"/>
        </w:numPr>
      </w:pPr>
      <w:r>
        <w:t xml:space="preserve">Prepare time and space to support group learning</w:t>
      </w:r>
    </w:p>
    <w:p>
      <w:pPr>
        <w:pStyle w:val="Compact"/>
        <w:numPr>
          <w:ilvl w:val="0"/>
          <w:numId w:val="1020"/>
        </w:numPr>
      </w:pPr>
      <w:r>
        <w:t xml:space="preserve">Create and sustain a participatory transformative learning environment</w:t>
      </w:r>
    </w:p>
    <w:p>
      <w:pPr>
        <w:pStyle w:val="Compact"/>
        <w:numPr>
          <w:ilvl w:val="0"/>
          <w:numId w:val="1020"/>
        </w:numPr>
      </w:pPr>
      <w:r>
        <w:t xml:space="preserve">Guide Group to meet each course learning outcome</w:t>
      </w:r>
    </w:p>
    <w:p>
      <w:pPr>
        <w:pStyle w:val="Compact"/>
        <w:numPr>
          <w:ilvl w:val="0"/>
          <w:numId w:val="1020"/>
        </w:numPr>
      </w:pPr>
      <w:r>
        <w:t xml:space="preserve">Directing processes for sharing peer feedback (in self-directed learning)</w:t>
      </w:r>
    </w:p>
    <w:p>
      <w:pPr>
        <w:pStyle w:val="Compact"/>
        <w:numPr>
          <w:ilvl w:val="0"/>
          <w:numId w:val="1020"/>
        </w:numPr>
      </w:pPr>
      <w:r>
        <w:t xml:space="preserve">Providing learners with formative feedback</w:t>
      </w:r>
    </w:p>
    <w:p>
      <w:pPr>
        <w:pStyle w:val="Compact"/>
        <w:numPr>
          <w:ilvl w:val="0"/>
          <w:numId w:val="1020"/>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4">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1"/>
        </w:numPr>
      </w:pPr>
      <w:r>
        <w:t xml:space="preserve">What general facilitation competencies apply to facilitating learning?</w:t>
      </w:r>
      <w:r>
        <w:br/>
      </w:r>
    </w:p>
    <w:p>
      <w:pPr>
        <w:pStyle w:val="Compact"/>
        <w:numPr>
          <w:ilvl w:val="0"/>
          <w:numId w:val="1021"/>
        </w:numPr>
      </w:pPr>
      <w:r>
        <w:t xml:space="preserve">What competencies do you feel are strength areas? What areas do you need to develop?</w:t>
      </w:r>
      <w:r>
        <w:br/>
      </w:r>
    </w:p>
    <w:p>
      <w:pPr>
        <w:pStyle w:val="Compact"/>
        <w:numPr>
          <w:ilvl w:val="0"/>
          <w:numId w:val="1021"/>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‘brainstorm.’</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5">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2"/>
        </w:numPr>
      </w:pPr>
      <w:r>
        <w:t xml:space="preserve">Explain how to design learning environments to maximize learning.</w:t>
      </w:r>
      <w:r>
        <w:br/>
      </w:r>
    </w:p>
    <w:p>
      <w:pPr>
        <w:pStyle w:val="Compact"/>
        <w:numPr>
          <w:ilvl w:val="0"/>
          <w:numId w:val="1022"/>
        </w:numPr>
      </w:pPr>
      <w:r>
        <w:t xml:space="preserve">Plan appropriate group learning processes to support transformative learning.</w:t>
      </w:r>
      <w:r>
        <w:br/>
      </w:r>
    </w:p>
    <w:p>
      <w:pPr>
        <w:pStyle w:val="Compact"/>
        <w:numPr>
          <w:ilvl w:val="0"/>
          <w:numId w:val="1022"/>
        </w:numPr>
      </w:pPr>
      <w:r>
        <w:t xml:space="preserve">Demonstrate how to facilitate a course of study.</w:t>
      </w:r>
      <w:r>
        <w:br/>
      </w:r>
    </w:p>
    <w:p>
      <w:pPr>
        <w:pStyle w:val="Compact"/>
        <w:numPr>
          <w:ilvl w:val="0"/>
          <w:numId w:val="1022"/>
        </w:numPr>
      </w:pPr>
      <w:r>
        <w:t xml:space="preserve">Design cooperative activities to maximize student-student and student-content interactions.</w:t>
      </w:r>
      <w:r>
        <w:br/>
      </w:r>
    </w:p>
    <w:p>
      <w:pPr>
        <w:pStyle w:val="Compact"/>
        <w:numPr>
          <w:ilvl w:val="0"/>
          <w:numId w:val="1022"/>
        </w:numPr>
      </w:pPr>
      <w:r>
        <w:t xml:space="preserve">Apply knowledge of the Community of Inquiry model and liberating structures to the facilitation of cooperative learning activities.</w:t>
      </w:r>
    </w:p>
    <w:p>
      <w:pPr>
        <w:pStyle w:val="Compact"/>
        <w:numPr>
          <w:ilvl w:val="0"/>
          <w:numId w:val="1022"/>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3"/>
        </w:numPr>
      </w:pPr>
      <w:r>
        <w:t xml:space="preserve">Theories of Learning (or</w:t>
      </w:r>
      <w:r>
        <w:t xml:space="preserve"> </w:t>
      </w:r>
      <w:r>
        <w:rPr>
          <w:i/>
          <w:iCs/>
        </w:rPr>
        <w:t xml:space="preserve">What do we Really Know About How People Learn</w:t>
      </w:r>
      <w:r>
        <w:t xml:space="preserve">)</w:t>
      </w:r>
    </w:p>
    <w:p>
      <w:pPr>
        <w:pStyle w:val="Compact"/>
        <w:numPr>
          <w:ilvl w:val="0"/>
          <w:numId w:val="1023"/>
        </w:numPr>
      </w:pPr>
      <w:r>
        <w:t xml:space="preserve">The Practice of Coaching</w:t>
      </w:r>
    </w:p>
    <w:p>
      <w:pPr>
        <w:pStyle w:val="Compact"/>
        <w:numPr>
          <w:ilvl w:val="0"/>
          <w:numId w:val="1023"/>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4"/>
        </w:numPr>
      </w:pPr>
      <w:r>
        <w:t xml:space="preserve">Describe theories about how people learn.</w:t>
      </w:r>
    </w:p>
    <w:p>
      <w:pPr>
        <w:pStyle w:val="Compact"/>
        <w:numPr>
          <w:ilvl w:val="0"/>
          <w:numId w:val="1024"/>
        </w:numPr>
      </w:pPr>
      <w:r>
        <w:t xml:space="preserve">Explain how to design learning environments to maximize learning.</w:t>
      </w:r>
    </w:p>
    <w:p>
      <w:pPr>
        <w:pStyle w:val="Compact"/>
        <w:numPr>
          <w:ilvl w:val="0"/>
          <w:numId w:val="1024"/>
        </w:numPr>
      </w:pPr>
      <w:r>
        <w:t xml:space="preserve">Explain the coaching for learning model.</w:t>
      </w:r>
    </w:p>
    <w:p>
      <w:pPr>
        <w:pStyle w:val="Compact"/>
        <w:numPr>
          <w:ilvl w:val="0"/>
          <w:numId w:val="1024"/>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6">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082"/>
            <wp:effectExtent b="0" l="0" r="0" t="0"/>
            <wp:docPr descr="School in Y2K" title="" id="68" name="Picture"/>
            <a:graphic>
              <a:graphicData uri="http://schemas.openxmlformats.org/drawingml/2006/picture">
                <pic:pic>
                  <pic:nvPicPr>
                    <pic:cNvPr descr="assets/u4/France_in_XXI_Century._School.jpg" id="69" name="Picture"/>
                    <pic:cNvPicPr>
                      <a:picLocks noChangeArrowheads="1" noChangeAspect="1"/>
                    </pic:cNvPicPr>
                  </pic:nvPicPr>
                  <pic:blipFill>
                    <a:blip r:embed="rId67"/>
                    <a:stretch>
                      <a:fillRect/>
                    </a:stretch>
                  </pic:blipFill>
                  <pic:spPr bwMode="auto">
                    <a:xfrm>
                      <a:off x="0" y="0"/>
                      <a:ext cx="5334000" cy="332708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70">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“machines”</w:t>
      </w:r>
      <w:r>
        <w:t xml:space="preserve"> </w:t>
      </w:r>
      <w:r>
        <w:t xml:space="preserve">who could be</w:t>
      </w:r>
      <w:r>
        <w:t xml:space="preserve"> </w:t>
      </w:r>
      <w:r>
        <w:t xml:space="preserve">“programmed”</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“For my part, I know no other art of learning than hard work, devotion, and perseverance”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 </w:t>
      </w:r>
      <w:r>
        <w:t xml:space="preserve">negates the</w:t>
      </w:r>
      <w:r>
        <w:t xml:space="preserve"> </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‘ride a bike’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1">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2">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‘Read Online’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5"/>
        </w:numPr>
      </w:pPr>
      <w:r>
        <w:rPr>
          <w:i/>
          <w:iCs/>
        </w:rPr>
        <w:t xml:space="preserve">What are the basic types of learning?</w:t>
      </w:r>
    </w:p>
    <w:p>
      <w:pPr>
        <w:pStyle w:val="Compact"/>
        <w:numPr>
          <w:ilvl w:val="0"/>
          <w:numId w:val="1025"/>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6"/>
        </w:numPr>
      </w:pPr>
      <w:hyperlink r:id="rId73">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27"/>
        </w:numPr>
      </w:pPr>
      <w:r>
        <w:rPr>
          <w:i/>
          <w:iCs/>
        </w:rPr>
        <w:t xml:space="preserve">How do students understand new ideas?</w:t>
      </w:r>
    </w:p>
    <w:p>
      <w:pPr>
        <w:pStyle w:val="Compact"/>
        <w:numPr>
          <w:ilvl w:val="0"/>
          <w:numId w:val="1027"/>
        </w:numPr>
      </w:pPr>
      <w:r>
        <w:rPr>
          <w:i/>
          <w:iCs/>
        </w:rPr>
        <w:t xml:space="preserve">How do students learn and retain new information?</w:t>
      </w:r>
    </w:p>
    <w:p>
      <w:pPr>
        <w:pStyle w:val="Compact"/>
        <w:numPr>
          <w:ilvl w:val="0"/>
          <w:numId w:val="1027"/>
        </w:numPr>
      </w:pPr>
      <w:r>
        <w:rPr>
          <w:i/>
          <w:iCs/>
        </w:rPr>
        <w:t xml:space="preserve">How do students solve problems?</w:t>
      </w:r>
    </w:p>
    <w:p>
      <w:pPr>
        <w:pStyle w:val="Compact"/>
        <w:numPr>
          <w:ilvl w:val="0"/>
          <w:numId w:val="1027"/>
        </w:numPr>
      </w:pPr>
      <w:r>
        <w:rPr>
          <w:i/>
          <w:iCs/>
        </w:rPr>
        <w:t xml:space="preserve">How does learning transfer to new situations in or outside of the classroom?</w:t>
      </w:r>
    </w:p>
    <w:p>
      <w:pPr>
        <w:pStyle w:val="Compact"/>
        <w:numPr>
          <w:ilvl w:val="0"/>
          <w:numId w:val="1027"/>
        </w:numPr>
      </w:pPr>
      <w:r>
        <w:rPr>
          <w:i/>
          <w:iCs/>
        </w:rPr>
        <w:t xml:space="preserve">What motivates students to learn?</w:t>
      </w:r>
    </w:p>
    <w:p>
      <w:pPr>
        <w:pStyle w:val="Compact"/>
        <w:numPr>
          <w:ilvl w:val="0"/>
          <w:numId w:val="1027"/>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“a way of being, listening, asking, and speaking that draws out and augments characteristics and potential that are already present in a person.”</w:t>
      </w:r>
      <w:r>
        <w:t xml:space="preserve"> </w:t>
      </w:r>
      <w:r>
        <w:t xml:space="preserve">His conceptualization of the method is analogous to Michelangelo’s approach to sculpture. Michelangelo believed that</w:t>
      </w:r>
      <w:r>
        <w:t xml:space="preserve"> </w:t>
      </w:r>
      <w:r>
        <w:t xml:space="preserve">“every block of stone has a statue inside it and it’s the task of the sculptor to discover it.”</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“farm”</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“[create] a safe and challenging environment in which learning can take place.”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28"/>
        </w:numPr>
      </w:pPr>
      <w:r>
        <w:t xml:space="preserve">helping each learner become aware of their own potential, and,</w:t>
      </w:r>
      <w:r>
        <w:br/>
      </w:r>
    </w:p>
    <w:p>
      <w:pPr>
        <w:pStyle w:val="Compact"/>
        <w:numPr>
          <w:ilvl w:val="0"/>
          <w:numId w:val="1028"/>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29"/>
        </w:numPr>
      </w:pPr>
      <w:hyperlink r:id="rId74">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0"/>
        </w:numPr>
      </w:pPr>
      <w:r>
        <w:rPr>
          <w:i/>
          <w:iCs/>
        </w:rPr>
        <w:t xml:space="preserve">How can coaching concepts be applied to helping learners learn?</w:t>
      </w:r>
    </w:p>
    <w:p>
      <w:pPr>
        <w:pStyle w:val="Compact"/>
        <w:numPr>
          <w:ilvl w:val="0"/>
          <w:numId w:val="1030"/>
        </w:numPr>
      </w:pPr>
      <w:r>
        <w:rPr>
          <w:i/>
          <w:iCs/>
        </w:rPr>
        <w:t xml:space="preserve">What key characteristics define effective coaching for learning?</w:t>
      </w:r>
    </w:p>
    <w:p>
      <w:pPr>
        <w:pStyle w:val="Compact"/>
        <w:numPr>
          <w:ilvl w:val="0"/>
          <w:numId w:val="1030"/>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“creating a “space to listen into.”</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1"/>
        </w:numPr>
      </w:pPr>
      <w:hyperlink r:id="rId75">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2"/>
        </w:numPr>
      </w:pPr>
      <w:r>
        <w:rPr>
          <w:i/>
          <w:iCs/>
        </w:rPr>
        <w:t xml:space="preserve">What general coaching competencies apply to coaching for learning?</w:t>
      </w:r>
    </w:p>
    <w:p>
      <w:pPr>
        <w:pStyle w:val="Compact"/>
        <w:numPr>
          <w:ilvl w:val="0"/>
          <w:numId w:val="1032"/>
        </w:numPr>
      </w:pPr>
      <w:r>
        <w:rPr>
          <w:i/>
          <w:iCs/>
        </w:rPr>
        <w:t xml:space="preserve">What competencies do you feel are strength areas? What areas do you need to develop?</w:t>
      </w:r>
    </w:p>
    <w:p>
      <w:pPr>
        <w:pStyle w:val="Compact"/>
        <w:numPr>
          <w:ilvl w:val="0"/>
          <w:numId w:val="1032"/>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7" name="Picture"/>
            <a:graphic>
              <a:graphicData uri="http://schemas.openxmlformats.org/drawingml/2006/picture">
                <pic:pic>
                  <pic:nvPicPr>
                    <pic:cNvPr descr="assets/presentations/coaching/mike.jpg" id="78" name="Picture"/>
                    <pic:cNvPicPr>
                      <a:picLocks noChangeArrowheads="1" noChangeAspect="1"/>
                    </pic:cNvPicPr>
                  </pic:nvPicPr>
                  <pic:blipFill>
                    <a:blip r:embed="rId76"/>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3"/>
        </w:numPr>
      </w:pPr>
      <w:r>
        <w:t xml:space="preserve">Learning, coaching, and building a learning culture are critical to the multi-access education model.</w:t>
      </w:r>
    </w:p>
    <w:p>
      <w:pPr>
        <w:pStyle w:val="Compact"/>
        <w:numPr>
          <w:ilvl w:val="0"/>
          <w:numId w:val="1033"/>
        </w:numPr>
      </w:pPr>
      <w:r>
        <w:t xml:space="preserve">Growing learners’ learning capability is equivalent to increasing an institution’s teaching presence.</w:t>
      </w:r>
    </w:p>
    <w:p>
      <w:pPr>
        <w:pStyle w:val="Compact"/>
        <w:numPr>
          <w:ilvl w:val="0"/>
          <w:numId w:val="1033"/>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4"/>
        </w:numPr>
      </w:pPr>
      <w:r>
        <w:t xml:space="preserve">Increase capacity for learning performance:</w:t>
      </w:r>
    </w:p>
    <w:p>
      <w:pPr>
        <w:pStyle w:val="Compact"/>
        <w:numPr>
          <w:ilvl w:val="1"/>
          <w:numId w:val="1035"/>
        </w:numPr>
      </w:pPr>
      <w:r>
        <w:t xml:space="preserve">by actualizing potential;</w:t>
      </w:r>
    </w:p>
    <w:p>
      <w:pPr>
        <w:pStyle w:val="Compact"/>
        <w:numPr>
          <w:ilvl w:val="1"/>
          <w:numId w:val="1035"/>
        </w:numPr>
      </w:pPr>
      <w:r>
        <w:t xml:space="preserve">or, by decreasing interference;</w:t>
      </w:r>
    </w:p>
    <w:p>
      <w:pPr>
        <w:pStyle w:val="Compact"/>
        <w:numPr>
          <w:ilvl w:val="1"/>
          <w:numId w:val="1035"/>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6"/>
        </w:numPr>
      </w:pPr>
      <w:r>
        <w:t xml:space="preserve">Practicing Professional Ethics &amp; Standards</w:t>
      </w:r>
    </w:p>
    <w:p>
      <w:pPr>
        <w:pStyle w:val="Compact"/>
        <w:numPr>
          <w:ilvl w:val="0"/>
          <w:numId w:val="1036"/>
        </w:numPr>
      </w:pPr>
      <w:r>
        <w:t xml:space="preserve">Cultivating Trust &amp; Safety</w:t>
      </w:r>
    </w:p>
    <w:p>
      <w:pPr>
        <w:pStyle w:val="Compact"/>
        <w:numPr>
          <w:ilvl w:val="0"/>
          <w:numId w:val="1036"/>
        </w:numPr>
      </w:pPr>
      <w:r>
        <w:t xml:space="preserve">Holding Space/ Presence</w:t>
      </w:r>
    </w:p>
    <w:p>
      <w:pPr>
        <w:pStyle w:val="Compact"/>
        <w:numPr>
          <w:ilvl w:val="0"/>
          <w:numId w:val="1036"/>
        </w:numPr>
      </w:pPr>
      <w:r>
        <w:t xml:space="preserve">Active Listening</w:t>
      </w:r>
    </w:p>
    <w:p>
      <w:pPr>
        <w:pStyle w:val="Compact"/>
        <w:numPr>
          <w:ilvl w:val="0"/>
          <w:numId w:val="1036"/>
        </w:numPr>
      </w:pPr>
      <w:r>
        <w:t xml:space="preserve">Asking Questions</w:t>
      </w:r>
    </w:p>
    <w:p>
      <w:pPr>
        <w:pStyle w:val="Compact"/>
        <w:numPr>
          <w:ilvl w:val="0"/>
          <w:numId w:val="1036"/>
        </w:numPr>
      </w:pPr>
      <w:r>
        <w:t xml:space="preserve">Creating Awareness</w:t>
      </w:r>
    </w:p>
    <w:p>
      <w:pPr>
        <w:pStyle w:val="Compact"/>
        <w:numPr>
          <w:ilvl w:val="0"/>
          <w:numId w:val="1036"/>
        </w:numPr>
      </w:pPr>
      <w:r>
        <w:t xml:space="preserve">Setting (SMART) Goals</w:t>
      </w:r>
    </w:p>
    <w:p>
      <w:pPr>
        <w:pStyle w:val="Compact"/>
        <w:numPr>
          <w:ilvl w:val="0"/>
          <w:numId w:val="1036"/>
        </w:numPr>
      </w:pPr>
      <w:r>
        <w:t xml:space="preserve">Designing Action Plans</w:t>
      </w:r>
    </w:p>
    <w:p>
      <w:pPr>
        <w:pStyle w:val="Compact"/>
        <w:numPr>
          <w:ilvl w:val="0"/>
          <w:numId w:val="1036"/>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 </w:t>
      </w:r>
      <w:r>
        <w:t xml:space="preserve">~Henri Nouwen</w:t>
      </w:r>
    </w:p>
    <w:p>
      <w:pPr>
        <w:pStyle w:val="Heading4"/>
      </w:pPr>
      <w:r>
        <w:t xml:space="preserve">Levels of Listening</w:t>
      </w:r>
    </w:p>
    <w:p>
      <w:pPr>
        <w:pStyle w:val="Compact"/>
        <w:numPr>
          <w:ilvl w:val="0"/>
          <w:numId w:val="1037"/>
        </w:numPr>
      </w:pPr>
      <w:r>
        <w:t xml:space="preserve">Avoidance Listening =</w:t>
      </w:r>
      <w:r>
        <w:t xml:space="preserve"> </w:t>
      </w:r>
      <w:r>
        <w:rPr>
          <w:b/>
          <w:bCs/>
        </w:rPr>
        <w:t xml:space="preserve">Listening Over</w:t>
      </w:r>
    </w:p>
    <w:p>
      <w:pPr>
        <w:pStyle w:val="Compact"/>
        <w:numPr>
          <w:ilvl w:val="0"/>
          <w:numId w:val="1037"/>
        </w:numPr>
      </w:pPr>
      <w:r>
        <w:t xml:space="preserve">Defensive Listening =</w:t>
      </w:r>
      <w:r>
        <w:t xml:space="preserve"> </w:t>
      </w:r>
      <w:r>
        <w:rPr>
          <w:b/>
          <w:bCs/>
        </w:rPr>
        <w:t xml:space="preserve">Listening At</w:t>
      </w:r>
    </w:p>
    <w:p>
      <w:pPr>
        <w:pStyle w:val="Compact"/>
        <w:numPr>
          <w:ilvl w:val="0"/>
          <w:numId w:val="1037"/>
        </w:numPr>
      </w:pPr>
      <w:r>
        <w:t xml:space="preserve">Problem-Solving Listening =</w:t>
      </w:r>
      <w:r>
        <w:t xml:space="preserve"> </w:t>
      </w:r>
      <w:r>
        <w:rPr>
          <w:b/>
          <w:bCs/>
        </w:rPr>
        <w:t xml:space="preserve">Listening To</w:t>
      </w:r>
    </w:p>
    <w:p>
      <w:pPr>
        <w:pStyle w:val="Compact"/>
        <w:numPr>
          <w:ilvl w:val="0"/>
          <w:numId w:val="1037"/>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“listening into”</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38"/>
        </w:numPr>
      </w:pPr>
      <w:r>
        <w:t xml:space="preserve">We listen with the intent to reply, not to understand what the other person is trying to say.</w:t>
      </w:r>
    </w:p>
    <w:p>
      <w:pPr>
        <w:numPr>
          <w:ilvl w:val="0"/>
          <w:numId w:val="1038"/>
        </w:numPr>
      </w:pPr>
      <w:r>
        <w:t xml:space="preserve">We listen to our own self-talk as we prepare what we are going to say, ask, etc.</w:t>
      </w:r>
    </w:p>
    <w:p>
      <w:pPr>
        <w:numPr>
          <w:ilvl w:val="0"/>
          <w:numId w:val="1038"/>
        </w:numPr>
      </w:pPr>
      <w:r>
        <w:t xml:space="preserve">We filter everything we hear through our life experiences, our own frame of reference.</w:t>
      </w:r>
    </w:p>
    <w:p>
      <w:pPr>
        <w:numPr>
          <w:ilvl w:val="0"/>
          <w:numId w:val="1038"/>
        </w:numPr>
      </w:pPr>
      <w:r>
        <w:t xml:space="preserve">We check what we hear against our own autobiography and see how it measures up.</w:t>
      </w:r>
    </w:p>
    <w:p>
      <w:pPr>
        <w:numPr>
          <w:ilvl w:val="0"/>
          <w:numId w:val="1038"/>
        </w:numPr>
      </w:pPr>
      <w:r>
        <w:t xml:space="preserve">We decide what the other person means before he/</w:t>
      </w:r>
      <w:r>
        <w:t xml:space="preserve"> </w:t>
      </w:r>
      <w:r>
        <w:t xml:space="preserve">she finishes communicating, saying things like:</w:t>
      </w:r>
    </w:p>
    <w:p>
      <w:pPr>
        <w:pStyle w:val="Compact"/>
        <w:numPr>
          <w:ilvl w:val="1"/>
          <w:numId w:val="1039"/>
        </w:numPr>
      </w:pPr>
      <w:r>
        <w:t xml:space="preserve">“I know just how you feel.”</w:t>
      </w:r>
    </w:p>
    <w:p>
      <w:pPr>
        <w:pStyle w:val="Compact"/>
        <w:numPr>
          <w:ilvl w:val="1"/>
          <w:numId w:val="1039"/>
        </w:numPr>
      </w:pPr>
      <w:r>
        <w:t xml:space="preserve">“I felt the same way.”</w:t>
      </w:r>
    </w:p>
    <w:p>
      <w:pPr>
        <w:pStyle w:val="Compact"/>
        <w:numPr>
          <w:ilvl w:val="1"/>
          <w:numId w:val="1039"/>
        </w:numPr>
      </w:pPr>
      <w:r>
        <w:t xml:space="preserve">“I had that same thing happen to me.”</w:t>
      </w:r>
    </w:p>
    <w:p>
      <w:pPr>
        <w:pStyle w:val="Compact"/>
        <w:numPr>
          <w:ilvl w:val="1"/>
          <w:numId w:val="1039"/>
        </w:numPr>
      </w:pPr>
      <w:r>
        <w:t xml:space="preserve">“Let me tell you what I did in a similar situation.”</w:t>
      </w:r>
    </w:p>
    <w:p>
      <w:pPr>
        <w:pStyle w:val="Heading4"/>
      </w:pPr>
      <w:r>
        <w:t xml:space="preserve">Other Common Barriers to Effective Listening</w:t>
      </w:r>
    </w:p>
    <w:p>
      <w:pPr>
        <w:pStyle w:val="Compact"/>
        <w:numPr>
          <w:ilvl w:val="0"/>
          <w:numId w:val="1040"/>
        </w:numPr>
      </w:pPr>
      <w:r>
        <w:t xml:space="preserve">We see silence as agreement</w:t>
      </w:r>
    </w:p>
    <w:p>
      <w:pPr>
        <w:pStyle w:val="Compact"/>
        <w:numPr>
          <w:ilvl w:val="0"/>
          <w:numId w:val="1040"/>
        </w:numPr>
      </w:pPr>
      <w:r>
        <w:t xml:space="preserve">We feel the pressure of time (we don’t have time)</w:t>
      </w:r>
    </w:p>
    <w:p>
      <w:pPr>
        <w:pStyle w:val="Compact"/>
        <w:numPr>
          <w:ilvl w:val="0"/>
          <w:numId w:val="1040"/>
        </w:numPr>
      </w:pPr>
      <w:r>
        <w:t xml:space="preserve">We are impatient/disinterested</w:t>
      </w:r>
    </w:p>
    <w:p>
      <w:pPr>
        <w:pStyle w:val="Compact"/>
        <w:numPr>
          <w:ilvl w:val="0"/>
          <w:numId w:val="1040"/>
        </w:numPr>
      </w:pPr>
      <w:r>
        <w:t xml:space="preserve">We lack of know-how</w:t>
      </w:r>
    </w:p>
    <w:p>
      <w:pPr>
        <w:pStyle w:val="Compact"/>
        <w:numPr>
          <w:ilvl w:val="0"/>
          <w:numId w:val="1040"/>
        </w:numPr>
      </w:pPr>
      <w:r>
        <w:t xml:space="preserve">We simply don’t pay close attention</w:t>
      </w:r>
    </w:p>
    <w:p>
      <w:pPr>
        <w:pStyle w:val="Heading4"/>
      </w:pPr>
      <w:r>
        <w:t xml:space="preserve">We Need to Learn to</w:t>
      </w:r>
      <w:r>
        <w:t xml:space="preserve"> </w:t>
      </w:r>
      <w:r>
        <w:t xml:space="preserve">“Listen Into”</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80" name="Picture"/>
            <a:graphic>
              <a:graphicData uri="http://schemas.openxmlformats.org/drawingml/2006/picture">
                <pic:pic>
                  <pic:nvPicPr>
                    <pic:cNvPr descr="assets/presentations/coaching/ted.jpg" id="81" name="Picture"/>
                    <pic:cNvPicPr>
                      <a:picLocks noChangeArrowheads="1" noChangeAspect="1"/>
                    </pic:cNvPicPr>
                  </pic:nvPicPr>
                  <pic:blipFill>
                    <a:blip r:embed="rId79"/>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1"/>
        </w:numPr>
      </w:pPr>
      <w:r>
        <w:t xml:space="preserve">Active vs. Passive</w:t>
      </w:r>
    </w:p>
    <w:p>
      <w:pPr>
        <w:pStyle w:val="Compact"/>
        <w:numPr>
          <w:ilvl w:val="0"/>
          <w:numId w:val="1041"/>
        </w:numPr>
      </w:pPr>
      <w:r>
        <w:t xml:space="preserve">Reductive vs. Expansive</w:t>
      </w:r>
    </w:p>
    <w:p>
      <w:pPr>
        <w:pStyle w:val="Compact"/>
        <w:numPr>
          <w:ilvl w:val="0"/>
          <w:numId w:val="1041"/>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3" name="Picture"/>
            <a:graphic>
              <a:graphicData uri="http://schemas.openxmlformats.org/drawingml/2006/picture">
                <pic:pic>
                  <pic:nvPicPr>
                    <pic:cNvPr descr="assets/presentations/coaching/active.png" id="84" name="Picture"/>
                    <pic:cNvPicPr>
                      <a:picLocks noChangeArrowheads="1" noChangeAspect="1"/>
                    </pic:cNvPicPr>
                  </pic:nvPicPr>
                  <pic:blipFill>
                    <a:blip r:embed="rId82"/>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2"/>
        </w:numPr>
      </w:pPr>
      <w:r>
        <w:t xml:space="preserve">Be present; focus on the moment</w:t>
      </w:r>
    </w:p>
    <w:p>
      <w:pPr>
        <w:pStyle w:val="Compact"/>
        <w:numPr>
          <w:ilvl w:val="0"/>
          <w:numId w:val="1042"/>
        </w:numPr>
      </w:pPr>
      <w:r>
        <w:t xml:space="preserve">Observe body language; your own and the learner’s.</w:t>
      </w:r>
    </w:p>
    <w:p>
      <w:pPr>
        <w:pStyle w:val="Compact"/>
        <w:numPr>
          <w:ilvl w:val="0"/>
          <w:numId w:val="1042"/>
        </w:numPr>
      </w:pPr>
      <w:r>
        <w:t xml:space="preserve">Pre-empt distractions.</w:t>
      </w:r>
    </w:p>
    <w:p>
      <w:pPr>
        <w:pStyle w:val="Heading4"/>
      </w:pPr>
      <w:r>
        <w:t xml:space="preserve">Hold Judgement</w:t>
      </w:r>
    </w:p>
    <w:p>
      <w:pPr>
        <w:pStyle w:val="Compact"/>
        <w:numPr>
          <w:ilvl w:val="0"/>
          <w:numId w:val="1043"/>
        </w:numPr>
      </w:pPr>
      <w:r>
        <w:t xml:space="preserve">Practice empathy; seeking to make the learner</w:t>
      </w:r>
      <w:r>
        <w:t xml:space="preserve"> </w:t>
      </w:r>
      <w:r>
        <w:t xml:space="preserve">“feel”</w:t>
      </w:r>
      <w:r>
        <w:t xml:space="preserve"> </w:t>
      </w:r>
      <w:r>
        <w:t xml:space="preserve">felt and heard.</w:t>
      </w:r>
    </w:p>
    <w:p>
      <w:pPr>
        <w:pStyle w:val="Compact"/>
        <w:numPr>
          <w:ilvl w:val="0"/>
          <w:numId w:val="1043"/>
        </w:numPr>
      </w:pPr>
      <w:r>
        <w:t xml:space="preserve">Try to understand learner’s</w:t>
      </w:r>
      <w:r>
        <w:t xml:space="preserve"> </w:t>
      </w:r>
      <w:r>
        <w:t xml:space="preserve">“lens”</w:t>
      </w:r>
      <w:r>
        <w:t xml:space="preserve">.</w:t>
      </w:r>
    </w:p>
    <w:p>
      <w:pPr>
        <w:pStyle w:val="Compact"/>
        <w:numPr>
          <w:ilvl w:val="0"/>
          <w:numId w:val="1043"/>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4"/>
        </w:numPr>
      </w:pPr>
      <w:r>
        <w:t xml:space="preserve">Paraphrase (</w:t>
      </w:r>
      <w:r>
        <w:t xml:space="preserve">“What I am hearing is…”</w:t>
      </w:r>
      <w:r>
        <w:t xml:space="preserve">)</w:t>
      </w:r>
    </w:p>
    <w:p>
      <w:pPr>
        <w:pStyle w:val="Compact"/>
        <w:numPr>
          <w:ilvl w:val="0"/>
          <w:numId w:val="1044"/>
        </w:numPr>
      </w:pPr>
      <w:r>
        <w:t xml:space="preserve">Name emotions you observe</w:t>
      </w:r>
    </w:p>
    <w:p>
      <w:pPr>
        <w:pStyle w:val="Compact"/>
        <w:numPr>
          <w:ilvl w:val="0"/>
          <w:numId w:val="1044"/>
        </w:numPr>
      </w:pPr>
      <w:r>
        <w:t xml:space="preserve">Be a</w:t>
      </w:r>
      <w:r>
        <w:t xml:space="preserve"> </w:t>
      </w:r>
      <w:r>
        <w:t xml:space="preserve">“mirror”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6" name="Picture"/>
            <a:graphic>
              <a:graphicData uri="http://schemas.openxmlformats.org/drawingml/2006/picture">
                <pic:pic>
                  <pic:nvPicPr>
                    <pic:cNvPr descr="assets/presentations/coaching/plutchik.jpg" id="87" name="Picture"/>
                    <pic:cNvPicPr>
                      <a:picLocks noChangeArrowheads="1" noChangeAspect="1"/>
                    </pic:cNvPicPr>
                  </pic:nvPicPr>
                  <pic:blipFill>
                    <a:blip r:embed="rId85"/>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5"/>
        </w:numPr>
      </w:pPr>
      <w:r>
        <w:t xml:space="preserve">Use open-ended questions (“What might you do next?).</w:t>
      </w:r>
    </w:p>
    <w:p>
      <w:pPr>
        <w:pStyle w:val="Compact"/>
        <w:numPr>
          <w:ilvl w:val="0"/>
          <w:numId w:val="1045"/>
        </w:numPr>
      </w:pPr>
      <w:r>
        <w:t xml:space="preserve">Use clarifying questions (</w:t>
      </w:r>
      <w:r>
        <w:t xml:space="preserve">“Let me see, if I’m clear?”</w:t>
      </w:r>
      <w:r>
        <w:t xml:space="preserve">).</w:t>
      </w:r>
    </w:p>
    <w:p>
      <w:pPr>
        <w:pStyle w:val="Compact"/>
        <w:numPr>
          <w:ilvl w:val="0"/>
          <w:numId w:val="1045"/>
        </w:numPr>
      </w:pPr>
      <w:r>
        <w:t xml:space="preserve">Use probing questions (</w:t>
      </w:r>
      <w:r>
        <w:t xml:space="preserve">“What tactics have you tried?”</w:t>
      </w:r>
      <w:r>
        <w:t xml:space="preserve">).</w:t>
      </w:r>
    </w:p>
    <w:p>
      <w:pPr>
        <w:pStyle w:val="Heading4"/>
      </w:pPr>
      <w:r>
        <w:t xml:space="preserve">Summarize</w:t>
      </w:r>
    </w:p>
    <w:p>
      <w:pPr>
        <w:pStyle w:val="Compact"/>
        <w:numPr>
          <w:ilvl w:val="0"/>
          <w:numId w:val="1046"/>
        </w:numPr>
      </w:pPr>
      <w:r>
        <w:t xml:space="preserve">Use</w:t>
      </w:r>
      <w:r>
        <w:t xml:space="preserve"> </w:t>
      </w:r>
      <w:r>
        <w:t xml:space="preserve">“So”</w:t>
      </w:r>
      <w:r>
        <w:t xml:space="preserve"> </w:t>
      </w:r>
      <w:r>
        <w:t xml:space="preserve">periodically (</w:t>
      </w:r>
      <w:r>
        <w:t xml:space="preserve">“So, what I have heard so far…”</w:t>
      </w:r>
      <w:r>
        <w:t xml:space="preserve">).</w:t>
      </w:r>
    </w:p>
    <w:p>
      <w:pPr>
        <w:pStyle w:val="Compact"/>
        <w:numPr>
          <w:ilvl w:val="0"/>
          <w:numId w:val="1046"/>
        </w:numPr>
      </w:pPr>
      <w:r>
        <w:t xml:space="preserve">Use</w:t>
      </w:r>
      <w:r>
        <w:t xml:space="preserve"> </w:t>
      </w:r>
      <w:r>
        <w:t xml:space="preserve">“So”</w:t>
      </w:r>
      <w:r>
        <w:t xml:space="preserve"> </w:t>
      </w:r>
      <w:r>
        <w:t xml:space="preserve">at the end (So, let me summarize what I have heard…”).</w:t>
      </w:r>
    </w:p>
    <w:p>
      <w:pPr>
        <w:pStyle w:val="Compact"/>
        <w:numPr>
          <w:ilvl w:val="0"/>
          <w:numId w:val="1046"/>
        </w:numPr>
      </w:pPr>
      <w:r>
        <w:t xml:space="preserve">Ask the other person to summarize.</w:t>
      </w:r>
    </w:p>
    <w:p>
      <w:pPr>
        <w:pStyle w:val="Heading4"/>
      </w:pPr>
      <w:r>
        <w:t xml:space="preserve">Share</w:t>
      </w:r>
    </w:p>
    <w:p>
      <w:pPr>
        <w:pStyle w:val="Compact"/>
        <w:numPr>
          <w:ilvl w:val="0"/>
          <w:numId w:val="1047"/>
        </w:numPr>
      </w:pPr>
      <w:r>
        <w:t xml:space="preserve">Be an active participant in the conversation.</w:t>
      </w:r>
    </w:p>
    <w:p>
      <w:pPr>
        <w:pStyle w:val="Compact"/>
        <w:numPr>
          <w:ilvl w:val="0"/>
          <w:numId w:val="1047"/>
        </w:numPr>
      </w:pPr>
      <w:r>
        <w:t xml:space="preserve">Share thoughts, feelings, and experiences to deepen and/or check for understanding.</w:t>
      </w:r>
    </w:p>
    <w:p>
      <w:pPr>
        <w:pStyle w:val="Compact"/>
        <w:numPr>
          <w:ilvl w:val="0"/>
          <w:numId w:val="1047"/>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48"/>
        </w:numPr>
      </w:pPr>
      <w:r>
        <w:t xml:space="preserve">Setting short and long term learning goals.</w:t>
      </w:r>
    </w:p>
    <w:p>
      <w:pPr>
        <w:pStyle w:val="Compact"/>
        <w:numPr>
          <w:ilvl w:val="0"/>
          <w:numId w:val="1048"/>
        </w:numPr>
      </w:pPr>
      <w:r>
        <w:t xml:space="preserve">Key questions to ask:</w:t>
      </w:r>
    </w:p>
    <w:p>
      <w:pPr>
        <w:pStyle w:val="Compact"/>
        <w:numPr>
          <w:ilvl w:val="1"/>
          <w:numId w:val="1049"/>
        </w:numPr>
      </w:pPr>
      <w:r>
        <w:t xml:space="preserve">What can you do with my time that is important?</w:t>
      </w:r>
    </w:p>
    <w:p>
      <w:pPr>
        <w:pStyle w:val="Compact"/>
        <w:numPr>
          <w:ilvl w:val="1"/>
          <w:numId w:val="1049"/>
        </w:numPr>
      </w:pPr>
      <w:r>
        <w:t xml:space="preserve">What learning outcome do you want?</w:t>
      </w:r>
    </w:p>
    <w:p>
      <w:pPr>
        <w:pStyle w:val="Compact"/>
        <w:numPr>
          <w:ilvl w:val="1"/>
          <w:numId w:val="1049"/>
        </w:numPr>
      </w:pPr>
      <w:r>
        <w:t xml:space="preserve">How much time do you need to achieve that outcome?</w:t>
      </w:r>
    </w:p>
    <w:p>
      <w:pPr>
        <w:pStyle w:val="Compact"/>
        <w:numPr>
          <w:ilvl w:val="1"/>
          <w:numId w:val="1049"/>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0"/>
        </w:numPr>
      </w:pPr>
      <w:r>
        <w:t xml:space="preserve">Your goal should be clear and specific.</w:t>
      </w:r>
    </w:p>
    <w:p>
      <w:pPr>
        <w:pStyle w:val="Compact"/>
        <w:numPr>
          <w:ilvl w:val="0"/>
          <w:numId w:val="1050"/>
        </w:numPr>
      </w:pPr>
      <w:r>
        <w:t xml:space="preserve">Ask yourself:</w:t>
      </w:r>
    </w:p>
    <w:p>
      <w:pPr>
        <w:pStyle w:val="Compact"/>
        <w:numPr>
          <w:ilvl w:val="1"/>
          <w:numId w:val="1051"/>
        </w:numPr>
      </w:pPr>
      <w:r>
        <w:t xml:space="preserve">What do I want to accomplish in this course?</w:t>
      </w:r>
    </w:p>
    <w:p>
      <w:pPr>
        <w:pStyle w:val="Compact"/>
        <w:numPr>
          <w:ilvl w:val="1"/>
          <w:numId w:val="1051"/>
        </w:numPr>
      </w:pPr>
      <w:r>
        <w:t xml:space="preserve">Why is this learning goal important to you?</w:t>
      </w:r>
    </w:p>
    <w:p>
      <w:pPr>
        <w:pStyle w:val="Compact"/>
        <w:numPr>
          <w:ilvl w:val="1"/>
          <w:numId w:val="1051"/>
        </w:numPr>
      </w:pPr>
      <w:r>
        <w:t xml:space="preserve">What is involved in achieving this goal?</w:t>
      </w:r>
    </w:p>
    <w:p>
      <w:pPr>
        <w:pStyle w:val="Heading6"/>
      </w:pPr>
      <w:r>
        <w:t xml:space="preserve">Measurable</w:t>
      </w:r>
    </w:p>
    <w:p>
      <w:pPr>
        <w:pStyle w:val="Compact"/>
        <w:numPr>
          <w:ilvl w:val="0"/>
          <w:numId w:val="1052"/>
        </w:numPr>
      </w:pPr>
      <w:r>
        <w:t xml:space="preserve">You should be able to track your progress.</w:t>
      </w:r>
    </w:p>
    <w:p>
      <w:pPr>
        <w:pStyle w:val="Compact"/>
        <w:numPr>
          <w:ilvl w:val="0"/>
          <w:numId w:val="1052"/>
        </w:numPr>
      </w:pPr>
      <w:r>
        <w:t xml:space="preserve">Ask yourself:</w:t>
      </w:r>
    </w:p>
    <w:p>
      <w:pPr>
        <w:pStyle w:val="Compact"/>
        <w:numPr>
          <w:ilvl w:val="1"/>
          <w:numId w:val="1053"/>
        </w:numPr>
      </w:pPr>
      <w:r>
        <w:t xml:space="preserve">How much time is involved?</w:t>
      </w:r>
    </w:p>
    <w:p>
      <w:pPr>
        <w:pStyle w:val="Compact"/>
        <w:numPr>
          <w:ilvl w:val="1"/>
          <w:numId w:val="1053"/>
        </w:numPr>
      </w:pPr>
      <w:r>
        <w:t xml:space="preserve">How will you know when it is accomplished?</w:t>
      </w:r>
    </w:p>
    <w:p>
      <w:pPr>
        <w:pStyle w:val="Heading6"/>
      </w:pPr>
      <w:r>
        <w:t xml:space="preserve">Attainable</w:t>
      </w:r>
    </w:p>
    <w:p>
      <w:pPr>
        <w:pStyle w:val="Compact"/>
        <w:numPr>
          <w:ilvl w:val="0"/>
          <w:numId w:val="1054"/>
        </w:numPr>
      </w:pPr>
      <w:r>
        <w:t xml:space="preserve">Your goal should be realistic and achievable.</w:t>
      </w:r>
    </w:p>
    <w:p>
      <w:pPr>
        <w:pStyle w:val="Compact"/>
        <w:numPr>
          <w:ilvl w:val="0"/>
          <w:numId w:val="1054"/>
        </w:numPr>
      </w:pPr>
      <w:r>
        <w:t xml:space="preserve">Ask yourself:</w:t>
      </w:r>
    </w:p>
    <w:p>
      <w:pPr>
        <w:pStyle w:val="Compact"/>
        <w:numPr>
          <w:ilvl w:val="1"/>
          <w:numId w:val="1055"/>
        </w:numPr>
      </w:pPr>
      <w:r>
        <w:t xml:space="preserve">How can you accomplish this goal?</w:t>
      </w:r>
    </w:p>
    <w:p>
      <w:pPr>
        <w:pStyle w:val="Compact"/>
        <w:numPr>
          <w:ilvl w:val="1"/>
          <w:numId w:val="1055"/>
        </w:numPr>
      </w:pPr>
      <w:r>
        <w:t xml:space="preserve">Do you have the resources to achieve it?</w:t>
      </w:r>
    </w:p>
    <w:p>
      <w:pPr>
        <w:pStyle w:val="Heading6"/>
      </w:pPr>
      <w:r>
        <w:t xml:space="preserve">Relevant</w:t>
      </w:r>
    </w:p>
    <w:p>
      <w:pPr>
        <w:pStyle w:val="Compact"/>
        <w:numPr>
          <w:ilvl w:val="0"/>
          <w:numId w:val="1056"/>
        </w:numPr>
      </w:pPr>
      <w:r>
        <w:t xml:space="preserve">Your goal should matter and align with your other</w:t>
      </w:r>
      <w:r>
        <w:t xml:space="preserve"> </w:t>
      </w:r>
      <w:r>
        <w:t xml:space="preserve">goals.</w:t>
      </w:r>
    </w:p>
    <w:p>
      <w:pPr>
        <w:pStyle w:val="Compact"/>
        <w:numPr>
          <w:ilvl w:val="0"/>
          <w:numId w:val="1056"/>
        </w:numPr>
      </w:pPr>
      <w:r>
        <w:t xml:space="preserve">Ask yourself:</w:t>
      </w:r>
    </w:p>
    <w:p>
      <w:pPr>
        <w:pStyle w:val="Compact"/>
        <w:numPr>
          <w:ilvl w:val="1"/>
          <w:numId w:val="1057"/>
        </w:numPr>
      </w:pPr>
      <w:r>
        <w:t xml:space="preserve">Is the goal worthwhile?</w:t>
      </w:r>
    </w:p>
    <w:p>
      <w:pPr>
        <w:pStyle w:val="Compact"/>
        <w:numPr>
          <w:ilvl w:val="1"/>
          <w:numId w:val="1057"/>
        </w:numPr>
      </w:pPr>
      <w:r>
        <w:t xml:space="preserve">Is the time right?</w:t>
      </w:r>
    </w:p>
    <w:p>
      <w:pPr>
        <w:pStyle w:val="Compact"/>
        <w:numPr>
          <w:ilvl w:val="1"/>
          <w:numId w:val="1057"/>
        </w:numPr>
      </w:pPr>
      <w:r>
        <w:t xml:space="preserve">Does it help you achieve what you ultimately want?</w:t>
      </w:r>
    </w:p>
    <w:p>
      <w:pPr>
        <w:pStyle w:val="Heading6"/>
      </w:pPr>
      <w:r>
        <w:t xml:space="preserve">Time-bound</w:t>
      </w:r>
    </w:p>
    <w:p>
      <w:pPr>
        <w:pStyle w:val="Compact"/>
        <w:numPr>
          <w:ilvl w:val="0"/>
          <w:numId w:val="1058"/>
        </w:numPr>
      </w:pPr>
      <w:r>
        <w:t xml:space="preserve">Your goal should have a deadline to focus on.</w:t>
      </w:r>
    </w:p>
    <w:p>
      <w:pPr>
        <w:pStyle w:val="Compact"/>
        <w:numPr>
          <w:ilvl w:val="0"/>
          <w:numId w:val="1058"/>
        </w:numPr>
      </w:pPr>
      <w:r>
        <w:t xml:space="preserve">Ask yourself:</w:t>
      </w:r>
    </w:p>
    <w:p>
      <w:pPr>
        <w:pStyle w:val="Compact"/>
        <w:numPr>
          <w:ilvl w:val="1"/>
          <w:numId w:val="1059"/>
        </w:numPr>
      </w:pPr>
      <w:r>
        <w:t xml:space="preserve">When?</w:t>
      </w:r>
    </w:p>
    <w:p>
      <w:pPr>
        <w:pStyle w:val="Compact"/>
        <w:numPr>
          <w:ilvl w:val="1"/>
          <w:numId w:val="1059"/>
        </w:numPr>
      </w:pPr>
      <w:r>
        <w:t xml:space="preserve">What can I do now?</w:t>
      </w:r>
    </w:p>
    <w:p>
      <w:pPr>
        <w:pStyle w:val="Heading2"/>
      </w:pPr>
      <w:r>
        <w:t xml:space="preserve">Reality Checking</w:t>
      </w:r>
    </w:p>
    <w:p>
      <w:pPr>
        <w:pStyle w:val="Compact"/>
        <w:numPr>
          <w:ilvl w:val="0"/>
          <w:numId w:val="1060"/>
        </w:numPr>
      </w:pPr>
      <w:r>
        <w:t xml:space="preserve">Understanding where you really are relative to what</w:t>
      </w:r>
      <w:r>
        <w:t xml:space="preserve"> </w:t>
      </w:r>
      <w:r>
        <w:t xml:space="preserve">you really want.</w:t>
      </w:r>
    </w:p>
    <w:p>
      <w:pPr>
        <w:pStyle w:val="Compact"/>
        <w:numPr>
          <w:ilvl w:val="0"/>
          <w:numId w:val="1060"/>
        </w:numPr>
      </w:pPr>
      <w:r>
        <w:t xml:space="preserve">Key questions to ask:</w:t>
      </w:r>
    </w:p>
    <w:p>
      <w:pPr>
        <w:pStyle w:val="Compact"/>
        <w:numPr>
          <w:ilvl w:val="1"/>
          <w:numId w:val="1061"/>
        </w:numPr>
      </w:pPr>
      <w:r>
        <w:t xml:space="preserve">What is really going on?</w:t>
      </w:r>
    </w:p>
    <w:p>
      <w:pPr>
        <w:pStyle w:val="Compact"/>
        <w:numPr>
          <w:ilvl w:val="1"/>
          <w:numId w:val="1061"/>
        </w:numPr>
      </w:pPr>
      <w:r>
        <w:t xml:space="preserve">What have you done/tried?</w:t>
      </w:r>
    </w:p>
    <w:p>
      <w:pPr>
        <w:pStyle w:val="Compact"/>
        <w:numPr>
          <w:ilvl w:val="1"/>
          <w:numId w:val="1061"/>
        </w:numPr>
      </w:pPr>
      <w:r>
        <w:t xml:space="preserve">Have you noticed any patterns?</w:t>
      </w:r>
    </w:p>
    <w:p>
      <w:pPr>
        <w:pStyle w:val="Compact"/>
        <w:numPr>
          <w:ilvl w:val="1"/>
          <w:numId w:val="1061"/>
        </w:numPr>
      </w:pPr>
      <w:r>
        <w:t xml:space="preserve">How do you know this is accurate?</w:t>
      </w:r>
    </w:p>
    <w:p>
      <w:pPr>
        <w:pStyle w:val="Heading4"/>
      </w:pPr>
      <w:r>
        <w:t xml:space="preserve">Identifying Obstacles to Achieving Goals</w:t>
      </w:r>
    </w:p>
    <w:p>
      <w:pPr>
        <w:pStyle w:val="Compact"/>
        <w:numPr>
          <w:ilvl w:val="0"/>
          <w:numId w:val="1062"/>
        </w:numPr>
      </w:pPr>
      <w:r>
        <w:t xml:space="preserve">Critical to identify if there’s more than one obstacle.</w:t>
      </w:r>
    </w:p>
    <w:p>
      <w:pPr>
        <w:pStyle w:val="Compact"/>
        <w:numPr>
          <w:ilvl w:val="0"/>
          <w:numId w:val="1062"/>
        </w:numPr>
      </w:pPr>
      <w:r>
        <w:t xml:space="preserve">Key questions to ask:</w:t>
      </w:r>
    </w:p>
    <w:p>
      <w:pPr>
        <w:pStyle w:val="Compact"/>
        <w:numPr>
          <w:ilvl w:val="1"/>
          <w:numId w:val="1063"/>
        </w:numPr>
      </w:pPr>
      <w:r>
        <w:t xml:space="preserve">What is preventing you from achieving your goals?</w:t>
      </w:r>
    </w:p>
    <w:p>
      <w:pPr>
        <w:pStyle w:val="Compact"/>
        <w:numPr>
          <w:ilvl w:val="1"/>
          <w:numId w:val="1063"/>
        </w:numPr>
      </w:pPr>
      <w:r>
        <w:t xml:space="preserve">What else is preventing you?</w:t>
      </w:r>
    </w:p>
    <w:p>
      <w:pPr>
        <w:pStyle w:val="Compact"/>
        <w:numPr>
          <w:ilvl w:val="1"/>
          <w:numId w:val="1063"/>
        </w:numPr>
      </w:pPr>
      <w:r>
        <w:t xml:space="preserve">What do you have to change about yourself to achieve your goals?</w:t>
      </w:r>
    </w:p>
    <w:p>
      <w:pPr>
        <w:pStyle w:val="Compact"/>
        <w:numPr>
          <w:ilvl w:val="1"/>
          <w:numId w:val="1063"/>
        </w:numPr>
      </w:pPr>
      <w:r>
        <w:t xml:space="preserve">What is preventing you from changing?</w:t>
      </w:r>
    </w:p>
    <w:p>
      <w:pPr>
        <w:pStyle w:val="Heading4"/>
      </w:pPr>
      <w:r>
        <w:t xml:space="preserve">Common Obstacles to Learning Goals</w:t>
      </w:r>
    </w:p>
    <w:p>
      <w:pPr>
        <w:pStyle w:val="Compact"/>
        <w:numPr>
          <w:ilvl w:val="0"/>
          <w:numId w:val="1064"/>
        </w:numPr>
      </w:pPr>
      <w:r>
        <w:t xml:space="preserve">Assumption that</w:t>
      </w:r>
      <w:r>
        <w:t xml:space="preserve"> </w:t>
      </w:r>
      <w:r>
        <w:t xml:space="preserve">“I already know”</w:t>
      </w:r>
    </w:p>
    <w:p>
      <w:pPr>
        <w:pStyle w:val="Compact"/>
        <w:numPr>
          <w:ilvl w:val="0"/>
          <w:numId w:val="1064"/>
        </w:numPr>
      </w:pPr>
      <w:r>
        <w:t xml:space="preserve">Assumption that learning means remediation</w:t>
      </w:r>
    </w:p>
    <w:p>
      <w:pPr>
        <w:pStyle w:val="Compact"/>
        <w:numPr>
          <w:ilvl w:val="0"/>
          <w:numId w:val="1064"/>
        </w:numPr>
      </w:pPr>
      <w:r>
        <w:t xml:space="preserve">Fear of being judged</w:t>
      </w:r>
    </w:p>
    <w:p>
      <w:pPr>
        <w:pStyle w:val="Compact"/>
        <w:numPr>
          <w:ilvl w:val="0"/>
          <w:numId w:val="1064"/>
        </w:numPr>
      </w:pPr>
      <w:r>
        <w:t xml:space="preserve">Doubt</w:t>
      </w:r>
    </w:p>
    <w:p>
      <w:pPr>
        <w:pStyle w:val="Compact"/>
        <w:numPr>
          <w:ilvl w:val="0"/>
          <w:numId w:val="1064"/>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5"/>
        </w:numPr>
      </w:pPr>
      <w:r>
        <w:t xml:space="preserve">Key questions to ask:</w:t>
      </w:r>
    </w:p>
    <w:p>
      <w:pPr>
        <w:pStyle w:val="Compact"/>
        <w:numPr>
          <w:ilvl w:val="1"/>
          <w:numId w:val="1066"/>
        </w:numPr>
      </w:pPr>
      <w:r>
        <w:t xml:space="preserve">What alternatives do you have?</w:t>
      </w:r>
    </w:p>
    <w:p>
      <w:pPr>
        <w:pStyle w:val="Compact"/>
        <w:numPr>
          <w:ilvl w:val="1"/>
          <w:numId w:val="1066"/>
        </w:numPr>
      </w:pPr>
      <w:r>
        <w:t xml:space="preserve">Who can support you?</w:t>
      </w:r>
    </w:p>
    <w:p>
      <w:pPr>
        <w:pStyle w:val="Compact"/>
        <w:numPr>
          <w:ilvl w:val="1"/>
          <w:numId w:val="1066"/>
        </w:numPr>
      </w:pPr>
      <w:r>
        <w:t xml:space="preserve">What are the pros and cons of that option?</w:t>
      </w:r>
    </w:p>
    <w:p>
      <w:pPr>
        <w:pStyle w:val="Compact"/>
        <w:numPr>
          <w:ilvl w:val="1"/>
          <w:numId w:val="1066"/>
        </w:numPr>
      </w:pPr>
      <w:r>
        <w:t xml:space="preserve">What is the preferred option you want to act on?</w:t>
      </w:r>
    </w:p>
    <w:p>
      <w:pPr>
        <w:pStyle w:val="Heading4"/>
      </w:pPr>
      <w:r>
        <w:t xml:space="preserve">Reframing Questions</w:t>
      </w:r>
    </w:p>
    <w:p>
      <w:pPr>
        <w:pStyle w:val="Compact"/>
        <w:numPr>
          <w:ilvl w:val="0"/>
          <w:numId w:val="1067"/>
        </w:numPr>
      </w:pPr>
      <w:r>
        <w:t xml:space="preserve">What are you not seeing?</w:t>
      </w:r>
    </w:p>
    <w:p>
      <w:pPr>
        <w:pStyle w:val="Compact"/>
        <w:numPr>
          <w:ilvl w:val="0"/>
          <w:numId w:val="1067"/>
        </w:numPr>
      </w:pPr>
      <w:r>
        <w:t xml:space="preserve">What is a better position to take?</w:t>
      </w:r>
    </w:p>
    <w:p>
      <w:pPr>
        <w:pStyle w:val="Compact"/>
        <w:numPr>
          <w:ilvl w:val="0"/>
          <w:numId w:val="1067"/>
        </w:numPr>
      </w:pPr>
      <w:r>
        <w:t xml:space="preserve">Is this problem the root problem or a symptom of it?</w:t>
      </w:r>
    </w:p>
    <w:p>
      <w:pPr>
        <w:pStyle w:val="Compact"/>
        <w:numPr>
          <w:ilvl w:val="0"/>
          <w:numId w:val="1067"/>
        </w:numPr>
      </w:pPr>
      <w:r>
        <w:t xml:space="preserve">Why is this problem problematic?</w:t>
      </w:r>
    </w:p>
    <w:p>
      <w:pPr>
        <w:pStyle w:val="Heading2"/>
      </w:pPr>
      <w:r>
        <w:t xml:space="preserve">The Way Forward</w:t>
      </w:r>
    </w:p>
    <w:p>
      <w:pPr>
        <w:pStyle w:val="Compact"/>
        <w:numPr>
          <w:ilvl w:val="0"/>
          <w:numId w:val="1068"/>
        </w:numPr>
      </w:pPr>
      <w:r>
        <w:t xml:space="preserve">Key questions to ask:</w:t>
      </w:r>
    </w:p>
    <w:p>
      <w:pPr>
        <w:pStyle w:val="Compact"/>
        <w:numPr>
          <w:ilvl w:val="1"/>
          <w:numId w:val="1069"/>
        </w:numPr>
      </w:pPr>
      <w:r>
        <w:t xml:space="preserve">What commitments am I going to make?</w:t>
      </w:r>
    </w:p>
    <w:p>
      <w:pPr>
        <w:pStyle w:val="Compact"/>
        <w:numPr>
          <w:ilvl w:val="1"/>
          <w:numId w:val="1069"/>
        </w:numPr>
      </w:pPr>
      <w:r>
        <w:t xml:space="preserve">What are my next steps?</w:t>
      </w:r>
    </w:p>
    <w:p>
      <w:pPr>
        <w:pStyle w:val="Compact"/>
        <w:numPr>
          <w:ilvl w:val="1"/>
          <w:numId w:val="1069"/>
        </w:numPr>
      </w:pPr>
      <w:r>
        <w:t xml:space="preserve">In what timeframe?</w:t>
      </w:r>
    </w:p>
    <w:p>
      <w:pPr>
        <w:pStyle w:val="Compact"/>
        <w:numPr>
          <w:ilvl w:val="1"/>
          <w:numId w:val="1069"/>
        </w:numPr>
      </w:pPr>
      <w:r>
        <w:t xml:space="preserve">What do I think might get in the way?</w:t>
      </w:r>
    </w:p>
    <w:p>
      <w:pPr>
        <w:pStyle w:val="Compact"/>
        <w:numPr>
          <w:ilvl w:val="1"/>
          <w:numId w:val="1069"/>
        </w:numPr>
      </w:pPr>
      <w:r>
        <w:t xml:space="preserve">How will I track my progress?</w:t>
      </w:r>
    </w:p>
    <w:p>
      <w:pPr>
        <w:pStyle w:val="Compact"/>
        <w:numPr>
          <w:ilvl w:val="1"/>
          <w:numId w:val="1069"/>
        </w:numPr>
      </w:pPr>
      <w:r>
        <w:t xml:space="preserve">What support do I need? How will I get it?</w:t>
      </w:r>
    </w:p>
    <w:p>
      <w:pPr>
        <w:pStyle w:val="Heading4"/>
      </w:pPr>
      <w:r>
        <w:t xml:space="preserve">Creating Action Strategies</w:t>
      </w:r>
    </w:p>
    <w:p>
      <w:pPr>
        <w:pStyle w:val="Compact"/>
        <w:numPr>
          <w:ilvl w:val="0"/>
          <w:numId w:val="1070"/>
        </w:numPr>
      </w:pPr>
      <w:r>
        <w:t xml:space="preserve">Set SMART Goal(s) (the job to be done)</w:t>
      </w:r>
    </w:p>
    <w:p>
      <w:pPr>
        <w:pStyle w:val="Compact"/>
        <w:numPr>
          <w:ilvl w:val="0"/>
          <w:numId w:val="1070"/>
        </w:numPr>
      </w:pPr>
      <w:r>
        <w:t xml:space="preserve">Breakdown the Work (into a list of tasks)</w:t>
      </w:r>
    </w:p>
    <w:p>
      <w:pPr>
        <w:pStyle w:val="Compact"/>
        <w:numPr>
          <w:ilvl w:val="0"/>
          <w:numId w:val="1070"/>
        </w:numPr>
      </w:pPr>
      <w:r>
        <w:t xml:space="preserve">Define the Critical Path (the order of tasks)</w:t>
      </w:r>
    </w:p>
    <w:p>
      <w:pPr>
        <w:pStyle w:val="Compact"/>
        <w:numPr>
          <w:ilvl w:val="0"/>
          <w:numId w:val="1070"/>
        </w:numPr>
      </w:pPr>
      <w:r>
        <w:t xml:space="preserve">Schedule the Work (when you do what)</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1"/>
        </w:numPr>
      </w:pPr>
      <w:r>
        <w:t xml:space="preserve">What is Educational Experience?</w:t>
      </w:r>
    </w:p>
    <w:p>
      <w:pPr>
        <w:pStyle w:val="Compact"/>
        <w:numPr>
          <w:ilvl w:val="0"/>
          <w:numId w:val="1071"/>
        </w:numPr>
      </w:pPr>
      <w:r>
        <w:t xml:space="preserve">What Makes a Learning Experience Educational?</w:t>
      </w:r>
    </w:p>
    <w:p>
      <w:pPr>
        <w:pStyle w:val="Compact"/>
        <w:numPr>
          <w:ilvl w:val="0"/>
          <w:numId w:val="1071"/>
        </w:numPr>
      </w:pPr>
      <w:r>
        <w:t xml:space="preserve">Study as the Site of Education</w:t>
      </w:r>
    </w:p>
    <w:p>
      <w:pPr>
        <w:pStyle w:val="Compact"/>
        <w:numPr>
          <w:ilvl w:val="0"/>
          <w:numId w:val="1071"/>
        </w:numPr>
      </w:pPr>
      <w:r>
        <w:t xml:space="preserve">The Institutionalization of Teaching and Learning</w:t>
      </w:r>
    </w:p>
    <w:p>
      <w:pPr>
        <w:pStyle w:val="Compact"/>
        <w:numPr>
          <w:ilvl w:val="0"/>
          <w:numId w:val="1071"/>
        </w:numPr>
      </w:pPr>
      <w:r>
        <w:t xml:space="preserve">Emerging Models of Open and Multi-Access Education</w:t>
      </w:r>
    </w:p>
    <w:p>
      <w:pPr>
        <w:pStyle w:val="Compact"/>
        <w:numPr>
          <w:ilvl w:val="0"/>
          <w:numId w:val="1071"/>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“education is a development within, by, and for experience”</w:t>
      </w:r>
      <w:r>
        <w:t xml:space="preserve"> </w:t>
      </w:r>
      <w:r>
        <w:t xml:space="preserve">(Chap. 1). Experiential knowledge is frequently assumed to be procedural rather than propositional. In keeping with this line of thinking, Dewey (1915) states,</w:t>
      </w:r>
      <w:r>
        <w:t xml:space="preserve"> </w:t>
      </w:r>
      <w:r>
        <w:t xml:space="preserve">“no book or map is a substitute for personal experience; they cannot take the place of the actual journey”</w:t>
      </w:r>
      <w:r>
        <w:t xml:space="preserve"> </w:t>
      </w:r>
      <w:r>
        <w:t xml:space="preserve">(p. 255). Dewey’s statement echoes the oft-quoted Chinese proverb by Xun Zi:</w:t>
      </w:r>
    </w:p>
    <w:p>
      <w:pPr>
        <w:pStyle w:val="BlockText"/>
      </w:pPr>
      <w:r>
        <w:t xml:space="preserve">“Tell me and I will forget. Show me and I may remember. Involve me and I will understand.”</w:t>
      </w:r>
    </w:p>
    <w:p>
      <w:pPr>
        <w:pStyle w:val="FirstParagraph"/>
      </w:pPr>
      <w:r>
        <w:t xml:space="preserve">However, this is a limited understanding of experience as Dewey (1915) goes on to clarify,</w:t>
      </w:r>
    </w:p>
    <w:p>
      <w:pPr>
        <w:pStyle w:val="BlockText"/>
      </w:pPr>
      <w:r>
        <w:t xml:space="preserve">“learning by doing does not, of course, mean the substitution of manual occupations or handwork for text-book studying”</w:t>
      </w:r>
      <w:r>
        <w:t xml:space="preserve"> </w:t>
      </w:r>
      <w:r>
        <w:t xml:space="preserve">(p. 255).</w:t>
      </w:r>
    </w:p>
    <w:p>
      <w:pPr>
        <w:pStyle w:val="FirstParagraph"/>
      </w:pPr>
      <w:r>
        <w:t xml:space="preserve">His point, here, is that the studying of texts is also an</w:t>
      </w:r>
      <w:r>
        <w:t xml:space="preserve"> </w:t>
      </w:r>
      <w:r>
        <w:t xml:space="preserve">“experiential learning”</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“means that every experience both takes up something from those which have gone before and modifies in some way the quality of those which come after”</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“grow”</w:t>
      </w:r>
      <w:r>
        <w:t xml:space="preserve"> </w:t>
      </w:r>
      <w:r>
        <w:t xml:space="preserve">to become experts (in something). Indeed,</w:t>
      </w:r>
      <w:r>
        <w:t xml:space="preserve"> </w:t>
      </w:r>
      <w:r>
        <w:t xml:space="preserve">“expert”</w:t>
      </w:r>
      <w:r>
        <w:t xml:space="preserve"> </w:t>
      </w:r>
      <w:r>
        <w:t xml:space="preserve">and</w:t>
      </w:r>
      <w:r>
        <w:t xml:space="preserve"> </w:t>
      </w:r>
      <w:r>
        <w:t xml:space="preserve">“experience”</w:t>
      </w:r>
      <w:r>
        <w:t xml:space="preserve"> </w:t>
      </w:r>
      <w:r>
        <w:t xml:space="preserve">are both derived from the same Latin verb (meaning</w:t>
      </w:r>
      <w:r>
        <w:t xml:space="preserve"> </w:t>
      </w:r>
      <w:r>
        <w:t xml:space="preserve">“to test, or to prove”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“changes in some degree the [world of persons and things within] … which experiences are had”</w:t>
      </w:r>
      <w:r>
        <w:t xml:space="preserve"> </w:t>
      </w:r>
      <w:r>
        <w:t xml:space="preserve">(Dewey, 1938, p. 39). That is, as Dewey (1916/2004) writes elsewhere,</w:t>
      </w:r>
      <w:r>
        <w:t xml:space="preserve"> </w:t>
      </w:r>
      <w:r>
        <w:t xml:space="preserve">“when we experience something we act upon it, we do something with it; then we suffer or undergo the consequences”</w:t>
      </w:r>
      <w:r>
        <w:t xml:space="preserve"> </w:t>
      </w:r>
      <w:r>
        <w:t xml:space="preserve">(p. 133). Dewey suggests that one acts within a world and one’s world acts upon them. The principle at play here is the interaction of experience.</w:t>
      </w:r>
    </w:p>
    <w:p>
      <w:pPr>
        <w:pStyle w:val="BlockText"/>
      </w:pPr>
      <w:r>
        <w:t xml:space="preserve">“An experience is always what it is because of a transaction taking place between an individual and what, at the time, constitutes his environment.”</w:t>
      </w:r>
      <w:r>
        <w:t xml:space="preserve"> </w:t>
      </w:r>
      <w:r>
        <w:t xml:space="preserve">– (Dewey, 1938, p. 43)</w:t>
      </w:r>
    </w:p>
    <w:p>
      <w:pPr>
        <w:pStyle w:val="FirstParagraph"/>
      </w:pPr>
      <w:r>
        <w:t xml:space="preserve">Here, environment refers to</w:t>
      </w:r>
      <w:r>
        <w:t xml:space="preserve"> </w:t>
      </w:r>
      <w:r>
        <w:t xml:space="preserve">“whatever [external] conditions interact with personal needs, desires, purposes, and capabilities to create the experience which is had”</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“intersect and unite,”</w:t>
      </w:r>
      <w:r>
        <w:t xml:space="preserve"> </w:t>
      </w:r>
      <w:r>
        <w:t xml:space="preserve">as a learning process wherein</w:t>
      </w:r>
      <w:r>
        <w:t xml:space="preserve"> </w:t>
      </w:r>
      <w:r>
        <w:t xml:space="preserve">“as an individual passes from one situation to another, his world, his environment, expands or contracts”</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“We simply do something, and when it fails, we do something else, and keep on trying till we hit upon something which works, and then we adopt that method as a rule of thumb measure in subsequent procedure”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2"/>
        </w:numPr>
      </w:pPr>
      <w:r>
        <w:t xml:space="preserve">the need to intentionally link new learning experiences with past ones in a logical and progressive way</w:t>
      </w:r>
      <w:r>
        <w:br/>
      </w:r>
    </w:p>
    <w:p>
      <w:pPr>
        <w:pStyle w:val="Compact"/>
        <w:numPr>
          <w:ilvl w:val="0"/>
          <w:numId w:val="1072"/>
        </w:numPr>
      </w:pPr>
      <w:r>
        <w:t xml:space="preserve">the need to identify what the learner already knows</w:t>
      </w:r>
      <w:r>
        <w:br/>
      </w:r>
    </w:p>
    <w:p>
      <w:pPr>
        <w:pStyle w:val="Compact"/>
        <w:numPr>
          <w:ilvl w:val="0"/>
          <w:numId w:val="1072"/>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3"/>
        </w:numPr>
      </w:pPr>
      <w:hyperlink r:id="rId88">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4"/>
        </w:numPr>
      </w:pPr>
      <w:r>
        <w:rPr>
          <w:b/>
          <w:bCs/>
          <w:i/>
          <w:iCs/>
        </w:rPr>
        <w:t xml:space="preserve">What is a learning experience?</w:t>
      </w:r>
      <w:r>
        <w:br/>
      </w:r>
    </w:p>
    <w:p>
      <w:pPr>
        <w:pStyle w:val="Compact"/>
        <w:numPr>
          <w:ilvl w:val="0"/>
          <w:numId w:val="1074"/>
        </w:numPr>
      </w:pPr>
      <w:r>
        <w:rPr>
          <w:b/>
          <w:bCs/>
          <w:i/>
          <w:iCs/>
        </w:rPr>
        <w:t xml:space="preserve">What two principles does Dewey identify that shape our learning experiences?</w:t>
      </w:r>
      <w:r>
        <w:br/>
      </w:r>
    </w:p>
    <w:p>
      <w:pPr>
        <w:pStyle w:val="Compact"/>
        <w:numPr>
          <w:ilvl w:val="0"/>
          <w:numId w:val="1074"/>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“don’t let school interfere with your education.”</w:t>
      </w:r>
      <w:r>
        <w:t xml:space="preserve"> </w:t>
      </w:r>
      <w:r>
        <w:t xml:space="preserve">Twain, who was not educated beyond elementary school, was cynical towards the school system, believing that</w:t>
      </w:r>
      <w:r>
        <w:t xml:space="preserve"> </w:t>
      </w:r>
      <w:r>
        <w:t xml:space="preserve">“education”</w:t>
      </w:r>
      <w:r>
        <w:t xml:space="preserve"> </w:t>
      </w:r>
      <w:r>
        <w:t xml:space="preserve">is different from</w:t>
      </w:r>
      <w:r>
        <w:t xml:space="preserve"> </w:t>
      </w:r>
      <w:r>
        <w:t xml:space="preserve">“schooling.”</w:t>
      </w:r>
      <w:r>
        <w:t xml:space="preserve"> </w:t>
      </w:r>
      <w:r>
        <w:t xml:space="preserve">Indeed, he suggested,</w:t>
      </w:r>
      <w:r>
        <w:t xml:space="preserve"> </w:t>
      </w:r>
      <w:r>
        <w:t xml:space="preserve">“Education consists mainly of what we have unlearned.”</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“education”</w:t>
      </w:r>
      <w:r>
        <w:t xml:space="preserve"> </w:t>
      </w:r>
      <w:r>
        <w:t xml:space="preserve">has</w:t>
      </w:r>
      <w:r>
        <w:t xml:space="preserve"> </w:t>
      </w:r>
      <w:r>
        <w:t xml:space="preserve">“normative implications.”</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‘education’</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“What are the worthwhile things which are to be transmitted?”</w:t>
      </w:r>
      <w:r>
        <w:t xml:space="preserve"> </w:t>
      </w:r>
      <w:r>
        <w:t xml:space="preserve">and</w:t>
      </w:r>
      <w:r>
        <w:t xml:space="preserve"> </w:t>
      </w:r>
      <w:r>
        <w:t xml:space="preserve">“How do we tell whether a manner of transmission is morally accepted or not?”</w:t>
      </w:r>
      <w:r>
        <w:t xml:space="preserve"> </w:t>
      </w:r>
      <w:r>
        <w:t xml:space="preserve">(p. 30).</w:t>
      </w:r>
    </w:p>
    <w:p>
      <w:pPr>
        <w:pStyle w:val="BodyText"/>
      </w:pPr>
      <w:r>
        <w:t xml:space="preserve">The</w:t>
      </w:r>
      <w:r>
        <w:t xml:space="preserve"> </w:t>
      </w:r>
      <w:r>
        <w:t xml:space="preserve">“what”</w:t>
      </w:r>
      <w:r>
        <w:t xml:space="preserve"> </w:t>
      </w:r>
      <w:r>
        <w:t xml:space="preserve">and</w:t>
      </w:r>
      <w:r>
        <w:t xml:space="preserve"> </w:t>
      </w:r>
      <w:r>
        <w:t xml:space="preserve">“how”</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“to educate”</w:t>
      </w:r>
      <w:r>
        <w:t xml:space="preserve"> </w:t>
      </w:r>
      <w:r>
        <w:t xml:space="preserve">in our everyday speech. When we say we must educate someone about something, such as,</w:t>
      </w:r>
      <w:r>
        <w:t xml:space="preserve"> </w:t>
      </w:r>
      <w:r>
        <w:t xml:space="preserve">“We must educate the public”</w:t>
      </w:r>
      <w:r>
        <w:t xml:space="preserve"> </w:t>
      </w:r>
      <w:r>
        <w:t xml:space="preserve">about such-and-such,</w:t>
      </w:r>
      <w:r>
        <w:t xml:space="preserve"> </w:t>
      </w:r>
      <w:r>
        <w:t xml:space="preserve">“the clear implication of this familiar way of speaking is that certain information is to be imparted, this information is to be understood and, in virtue of the understanding, what people do, or do not do, is to change”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“education,”</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“drawing”</w:t>
      </w:r>
      <w:r>
        <w:t xml:space="preserve"> </w:t>
      </w:r>
      <w:r>
        <w:t xml:space="preserve">out, or</w:t>
      </w:r>
      <w:r>
        <w:t xml:space="preserve"> </w:t>
      </w:r>
      <w:r>
        <w:t xml:space="preserve">“leading”</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“leading out.”</w:t>
      </w:r>
      <w:r>
        <w:t xml:space="preserve"> </w:t>
      </w:r>
      <w:r>
        <w:t xml:space="preserve">Plato described how Socrates engaged in dialogue with Meno’s slave, where he demonstrated to Meno that his slave is capable of learning a geometrical truth, because</w:t>
      </w:r>
      <w:r>
        <w:t xml:space="preserve"> </w:t>
      </w:r>
      <w:r>
        <w:t xml:space="preserve">“his soul … always possessed this knowledge.”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“drawing forth”</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“subjective”</w:t>
      </w:r>
      <w:r>
        <w:t xml:space="preserve"> </w:t>
      </w:r>
      <w:r>
        <w:t xml:space="preserve">form of knowledge, as we might now interpret this idea. Rather, it was an</w:t>
      </w:r>
      <w:r>
        <w:t xml:space="preserve"> </w:t>
      </w:r>
      <w:r>
        <w:t xml:space="preserve">“objective and universal”</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“Concerning universals of which we can have knowledge, we do not listen to anyone speaking and making sounds outside ourselves.”</w:t>
      </w:r>
      <w:r>
        <w:t xml:space="preserve"> </w:t>
      </w:r>
      <w:r>
        <w:t xml:space="preserve">However, as a Christian he reframes this old idea slightly, suggesting that</w:t>
      </w:r>
      <w:r>
        <w:t xml:space="preserve"> </w:t>
      </w:r>
      <w:r>
        <w:t xml:space="preserve">“We listen to Truth which presides over our minds within us.”</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“drawing forth”</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“organic”</w:t>
      </w:r>
      <w:r>
        <w:t xml:space="preserve"> </w:t>
      </w:r>
      <w:r>
        <w:t xml:space="preserve">paradigm of intellectual coherence shifted into a modern</w:t>
      </w:r>
      <w:r>
        <w:t xml:space="preserve"> </w:t>
      </w:r>
      <w:r>
        <w:t xml:space="preserve">“mechanical”</w:t>
      </w:r>
      <w:r>
        <w:t xml:space="preserve"> </w:t>
      </w:r>
      <w:r>
        <w:t xml:space="preserve">one. This new paradigm of learning introduced a now commonplace</w:t>
      </w:r>
      <w:r>
        <w:t xml:space="preserve"> </w:t>
      </w:r>
      <w:r>
        <w:t xml:space="preserve">“constructivist”</w:t>
      </w:r>
      <w:r>
        <w:t xml:space="preserve"> </w:t>
      </w:r>
      <w:r>
        <w:t xml:space="preserve">model of knowledge, which is at once, still modern and is presently shifting into something that is</w:t>
      </w:r>
      <w:r>
        <w:t xml:space="preserve"> </w:t>
      </w:r>
      <w:r>
        <w:t xml:space="preserve">“beyond”</w:t>
      </w:r>
      <w:r>
        <w:t xml:space="preserve"> </w:t>
      </w:r>
      <w:r>
        <w:t xml:space="preserve">that definition.</w:t>
      </w:r>
    </w:p>
    <w:p>
      <w:pPr>
        <w:pStyle w:val="BodyText"/>
      </w:pPr>
      <w:r>
        <w:t xml:space="preserve">Regarding the modern condition, Doll (1993) writes,</w:t>
      </w:r>
      <w:r>
        <w:t xml:space="preserve"> </w:t>
      </w:r>
      <w:r>
        <w:t xml:space="preserve">“the metaphor of mind shifted from being an abstract quality of the soul to being a</w:t>
      </w:r>
      <w:r>
        <w:t xml:space="preserve"> </w:t>
      </w:r>
      <w:r>
        <w:t xml:space="preserve">‘thing’</w:t>
      </w:r>
      <w:r>
        <w:t xml:space="preserve"> </w:t>
      </w:r>
      <w:r>
        <w:t xml:space="preserve">in the body”</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“object”</w:t>
      </w:r>
      <w:r>
        <w:t xml:space="preserve"> </w:t>
      </w:r>
      <w:r>
        <w:t xml:space="preserve">knowledge that exists independent of the subject’s mind (objectivism) towards</w:t>
      </w:r>
      <w:r>
        <w:t xml:space="preserve"> </w:t>
      </w:r>
      <w:r>
        <w:t xml:space="preserve">“object”</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“Positivism”</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“uniformity”</w:t>
      </w:r>
      <w:r>
        <w:t xml:space="preserve"> </w:t>
      </w:r>
      <w:r>
        <w:t xml:space="preserve">and</w:t>
      </w:r>
      <w:r>
        <w:t xml:space="preserve"> </w:t>
      </w:r>
      <w:r>
        <w:t xml:space="preserve">“simple symmetry; and buried within that symmetry … a set of necessary, linear, causative relations accessible to exact mathematical description”</w:t>
      </w:r>
      <w:r>
        <w:t xml:space="preserve"> </w:t>
      </w:r>
      <w:r>
        <w:t xml:space="preserve">(Doll, 1993, p. 34). Under Newton’s purview, the world, and its</w:t>
      </w:r>
      <w:r>
        <w:t xml:space="preserve"> </w:t>
      </w:r>
      <w:r>
        <w:t xml:space="preserve">“events, activities, experiences,”</w:t>
      </w:r>
      <w:r>
        <w:t xml:space="preserve"> </w:t>
      </w:r>
      <w:r>
        <w:t xml:space="preserve">became</w:t>
      </w:r>
      <w:r>
        <w:t xml:space="preserve"> </w:t>
      </w:r>
      <w:r>
        <w:t xml:space="preserve">“quantified”</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“the uniform reply is—Science”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“of such transcendent value”</w:t>
      </w:r>
      <w:r>
        <w:t xml:space="preserve"> </w:t>
      </w:r>
      <w:r>
        <w:t xml:space="preserve">actually</w:t>
      </w:r>
      <w:r>
        <w:t xml:space="preserve"> </w:t>
      </w:r>
      <w:r>
        <w:t xml:space="preserve">“received the least attention”</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“machines”</w:t>
      </w:r>
      <w:r>
        <w:t xml:space="preserve"> </w:t>
      </w:r>
      <w:r>
        <w:t xml:space="preserve">who could be</w:t>
      </w:r>
      <w:r>
        <w:t xml:space="preserve"> </w:t>
      </w:r>
      <w:r>
        <w:t xml:space="preserve">“programmed”</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“postmodern as incredulity toward metanarratives”</w:t>
      </w:r>
      <w:r>
        <w:t xml:space="preserve"> </w:t>
      </w:r>
      <w:r>
        <w:t xml:space="preserve">(1984, p. xxiv). This is not to say that narratives are not an important knowledge form, but rather that</w:t>
      </w:r>
      <w:r>
        <w:t xml:space="preserve"> </w:t>
      </w:r>
      <w:r>
        <w:t xml:space="preserve">“helpful”</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“postmodern condition is characterised by the co-existence of a multiplicity of heterogeneous discourses—a state of affairs assessed differently by different parties”</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“instead of trying to analyse complex phenomena in terms of single or essential principles,”</w:t>
      </w:r>
      <w:r>
        <w:t xml:space="preserve"> </w:t>
      </w:r>
      <w:r>
        <w:t xml:space="preserve">postmodern approaches to thinking</w:t>
      </w:r>
      <w:r>
        <w:t xml:space="preserve"> </w:t>
      </w:r>
      <w:r>
        <w:t xml:space="preserve">“acknowledge that it is not possible to tell a single and exclusive story about something that is really complex”</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“to deliver a universal identity, sense of direction and historically assured destination”</w:t>
      </w:r>
      <w:r>
        <w:t xml:space="preserve"> </w:t>
      </w:r>
      <w:r>
        <w:t xml:space="preserve">(Fry, 1999, p. 64). Likewise, as a</w:t>
      </w:r>
      <w:r>
        <w:t xml:space="preserve"> </w:t>
      </w:r>
      <w:r>
        <w:t xml:space="preserve">“critical reappraisal of modern modes of thought”</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5"/>
              </w:numPr>
            </w:pPr>
            <w:r>
              <w:rPr>
                <w:b/>
                <w:bCs/>
                <w:i/>
                <w:iCs/>
              </w:rPr>
              <w:t xml:space="preserve">What makes a learning experience educational?</w:t>
            </w:r>
            <w:r>
              <w:br/>
            </w:r>
          </w:p>
          <w:p>
            <w:pPr>
              <w:pStyle w:val="Compact"/>
              <w:numPr>
                <w:ilvl w:val="0"/>
                <w:numId w:val="1075"/>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5"/>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“whether we like it or not, many … educators considered education to consist of neither teaching nor learning; instead, they found the diverse forms of study to be the driving force in education”</w:t>
      </w:r>
      <w:r>
        <w:t xml:space="preserve"> </w:t>
      </w:r>
      <w:r>
        <w:t xml:space="preserve">(p. 167). While instruction in all of its various forms may play a role, the learner is always the one who does the work of learning. Citing Montaigne’s (1877) essay</w:t>
      </w:r>
      <w:r>
        <w:t xml:space="preserve"> </w:t>
      </w:r>
      <w:r>
        <w:t xml:space="preserve">“Of the Education of Children”</w:t>
      </w:r>
      <w:r>
        <w:t xml:space="preserve"> </w:t>
      </w:r>
      <w:r>
        <w:t xml:space="preserve">McClintock (1971/2000) notes,</w:t>
      </w:r>
      <w:r>
        <w:t xml:space="preserve"> </w:t>
      </w:r>
      <w:r>
        <w:t xml:space="preserve">“teaching and learning might impart knowledge, whereas study led to understanding, whereby things known were made one’s own and became a part of one’s judgment, and</w:t>
      </w:r>
      <w:r>
        <w:t xml:space="preserve"> </w:t>
      </w:r>
      <w:r>
        <w:t xml:space="preserve">‘education, labor, and study aim only at forming that’</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“Study is the assiduous and vehement occupation of the mind applied to anything with great eagerness (voluntate), as the study of philosophy, geometry, letters.”</w:t>
      </w:r>
      <w:r>
        <w:t xml:space="preserve">* (as translated in O’Malley, 1881, p. 269)] (1.36).</w:t>
      </w:r>
    </w:p>
    <w:p>
      <w:pPr>
        <w:pStyle w:val="FirstParagraph"/>
      </w:pPr>
      <w:r>
        <w:t xml:space="preserve">Cicero’s notion of study turns on the idea that it is an</w:t>
      </w:r>
      <w:r>
        <w:t xml:space="preserve"> </w:t>
      </w:r>
      <w:r>
        <w:t xml:space="preserve">“occupation”</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“For my part, I know no other art of learning than hard work, devotion, and perseverance”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 </w:t>
      </w:r>
      <w:r>
        <w:t xml:space="preserve">(para. 13).</w:t>
      </w:r>
    </w:p>
    <w:p>
      <w:pPr>
        <w:pStyle w:val="FirstParagraph"/>
      </w:pPr>
      <w:r>
        <w:t xml:space="preserve">While the highest goal of study—such as, Plato’s pursuit of the</w:t>
      </w:r>
      <w:r>
        <w:t xml:space="preserve"> </w:t>
      </w:r>
      <w:r>
        <w:t xml:space="preserve">“Good,”</w:t>
      </w:r>
      <w:r>
        <w:t xml:space="preserve"> </w:t>
      </w:r>
      <w:r>
        <w:t xml:space="preserve">or Aristotle’s human</w:t>
      </w:r>
      <w:r>
        <w:t xml:space="preserve"> </w:t>
      </w:r>
      <w:r>
        <w:t xml:space="preserve">“flourishing”</w:t>
      </w:r>
      <w:r>
        <w:t xml:space="preserve">—may be the same, or similar,</w:t>
      </w:r>
      <w:r>
        <w:t xml:space="preserve"> </w:t>
      </w:r>
      <w:r>
        <w:t xml:space="preserve">“the path, the course of study, that leads to the goal will differ for each: thus the study appropriate for the quite cleric will not suit the proud prince, the worldly merchant, or the study artisan”</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“study itself is neither a single path nor the final goal; it is the motivating power by which men (sic) form and impose their character upon their role in life”</w:t>
      </w:r>
      <w:r>
        <w:t xml:space="preserve"> </w:t>
      </w:r>
      <w:r>
        <w:t xml:space="preserve">(para. 14). That is, study is an act of transformation and growth. Pinar (2006) helpfully adds that McClintock’s the use of</w:t>
      </w:r>
      <w:r>
        <w:t xml:space="preserve"> </w:t>
      </w:r>
      <w:r>
        <w:t xml:space="preserve">“the verb</w:t>
      </w:r>
      <w:r>
        <w:t xml:space="preserve"> </w:t>
      </w:r>
      <w:r>
        <w:t xml:space="preserve">‘impose’</w:t>
      </w:r>
      <w:r>
        <w:t xml:space="preserve"> </w:t>
      </w:r>
      <w:r>
        <w:t xml:space="preserve">is too voluntarist and essentialist”</w:t>
      </w:r>
      <w:r>
        <w:t xml:space="preserve"> </w:t>
      </w:r>
      <w:r>
        <w:t xml:space="preserve">because transformational learning or</w:t>
      </w:r>
      <w:r>
        <w:t xml:space="preserve"> </w:t>
      </w:r>
      <w:r>
        <w:t xml:space="preserve">“reinvention of ourselves is limited, and occurs, yes, through acts of</w:t>
      </w:r>
      <w:r>
        <w:t xml:space="preserve"> </w:t>
      </w:r>
      <w:r>
        <w:t xml:space="preserve">‘will,’</w:t>
      </w:r>
      <w:r>
        <w:t xml:space="preserve"> </w:t>
      </w:r>
      <w:r>
        <w:t xml:space="preserve">but, as well, through waiting, withdrawing, dissimulation”</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“provides that knowledge from which we exercise judgment, as we reflect not only on the possible consequences of that step we’re about to take next, but the effects of steps that we have taken before”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“saturated by meaning, with culture and history as these are personified in specific people with whom we live as neighbors, fellow citizens, and humanity”</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“education was not a segregated activity,”</w:t>
      </w:r>
      <w:r>
        <w:t xml:space="preserve"> </w:t>
      </w:r>
      <w:r>
        <w:t xml:space="preserve">but rather as was the situation in Greece,</w:t>
      </w:r>
      <w:r>
        <w:t xml:space="preserve"> </w:t>
      </w:r>
      <w:r>
        <w:t xml:space="preserve">“the Athenian was educated by culture, by paideia”</w:t>
      </w:r>
      <w:r>
        <w:t xml:space="preserve"> </w:t>
      </w:r>
      <w:r>
        <w:t xml:space="preserve">(p. 33). The critical insight to emerge, here, is that</w:t>
      </w:r>
      <w:r>
        <w:t xml:space="preserve"> </w:t>
      </w:r>
      <w:r>
        <w:t xml:space="preserve">“study is the site of education”</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6"/>
        </w:numPr>
      </w:pPr>
      <w:r>
        <w:rPr>
          <w:b/>
          <w:bCs/>
          <w:i/>
          <w:iCs/>
        </w:rPr>
        <w:t xml:space="preserve">How would you describe your own experiences of transformational learning?</w:t>
      </w:r>
    </w:p>
    <w:p>
      <w:pPr>
        <w:pStyle w:val="Compact"/>
        <w:numPr>
          <w:ilvl w:val="0"/>
          <w:numId w:val="1076"/>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“Towards a place for study in a world of instruction”</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“learning.”</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“what is most fundamental to our lives as men and women sharing a moment on this planet is the process of reproducing ourselves”</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“the youth [were] trained to practice the arts which their parents [knew], to continue their friendships and alliances, and to cherish their resentments”</w:t>
      </w:r>
      <w:r>
        <w:t xml:space="preserve"> </w:t>
      </w:r>
      <w:r>
        <w:t xml:space="preserve">(Williams, p. 19). Studies of juveniles in hunting and gathering societies, as well as in lower primates social groups, suggest there was</w:t>
      </w:r>
      <w:r>
        <w:t xml:space="preserve"> </w:t>
      </w:r>
      <w:r>
        <w:t xml:space="preserve">“little teaching (that is, direct and deliberate tuition) of the younger members by mature individuals”</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“play”</w:t>
      </w:r>
      <w:r>
        <w:t xml:space="preserve"> </w:t>
      </w:r>
      <w:r>
        <w:t xml:space="preserve">with</w:t>
      </w:r>
      <w:r>
        <w:t xml:space="preserve"> </w:t>
      </w:r>
      <w:r>
        <w:t xml:space="preserve">“peers and slightly older playmates”</w:t>
      </w:r>
      <w:r>
        <w:t xml:space="preserve"> </w:t>
      </w:r>
      <w:r>
        <w:t xml:space="preserve">involving</w:t>
      </w:r>
      <w:r>
        <w:t xml:space="preserve"> </w:t>
      </w:r>
      <w:r>
        <w:t xml:space="preserve">“imitative activities”</w:t>
      </w:r>
      <w:r>
        <w:t xml:space="preserve"> </w:t>
      </w:r>
      <w:r>
        <w:t xml:space="preserve">of</w:t>
      </w:r>
      <w:r>
        <w:t xml:space="preserve"> </w:t>
      </w:r>
      <w:r>
        <w:t xml:space="preserve">“competent behavior”</w:t>
      </w:r>
      <w:r>
        <w:t xml:space="preserve"> </w:t>
      </w:r>
      <w:r>
        <w:t xml:space="preserve">being observed within the context of the local</w:t>
      </w:r>
      <w:r>
        <w:t xml:space="preserve"> </w:t>
      </w:r>
      <w:r>
        <w:t xml:space="preserve">“social and physical environment”</w:t>
      </w:r>
      <w:r>
        <w:t xml:space="preserve"> </w:t>
      </w:r>
      <w:r>
        <w:t xml:space="preserve">during a</w:t>
      </w:r>
      <w:r>
        <w:t xml:space="preserve"> </w:t>
      </w:r>
      <w:r>
        <w:t xml:space="preserve">“period of freedom from responsibility and of the need for self-support”</w:t>
      </w:r>
      <w:r>
        <w:t xml:space="preserve"> </w:t>
      </w:r>
      <w:r>
        <w:t xml:space="preserve">that was</w:t>
      </w:r>
      <w:r>
        <w:t xml:space="preserve"> </w:t>
      </w:r>
      <w:r>
        <w:t xml:space="preserve">“unusually long”</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“good.”</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“I call anything that harms or destroys a thing evil, and anything that preserves and benefits it good”</w:t>
      </w:r>
      <w:r>
        <w:t xml:space="preserve"> </w:t>
      </w:r>
      <w:r>
        <w:t xml:space="preserve">(Plato, 2003, p. 355). His definition appears to be straightforward and clear, but it raises questions about what precisely does he have in mind by</w:t>
      </w:r>
      <w:r>
        <w:t xml:space="preserve"> </w:t>
      </w:r>
      <w:r>
        <w:t xml:space="preserve">“anything that preserves and benefits”</w:t>
      </w:r>
      <w:r>
        <w:t xml:space="preserve"> </w:t>
      </w:r>
      <w:r>
        <w:t xml:space="preserve">a thing? In social terms, his</w:t>
      </w:r>
      <w:r>
        <w:t xml:space="preserve"> </w:t>
      </w:r>
      <w:r>
        <w:t xml:space="preserve">“Good”</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“Good,”</w:t>
      </w:r>
      <w:r>
        <w:t xml:space="preserve"> </w:t>
      </w:r>
      <w:r>
        <w:t xml:space="preserve">which is distinct from knowledge, and yet it is through knowledge that one can come closest to the</w:t>
      </w:r>
      <w:r>
        <w:t xml:space="preserve"> </w:t>
      </w:r>
      <w:r>
        <w:t xml:space="preserve">“Good.”</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“course”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“was</w:t>
      </w:r>
      <w:r>
        <w:t xml:space="preserve"> </w:t>
      </w:r>
      <w:r>
        <w:t xml:space="preserve">‘a running,’</w:t>
      </w:r>
      <w:r>
        <w:t xml:space="preserve"> </w:t>
      </w:r>
      <w:r>
        <w:t xml:space="preserve">‘a race,’</w:t>
      </w:r>
      <w:r>
        <w:t xml:space="preserve"> </w:t>
      </w:r>
      <w:r>
        <w:t xml:space="preserve">‘a course,’</w:t>
      </w:r>
      <w:r>
        <w:t xml:space="preserve"> </w:t>
      </w:r>
      <w:r>
        <w:t xml:space="preserve">with secondary meanings of a</w:t>
      </w:r>
      <w:r>
        <w:t xml:space="preserve"> </w:t>
      </w:r>
      <w:r>
        <w:t xml:space="preserve">‘race-course,’</w:t>
      </w:r>
      <w:r>
        <w:t xml:space="preserve"> </w:t>
      </w:r>
      <w:r>
        <w:t xml:space="preserve">‘a career.’</w:t>
      </w:r>
      <w:r>
        <w:t xml:space="preserve">”</w:t>
      </w:r>
      <w:r>
        <w:t xml:space="preserve"> </w:t>
      </w:r>
      <w:r>
        <w:t xml:space="preserve">(p. 66). What is curriculum? Put simply, it is</w:t>
      </w:r>
      <w:r>
        <w:t xml:space="preserve"> </w:t>
      </w:r>
      <w:r>
        <w:t xml:space="preserve">“what is to be taught and how”</w:t>
      </w:r>
      <w:r>
        <w:t xml:space="preserve"> </w:t>
      </w:r>
      <w:r>
        <w:t xml:space="preserve">(Alexander, 2001, p. 549). Framed broadly,</w:t>
      </w:r>
      <w:r>
        <w:t xml:space="preserve"> </w:t>
      </w:r>
      <w:r>
        <w:t xml:space="preserve">“curriculum communicates what we choose to remember about our past, what we believe about the present, what we hope for the future”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9">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changes have you seen in Online Learning?</w:t>
      </w:r>
      <w:r>
        <w:br/>
      </w:r>
    </w:p>
    <w:p>
      <w:pPr>
        <w:pStyle w:val="Compact"/>
        <w:numPr>
          <w:ilvl w:val="0"/>
          <w:numId w:val="1077"/>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“blended learning”</w:t>
      </w:r>
      <w:r>
        <w:t xml:space="preserve"> </w:t>
      </w:r>
      <w:r>
        <w:t xml:space="preserve">is a problematic term due to its multiple interpretations in the literature and in daily practice, leaving one to ask,</w:t>
      </w:r>
      <w:r>
        <w:t xml:space="preserve"> </w:t>
      </w:r>
      <w:r>
        <w:t xml:space="preserve">“Who controls the blend?”</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90">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78"/>
        </w:numPr>
      </w:pPr>
      <w:r>
        <w:rPr>
          <w:b/>
          <w:bCs/>
          <w:i/>
          <w:iCs/>
        </w:rPr>
        <w:t xml:space="preserve">What ideas surround multi-access learning, according to the image?</w:t>
      </w:r>
    </w:p>
    <w:p>
      <w:pPr>
        <w:pStyle w:val="Compact"/>
        <w:numPr>
          <w:ilvl w:val="0"/>
          <w:numId w:val="1078"/>
        </w:numPr>
      </w:pPr>
      <w:r>
        <w:rPr>
          <w:b/>
          <w:bCs/>
          <w:i/>
          <w:iCs/>
        </w:rPr>
        <w:t xml:space="preserve">What is your definition of multi-access learning?</w:t>
      </w:r>
    </w:p>
    <w:p>
      <w:pPr>
        <w:pStyle w:val="Compact"/>
        <w:numPr>
          <w:ilvl w:val="0"/>
          <w:numId w:val="1078"/>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2" name="Picture"/>
            <a:graphic>
              <a:graphicData uri="http://schemas.openxmlformats.org/drawingml/2006/picture">
                <pic:pic>
                  <pic:nvPicPr>
                    <pic:cNvPr descr="assets/U5/U5LAImage.jpg" id="93"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79"/>
        </w:numPr>
      </w:pPr>
      <w:r>
        <w:t xml:space="preserve">How does technology impact assessment?</w:t>
      </w:r>
    </w:p>
    <w:p>
      <w:pPr>
        <w:pStyle w:val="Compact"/>
        <w:numPr>
          <w:ilvl w:val="0"/>
          <w:numId w:val="1079"/>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0"/>
        </w:numPr>
      </w:pPr>
      <w:r>
        <w:t xml:space="preserve">Evaluate the quality of feedback in light of evidence-based research</w:t>
      </w:r>
    </w:p>
    <w:p>
      <w:pPr>
        <w:pStyle w:val="Compact"/>
        <w:numPr>
          <w:ilvl w:val="0"/>
          <w:numId w:val="1080"/>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1"/>
        </w:numPr>
      </w:pPr>
      <w:r>
        <w:t xml:space="preserve">Read, annotate, and tag</w:t>
      </w:r>
    </w:p>
    <w:p>
      <w:pPr>
        <w:pStyle w:val="Compact"/>
        <w:numPr>
          <w:ilvl w:val="1"/>
          <w:numId w:val="1082"/>
        </w:numPr>
      </w:pPr>
      <w:r>
        <w:t xml:space="preserve">Bower, M. (2019).</w:t>
      </w:r>
      <w:r>
        <w:t xml:space="preserve"> </w:t>
      </w:r>
      <w:hyperlink r:id="rId94">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2"/>
        </w:numPr>
      </w:pPr>
      <w:r>
        <w:t xml:space="preserve">Carless, D. (2019).</w:t>
      </w:r>
      <w:r>
        <w:t xml:space="preserve"> </w:t>
      </w:r>
      <w:hyperlink r:id="rId95">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‘new’</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Assessment Task</w:t>
            </w:r>
          </w:p>
        </w:tc>
        <w:tc>
          <w:tcPr/>
          <w:p>
            <w:pPr>
              <w:pStyle w:val="Compact"/>
              <w:jc w:val="center"/>
            </w:pPr>
            <w:r>
              <w:t xml:space="preserve">Due Date</w:t>
            </w:r>
          </w:p>
        </w:tc>
      </w:tr>
      <w:tr>
        <w:tc>
          <w:tcPr/>
          <w:p>
            <w:pPr>
              <w:pStyle w:val="Compact"/>
            </w:pPr>
            <w:r>
              <w:t xml:space="preserve">Learning Reflection Blogs</w:t>
            </w:r>
          </w:p>
        </w:tc>
        <w:tc>
          <w:tcPr/>
          <w:p>
            <w:pPr>
              <w:pStyle w:val="Compact"/>
              <w:jc w:val="center"/>
            </w:pPr>
            <w:r>
              <w:t xml:space="preserve">Ongoing</w:t>
            </w:r>
          </w:p>
        </w:tc>
      </w:tr>
      <w:tr>
        <w:tc>
          <w:tcPr/>
          <w:p>
            <w:pPr>
              <w:pStyle w:val="Compact"/>
            </w:pPr>
            <w:r>
              <w:t xml:space="preserve">Concept Map and Lit Review</w:t>
            </w:r>
          </w:p>
        </w:tc>
        <w:tc>
          <w:tcPr/>
          <w:p>
            <w:pPr>
              <w:pStyle w:val="Compact"/>
              <w:jc w:val="center"/>
            </w:pPr>
            <w:r>
              <w:t xml:space="preserve">September 22</w:t>
            </w:r>
          </w:p>
        </w:tc>
      </w:tr>
      <w:tr>
        <w:tc>
          <w:tcPr/>
          <w:p>
            <w:pPr>
              <w:pStyle w:val="Compact"/>
            </w:pPr>
            <w:r>
              <w:t xml:space="preserve">Small Group Facilitation</w:t>
            </w:r>
          </w:p>
        </w:tc>
        <w:tc>
          <w:tcPr/>
          <w:p>
            <w:pPr>
              <w:pStyle w:val="Compact"/>
              <w:jc w:val="center"/>
            </w:pPr>
            <w:r>
              <w:t xml:space="preserve">September 29</w:t>
            </w:r>
          </w:p>
        </w:tc>
      </w:tr>
      <w:tr>
        <w:tc>
          <w:tcPr/>
          <w:p>
            <w:pPr>
              <w:pStyle w:val="Compact"/>
            </w:pPr>
            <w:r>
              <w:t xml:space="preserve">Peer Coaching Session</w:t>
            </w:r>
          </w:p>
        </w:tc>
        <w:tc>
          <w:tcPr/>
          <w:p>
            <w:pPr>
              <w:pStyle w:val="Compact"/>
              <w:jc w:val="center"/>
            </w:pPr>
            <w:r>
              <w:t xml:space="preserve">October 6</w:t>
            </w:r>
          </w:p>
        </w:tc>
      </w:tr>
      <w:tr>
        <w:tc>
          <w:tcPr/>
          <w:p>
            <w:pPr>
              <w:pStyle w:val="Compact"/>
            </w:pPr>
            <w:r>
              <w:t xml:space="preserve">Analysis</w:t>
            </w:r>
          </w:p>
        </w:tc>
        <w:tc>
          <w:tcPr/>
          <w:p>
            <w:pPr>
              <w:pStyle w:val="Compact"/>
              <w:jc w:val="center"/>
            </w:pPr>
            <w:r>
              <w:t xml:space="preserve">October 27</w:t>
            </w:r>
          </w:p>
        </w:tc>
      </w:tr>
      <w:tr>
        <w:tc>
          <w:tcPr/>
          <w:p>
            <w:pPr>
              <w:pStyle w:val="Compact"/>
            </w:pPr>
            <w:r>
              <w:t xml:space="preserve">Synthesis</w:t>
            </w:r>
          </w:p>
        </w:tc>
        <w:tc>
          <w:tcPr/>
          <w:p>
            <w:pPr>
              <w:pStyle w:val="Compact"/>
              <w:jc w:val="center"/>
            </w:pPr>
            <w:r>
              <w:t xml:space="preserve">November 1</w:t>
            </w: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in Obsidian using the</w:t>
      </w:r>
      <w:r>
        <w:t xml:space="preserve"> </w:t>
      </w:r>
      <w:r>
        <w:t xml:space="preserve">‘Daily Note’</w:t>
      </w:r>
      <w:r>
        <w:t xml:space="preserve"> </w:t>
      </w:r>
      <w:r>
        <w:t xml:space="preserve">template, then copy and paste the text into the relevant topic in</w:t>
      </w:r>
      <w:r>
        <w:t xml:space="preserve"> </w:t>
      </w:r>
      <w:hyperlink r:id="rId96">
        <w:r>
          <w:rPr>
            <w:rStyle w:val="Hyperlink"/>
          </w:rPr>
          <w:t xml:space="preserve">Discourse</w:t>
        </w:r>
      </w:hyperlink>
      <w:r>
        <w:t xml:space="preserve">. Make sure you use tags in Obsidian and in Discourse to allow you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To submit all of your posts for the course, create a new journal entry in your Obsidian vault.</w:t>
      </w:r>
    </w:p>
    <w:p>
      <w:pPr>
        <w:pStyle w:val="Heading3"/>
      </w:pPr>
      <w:r>
        <w:t xml:space="preserve">Post 2</w:t>
      </w:r>
    </w:p>
    <w:p>
      <w:pPr>
        <w:pStyle w:val="Heading4"/>
      </w:pPr>
      <w:r>
        <w:t xml:space="preserve">Due at the end of Unit 3</w:t>
      </w:r>
    </w:p>
    <w:p>
      <w:pPr>
        <w:pStyle w:val="FirstParagraph"/>
      </w:pPr>
      <w:r>
        <w:t xml:space="preserve">Scan through the</w:t>
      </w:r>
      <w:r>
        <w:t xml:space="preserve"> </w:t>
      </w:r>
      <w:hyperlink r:id="rId99">
        <w:r>
          <w:rPr>
            <w:rStyle w:val="Hyperlink"/>
          </w:rPr>
          <w:t xml:space="preserve">feed of posts from previous cohorts of this course</w:t>
        </w:r>
      </w:hyperlink>
      <w:r>
        <w:t xml:space="preserve"> </w:t>
      </w:r>
      <w:r>
        <w:t xml:space="preserve">and read through a few posts about Anderson’s</w:t>
      </w:r>
      <w:r>
        <w:t xml:space="preserve"> </w:t>
      </w:r>
      <w:r>
        <w:rPr>
          <w:i/>
          <w:iCs/>
        </w:rPr>
        <w:t xml:space="preserve">Interaction Equivalency Theorem</w:t>
      </w:r>
      <w:r>
        <w:t xml:space="preserve">. Then revisit your own post from Unit 1 in this cohort and, in a new post, provide a review of your Unit 1 post. Evaluate your post using the SOLO Taxonomy found on the bottom of this page. In your review, make sure you link to more than one post from a previous cohort.</w:t>
      </w:r>
    </w:p>
    <w:p>
      <w:pPr>
        <w:pStyle w:val="BodyText"/>
      </w:pPr>
      <w:r>
        <w:t xml:space="preserve">Once you have completed this task using one of your own posts, repeat the process for one of your colleagues’ posts, preferrably, someone who took the opposite view from you (if you defended Anderson’s theorem, then evaluate the post of someone who criticised it).</w:t>
      </w:r>
    </w:p>
    <w:p>
      <w:pPr>
        <w:pStyle w:val="BodyText"/>
      </w:pPr>
      <w:r>
        <w:t xml:space="preserve">To create all of your posts for the course, create a new journal entry in your Obsidian vault, then paste your completed post into the appropriate topic in Discourse.</w:t>
      </w:r>
    </w:p>
    <w:p>
      <w:pPr>
        <w:pStyle w:val="Heading3"/>
      </w:pPr>
      <w:r>
        <w:t xml:space="preserve">Post 3</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3"/>
        </w:numPr>
      </w:pPr>
      <w:r>
        <w:t xml:space="preserve">How would you define the coaching competency?</w:t>
      </w:r>
      <w:r>
        <w:br/>
      </w:r>
    </w:p>
    <w:p>
      <w:pPr>
        <w:pStyle w:val="Compact"/>
        <w:numPr>
          <w:ilvl w:val="0"/>
          <w:numId w:val="1083"/>
        </w:numPr>
      </w:pPr>
      <w:r>
        <w:t xml:space="preserve">Why is the competency important?</w:t>
      </w:r>
      <w:r>
        <w:br/>
      </w:r>
    </w:p>
    <w:p>
      <w:pPr>
        <w:pStyle w:val="Compact"/>
        <w:numPr>
          <w:ilvl w:val="0"/>
          <w:numId w:val="1083"/>
        </w:numPr>
      </w:pPr>
      <w:r>
        <w:t xml:space="preserve">What set of integrated knowledge, skills, aptitudes and attributes help define, in more detail, how to successfully perform the job to be done?</w:t>
      </w:r>
    </w:p>
    <w:p>
      <w:pPr>
        <w:pStyle w:val="FirstParagraph"/>
      </w:pPr>
      <w:r>
        <w:t xml:space="preserve">To submit all of your posts for the course, create a new journal entry in your Obsidian vault.</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4"/>
        </w:numPr>
      </w:pPr>
      <w:r>
        <w:t xml:space="preserve">How does technology impact the educational experience? Be specific with examples from your own experience.</w:t>
      </w:r>
    </w:p>
    <w:p>
      <w:pPr>
        <w:pStyle w:val="Compact"/>
        <w:numPr>
          <w:ilvl w:val="0"/>
          <w:numId w:val="1084"/>
        </w:numPr>
      </w:pPr>
      <w:r>
        <w:t xml:space="preserve">In what ways does assessment need to change to meet the challenges of modern higher education?</w:t>
      </w:r>
    </w:p>
    <w:p>
      <w:pPr>
        <w:pStyle w:val="Compact"/>
        <w:numPr>
          <w:ilvl w:val="0"/>
          <w:numId w:val="1084"/>
        </w:numPr>
      </w:pPr>
      <w:r>
        <w:t xml:space="preserve">How can educational institutions give learners more control over their learning experiences?</w:t>
      </w:r>
      <w:r>
        <w:br/>
      </w:r>
    </w:p>
    <w:p>
      <w:pPr>
        <w:pStyle w:val="Compact"/>
        <w:numPr>
          <w:ilvl w:val="0"/>
          <w:numId w:val="1084"/>
        </w:numPr>
      </w:pPr>
      <w:r>
        <w:t xml:space="preserve">What benefits and challenges does learner-centred access to education introduce?</w:t>
      </w:r>
      <w:r>
        <w:br/>
      </w:r>
    </w:p>
    <w:p>
      <w:pPr>
        <w:pStyle w:val="Compact"/>
        <w:numPr>
          <w:ilvl w:val="0"/>
          <w:numId w:val="1084"/>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4"/>
        </w:numPr>
      </w:pPr>
      <w:r>
        <w:t xml:space="preserve">How might this shift change the educator’s role and responsibilities?</w:t>
      </w:r>
      <w:r>
        <w:br/>
      </w:r>
    </w:p>
    <w:p>
      <w:pPr>
        <w:pStyle w:val="Compact"/>
        <w:numPr>
          <w:ilvl w:val="0"/>
          <w:numId w:val="1084"/>
        </w:numPr>
      </w:pPr>
      <w:r>
        <w:t xml:space="preserve">How might this shift change the learner’s role and responsibilities change?</w:t>
      </w:r>
      <w:r>
        <w:br/>
      </w:r>
    </w:p>
    <w:p>
      <w:pPr>
        <w:pStyle w:val="Compact"/>
        <w:numPr>
          <w:ilvl w:val="0"/>
          <w:numId w:val="1084"/>
        </w:numPr>
      </w:pPr>
      <w:r>
        <w:t xml:space="preserve">How can institutions ensure quality and transformational learning outcomes?</w:t>
      </w:r>
    </w:p>
    <w:p>
      <w:pPr>
        <w:pStyle w:val="Heading2"/>
      </w:pPr>
      <w:r>
        <w:t xml:space="preserve">Concept Map and Literature Review</w:t>
      </w:r>
    </w:p>
    <w:p>
      <w:pPr>
        <w:pStyle w:val="FirstParagraph"/>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‘Daily Note’</w:t>
      </w:r>
      <w:r>
        <w:t xml:space="preserve"> </w:t>
      </w:r>
      <w:r>
        <w:t xml:space="preserve">in your Obsidian vault, named</w:t>
      </w:r>
      <w:r>
        <w:t xml:space="preserve"> </w:t>
      </w:r>
      <w:r>
        <w:t xml:space="preserve">‘facilitation-reflection’</w:t>
      </w:r>
      <w:r>
        <w:t xml:space="preserve">.</w:t>
      </w:r>
    </w:p>
    <w:p>
      <w:pPr>
        <w:pStyle w:val="BodyText"/>
      </w:pPr>
      <w:r>
        <w:t xml:space="preserve">In your facilitation session, demonstrate and reflect on the following:</w:t>
      </w:r>
    </w:p>
    <w:p>
      <w:pPr>
        <w:pStyle w:val="Compact"/>
        <w:numPr>
          <w:ilvl w:val="0"/>
          <w:numId w:val="1085"/>
        </w:numPr>
      </w:pPr>
      <w:r>
        <w:t xml:space="preserve">preparing for the session (as evidenced by your composed materials to support learning in your session).</w:t>
      </w:r>
      <w:r>
        <w:br/>
      </w:r>
    </w:p>
    <w:p>
      <w:pPr>
        <w:pStyle w:val="Compact"/>
        <w:numPr>
          <w:ilvl w:val="0"/>
          <w:numId w:val="1085"/>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5"/>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5"/>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“showcase”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6"/>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6"/>
        </w:numPr>
      </w:pPr>
      <w:r>
        <w:t xml:space="preserve">There are two outcomes to assessment:</w:t>
      </w:r>
    </w:p>
    <w:p>
      <w:pPr>
        <w:pStyle w:val="Compact"/>
        <w:numPr>
          <w:ilvl w:val="1"/>
          <w:numId w:val="1087"/>
        </w:numPr>
      </w:pPr>
      <w:r>
        <w:t xml:space="preserve">you will produce a Zoom recording of your coaching session, and</w:t>
      </w:r>
    </w:p>
    <w:p>
      <w:pPr>
        <w:pStyle w:val="Compact"/>
        <w:numPr>
          <w:ilvl w:val="1"/>
          <w:numId w:val="1087"/>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‘SO WHAT?’</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‘What does this all mean for me?’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‘NOW WHAT?’</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‘C’</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‘B’</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‘A’</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88"/>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89"/>
        </w:numPr>
      </w:pPr>
      <w:r>
        <w:t xml:space="preserve">It is recommended that you use a computer, rather than a mobile phone to install Obsidian, but please let your instructor know if you are on mobile.</w:t>
      </w:r>
    </w:p>
    <w:p>
      <w:pPr>
        <w:pStyle w:val="Compact"/>
        <w:numPr>
          <w:ilvl w:val="1"/>
          <w:numId w:val="1089"/>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88"/>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0"/>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88"/>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1"/>
        </w:numPr>
      </w:pPr>
      <w:r>
        <w:t xml:space="preserve">Download the</w:t>
      </w:r>
      <w:r>
        <w:t xml:space="preserve"> </w:t>
      </w:r>
      <w:r>
        <w:t xml:space="preserve">‘Starter Obsidian Vault’</w:t>
      </w:r>
      <w:r>
        <w:t xml:space="preserve"> </w:t>
      </w:r>
      <w:r>
        <w:t xml:space="preserve">from Moodle.</w:t>
      </w:r>
    </w:p>
    <w:p>
      <w:pPr>
        <w:pStyle w:val="Compact"/>
        <w:numPr>
          <w:ilvl w:val="1"/>
          <w:numId w:val="1092"/>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1"/>
        </w:numPr>
      </w:pPr>
      <w:r>
        <w:t xml:space="preserve">Move the file to your</w:t>
      </w:r>
      <w:r>
        <w:t xml:space="preserve"> </w:t>
      </w:r>
      <w:r>
        <w:rPr>
          <w:rStyle w:val="VerbatimChar"/>
        </w:rPr>
        <w:t xml:space="preserve">Documents</w:t>
      </w:r>
      <w:r>
        <w:t xml:space="preserve"> </w:t>
      </w:r>
      <w:r>
        <w:t xml:space="preserve">folder.</w:t>
      </w:r>
    </w:p>
    <w:p>
      <w:pPr>
        <w:numPr>
          <w:ilvl w:val="0"/>
          <w:numId w:val="1091"/>
        </w:numPr>
      </w:pPr>
      <w:r>
        <w:t xml:space="preserve">Unzip or extract the contents of the file.</w:t>
      </w:r>
    </w:p>
    <w:p>
      <w:pPr>
        <w:numPr>
          <w:ilvl w:val="0"/>
          <w:numId w:val="1091"/>
        </w:numPr>
      </w:pPr>
      <w:r>
        <w:t xml:space="preserve">Rename the folder to</w:t>
      </w:r>
      <w:r>
        <w:t xml:space="preserve"> </w:t>
      </w:r>
      <w:r>
        <w:rPr>
          <w:rStyle w:val="VerbatimChar"/>
        </w:rPr>
        <w:t xml:space="preserve">ldrs663-[YourName]</w:t>
      </w:r>
      <w:r>
        <w:t xml:space="preserve">.</w:t>
      </w:r>
    </w:p>
    <w:p>
      <w:pPr>
        <w:numPr>
          <w:ilvl w:val="0"/>
          <w:numId w:val="1091"/>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1"/>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‘Trust author and enable plugins’</w:t>
      </w:r>
      <w:r>
        <w:t xml:space="preserve">.</w:t>
      </w:r>
    </w:p>
    <w:p>
      <w:pPr>
        <w:numPr>
          <w:ilvl w:val="0"/>
          <w:numId w:val="1091"/>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1" Target="media/rId91.jpg" /><Relationship Type="http://schemas.openxmlformats.org/officeDocument/2006/relationships/image" Id="rId82" Target="media/rId82.png" /><Relationship Type="http://schemas.openxmlformats.org/officeDocument/2006/relationships/image" Id="rId76" Target="media/rId76.jpg" /><Relationship Type="http://schemas.openxmlformats.org/officeDocument/2006/relationships/image" Id="rId85" Target="media/rId85.jpg" /><Relationship Type="http://schemas.openxmlformats.org/officeDocument/2006/relationships/image" Id="rId79" Target="media/rId79.jp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58" Target="media/rId58.png" /><Relationship Type="http://schemas.openxmlformats.org/officeDocument/2006/relationships/image" Id="rId55" Target="media/rId55.jpg" /><Relationship Type="http://schemas.openxmlformats.org/officeDocument/2006/relationships/image" Id="rId52" Target="media/rId52.png" /><Relationship Type="http://schemas.openxmlformats.org/officeDocument/2006/relationships/image" Id="rId67" Target="media/rId67.jpg" /><Relationship Type="http://schemas.openxmlformats.org/officeDocument/2006/relationships/hyperlink" Id="rId39" Target="http://create.twu.ca/help/other-web-tools/hypothesis" TargetMode="External" /><Relationship Type="http://schemas.openxmlformats.org/officeDocument/2006/relationships/hyperlink" Id="rId88" Target="http://ruby.fgcu.edu/courses/ndemers/colloquium/experienceducationdewey.pdf" TargetMode="External" /><Relationship Type="http://schemas.openxmlformats.org/officeDocument/2006/relationships/hyperlink" Id="rId21" Target="http://www.aupress.ca/index.php/books/120229" TargetMode="External" /><Relationship Type="http://schemas.openxmlformats.org/officeDocument/2006/relationships/hyperlink" Id="rId25" Target="http://www.irrodl.org/index.php/irrodl/article/view/149/230" TargetMode="External" /><Relationship Type="http://schemas.openxmlformats.org/officeDocument/2006/relationships/hyperlink" Id="rId65" Target="http://www.liberatingstructures.com/9-what-so-what-now-what-w/" TargetMode="External" /><Relationship Type="http://schemas.openxmlformats.org/officeDocument/2006/relationships/hyperlink" Id="rId75" Target="https://coachfederation.org/core-competencies" TargetMode="External" /><Relationship Type="http://schemas.openxmlformats.org/officeDocument/2006/relationships/hyperlink" Id="rId42" Target="https://create.twu.ca/h5p/wp-admin/admin-ajax.php?action=h5p_embed&amp;id=2" TargetMode="External" /><Relationship Type="http://schemas.openxmlformats.org/officeDocument/2006/relationships/hyperlink" Id="rId73" Target="https://deansforimpact.org/wp-content/uploads/2016/12/The_Science_of_Learning.pdf" TargetMode="External" /><Relationship Type="http://schemas.openxmlformats.org/officeDocument/2006/relationships/hyperlink" Id="rId24" Target="https://doi.org/10.1016/S1096-7516(00)00016-6" TargetMode="External" /><Relationship Type="http://schemas.openxmlformats.org/officeDocument/2006/relationships/hyperlink" Id="rId95" Target="https://doi.org/10.1080/02602938.2018.1531108" TargetMode="External" /><Relationship Type="http://schemas.openxmlformats.org/officeDocument/2006/relationships/hyperlink" Id="rId94" Target="https://doi.org/10.1111/bjet.12771" TargetMode="External" /><Relationship Type="http://schemas.openxmlformats.org/officeDocument/2006/relationships/hyperlink" Id="rId22" Target="https://en.wikisource.org/wiki/My_Pedagogic_Creed"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8" Target="https://hypothes.is/signup" TargetMode="External" /><Relationship Type="http://schemas.openxmlformats.org/officeDocument/2006/relationships/hyperlink" Id="rId61" Target="https://infed.org/mobi/facilitating-learning-and-change-in-groups-and-group-sessions/" TargetMode="External" /><Relationship Type="http://schemas.openxmlformats.org/officeDocument/2006/relationships/hyperlink" Id="rId62" Target="https://infed.org/mobi/what-is-a-group/" TargetMode="External" /><Relationship Type="http://schemas.openxmlformats.org/officeDocument/2006/relationships/hyperlink" Id="rId90"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27" Target="https://libguides.twu.ca/help"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6" Target="https://ma-lead.github.io/ldrs663/coaching-notes.html" TargetMode="External" /><Relationship Type="http://schemas.openxmlformats.org/officeDocument/2006/relationships/hyperlink" Id="rId99" Target="https://ma-lead.github.io/ldrs663/feeds.html" TargetMode="External" /><Relationship Type="http://schemas.openxmlformats.org/officeDocument/2006/relationships/hyperlink" Id="rId106" Target="https://obsidian.md/download" TargetMode="External" /><Relationship Type="http://schemas.openxmlformats.org/officeDocument/2006/relationships/hyperlink" Id="rId89" Target="https://pressbooks.bccampus.ca/teachinginadigitalagev3m/part/chapter-1-fundamental-change-in-education/" TargetMode="External" /><Relationship Type="http://schemas.openxmlformats.org/officeDocument/2006/relationships/hyperlink" Id="rId70" Target="https://publicdomainreview.org/collections/france-in-the-year-2000-1899-1910/" TargetMode="External" /><Relationship Type="http://schemas.openxmlformats.org/officeDocument/2006/relationships/hyperlink" Id="rId26" Target="https://rdcu.be/cKSGf" TargetMode="External" /><Relationship Type="http://schemas.openxmlformats.org/officeDocument/2006/relationships/hyperlink" Id="rId28" Target="https://scholar.google.com" TargetMode="External" /><Relationship Type="http://schemas.openxmlformats.org/officeDocument/2006/relationships/hyperlink" Id="rId74"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33" Target="https://twu.idm.oclc.org/login?url=http://search.ebscohost.com/login.aspx?direct=true&amp;db=cat05965a&amp;AN=alc.1254633&amp;site=eds-live" TargetMode="External" /><Relationship Type="http://schemas.openxmlformats.org/officeDocument/2006/relationships/hyperlink" Id="rId23" Target="https://twu.idm.oclc.org/login?url=http://search.ebscohost.com/login.aspx?direct=true&amp;db=cat05965a&amp;AN=alc.191437&amp;site=eds-live" TargetMode="External" /><Relationship Type="http://schemas.openxmlformats.org/officeDocument/2006/relationships/hyperlink" Id="rId37" Target="https://www-sciencedirect-com.twu.idm.oclc.org/science/article/pii/S1096751600000166" TargetMode="External" /><Relationship Type="http://schemas.openxmlformats.org/officeDocument/2006/relationships/hyperlink" Id="rId64"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2" Target="https://www.nap.edu/catalog/24783" TargetMode="External" /><Relationship Type="http://schemas.openxmlformats.org/officeDocument/2006/relationships/hyperlink" Id="rId29" Target="https://www.researchgate.net/" TargetMode="External" /><Relationship Type="http://schemas.openxmlformats.org/officeDocument/2006/relationships/hyperlink" Id="rId63" Target="https://www.researchgate.net/publication/228957278_From_Comfort_Zone_to_Performance_Management" TargetMode="External" /><Relationship Type="http://schemas.openxmlformats.org/officeDocument/2006/relationships/hyperlink" Id="rId20" Target="https://www.sciencedirect.com/science/article/pii/S1096751600000166?" TargetMode="External" /><Relationship Type="http://schemas.openxmlformats.org/officeDocument/2006/relationships/hyperlink" Id="rId71" Target="https://www.theguardian.com/education/2012/nov/12/improbable-research-seeing-upside-down"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1"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40"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9" Target="http://create.twu.ca/help/other-web-tools/hypothesis" TargetMode="External" /><Relationship Type="http://schemas.openxmlformats.org/officeDocument/2006/relationships/hyperlink" Id="rId88" Target="http://ruby.fgcu.edu/courses/ndemers/colloquium/experienceducationdewey.pdf" TargetMode="External" /><Relationship Type="http://schemas.openxmlformats.org/officeDocument/2006/relationships/hyperlink" Id="rId21" Target="http://www.aupress.ca/index.php/books/120229" TargetMode="External" /><Relationship Type="http://schemas.openxmlformats.org/officeDocument/2006/relationships/hyperlink" Id="rId25" Target="http://www.irrodl.org/index.php/irrodl/article/view/149/230" TargetMode="External" /><Relationship Type="http://schemas.openxmlformats.org/officeDocument/2006/relationships/hyperlink" Id="rId65" Target="http://www.liberatingstructures.com/9-what-so-what-now-what-w/" TargetMode="External" /><Relationship Type="http://schemas.openxmlformats.org/officeDocument/2006/relationships/hyperlink" Id="rId75" Target="https://coachfederation.org/core-competencies" TargetMode="External" /><Relationship Type="http://schemas.openxmlformats.org/officeDocument/2006/relationships/hyperlink" Id="rId42" Target="https://create.twu.ca/h5p/wp-admin/admin-ajax.php?action=h5p_embed&amp;id=2" TargetMode="External" /><Relationship Type="http://schemas.openxmlformats.org/officeDocument/2006/relationships/hyperlink" Id="rId73" Target="https://deansforimpact.org/wp-content/uploads/2016/12/The_Science_of_Learning.pdf" TargetMode="External" /><Relationship Type="http://schemas.openxmlformats.org/officeDocument/2006/relationships/hyperlink" Id="rId24" Target="https://doi.org/10.1016/S1096-7516(00)00016-6" TargetMode="External" /><Relationship Type="http://schemas.openxmlformats.org/officeDocument/2006/relationships/hyperlink" Id="rId95" Target="https://doi.org/10.1080/02602938.2018.1531108" TargetMode="External" /><Relationship Type="http://schemas.openxmlformats.org/officeDocument/2006/relationships/hyperlink" Id="rId94" Target="https://doi.org/10.1111/bjet.12771" TargetMode="External" /><Relationship Type="http://schemas.openxmlformats.org/officeDocument/2006/relationships/hyperlink" Id="rId22" Target="https://en.wikisource.org/wiki/My_Pedagogic_Creed"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8" Target="https://hypothes.is/signup" TargetMode="External" /><Relationship Type="http://schemas.openxmlformats.org/officeDocument/2006/relationships/hyperlink" Id="rId61" Target="https://infed.org/mobi/facilitating-learning-and-change-in-groups-and-group-sessions/" TargetMode="External" /><Relationship Type="http://schemas.openxmlformats.org/officeDocument/2006/relationships/hyperlink" Id="rId62" Target="https://infed.org/mobi/what-is-a-group/" TargetMode="External" /><Relationship Type="http://schemas.openxmlformats.org/officeDocument/2006/relationships/hyperlink" Id="rId90"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27" Target="https://libguides.twu.ca/help"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6" Target="https://ma-lead.github.io/ldrs663/coaching-notes.html" TargetMode="External" /><Relationship Type="http://schemas.openxmlformats.org/officeDocument/2006/relationships/hyperlink" Id="rId99" Target="https://ma-lead.github.io/ldrs663/feeds.html" TargetMode="External" /><Relationship Type="http://schemas.openxmlformats.org/officeDocument/2006/relationships/hyperlink" Id="rId106" Target="https://obsidian.md/download" TargetMode="External" /><Relationship Type="http://schemas.openxmlformats.org/officeDocument/2006/relationships/hyperlink" Id="rId89" Target="https://pressbooks.bccampus.ca/teachinginadigitalagev3m/part/chapter-1-fundamental-change-in-education/" TargetMode="External" /><Relationship Type="http://schemas.openxmlformats.org/officeDocument/2006/relationships/hyperlink" Id="rId70" Target="https://publicdomainreview.org/collections/france-in-the-year-2000-1899-1910/" TargetMode="External" /><Relationship Type="http://schemas.openxmlformats.org/officeDocument/2006/relationships/hyperlink" Id="rId26" Target="https://rdcu.be/cKSGf" TargetMode="External" /><Relationship Type="http://schemas.openxmlformats.org/officeDocument/2006/relationships/hyperlink" Id="rId28" Target="https://scholar.google.com" TargetMode="External" /><Relationship Type="http://schemas.openxmlformats.org/officeDocument/2006/relationships/hyperlink" Id="rId74"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33" Target="https://twu.idm.oclc.org/login?url=http://search.ebscohost.com/login.aspx?direct=true&amp;db=cat05965a&amp;AN=alc.1254633&amp;site=eds-live" TargetMode="External" /><Relationship Type="http://schemas.openxmlformats.org/officeDocument/2006/relationships/hyperlink" Id="rId23" Target="https://twu.idm.oclc.org/login?url=http://search.ebscohost.com/login.aspx?direct=true&amp;db=cat05965a&amp;AN=alc.191437&amp;site=eds-live" TargetMode="External" /><Relationship Type="http://schemas.openxmlformats.org/officeDocument/2006/relationships/hyperlink" Id="rId37" Target="https://www-sciencedirect-com.twu.idm.oclc.org/science/article/pii/S1096751600000166" TargetMode="External" /><Relationship Type="http://schemas.openxmlformats.org/officeDocument/2006/relationships/hyperlink" Id="rId64"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2" Target="https://www.nap.edu/catalog/24783" TargetMode="External" /><Relationship Type="http://schemas.openxmlformats.org/officeDocument/2006/relationships/hyperlink" Id="rId29" Target="https://www.researchgate.net/" TargetMode="External" /><Relationship Type="http://schemas.openxmlformats.org/officeDocument/2006/relationships/hyperlink" Id="rId63" Target="https://www.researchgate.net/publication/228957278_From_Comfort_Zone_to_Performance_Management" TargetMode="External" /><Relationship Type="http://schemas.openxmlformats.org/officeDocument/2006/relationships/hyperlink" Id="rId20" Target="https://www.sciencedirect.com/science/article/pii/S1096751600000166?" TargetMode="External" /><Relationship Type="http://schemas.openxmlformats.org/officeDocument/2006/relationships/hyperlink" Id="rId71" Target="https://www.theguardian.com/education/2012/nov/12/improbable-research-seeing-upside-down"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1"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40"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2025-03-24T19:24:29Z</dcterms:created>
  <dcterms:modified xsi:type="dcterms:W3CDTF">2025-03-24T19:24:29Z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Mar 14,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