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Introductions and Learning Stories</w:t>
      </w:r>
      <w:r>
        <w:t xml:space="preserve"> </w:t>
      </w:r>
      <w:hyperlink w:anchor="sec-learning-stories">
        <w:r>
          <w:rPr>
            <w:rStyle w:val="Hyperlink"/>
          </w:rPr>
          <w:t xml:space="preserve">Section 1.1</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9">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0">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1">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32">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0">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TUnit Summary</w:t>
      </w:r>
    </w:p>
    <w:p>
      <w:pPr>
        <w:pStyle w:val="FirstParagraph"/>
      </w:pPr>
      <w:r>
        <w:t xml:space="preserve">//todo #20</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 and Ethics App</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99">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Autoethnography Proposal and Ethics App</w:t>
      </w:r>
    </w:p>
    <w:p>
      <w:pPr>
        <w:pStyle w:val="FirstParagraph"/>
      </w:pPr>
      <w:r>
        <w:t xml:space="preserve">Your project throughout this course will be to engage in an autoethnographic exploration of your experiences learning about and practicing coaching and facilitation skills in the context of higher education.</w:t>
      </w:r>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99" Target="https://ma-lead.github.io/ldrs663/feed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32"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99" Target="https://ma-lead.github.io/ldrs663/feed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32"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2025-05-02T17:46:30Z</dcterms:created>
  <dcterms:modified xsi:type="dcterms:W3CDTF">2025-05-02T17:46:30Z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