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90.jpg" ContentType="image/jpeg"/>
  <Override PartName="/word/media/rId81.png" ContentType="image/png"/>
  <Override PartName="/word/media/rId75.jpg" ContentType="image/jpeg"/>
  <Override PartName="/word/media/rId84.jpg" ContentType="image/jpeg"/>
  <Override PartName="/word/media/rId78.jpg" ContentType="image/jpeg"/>
  <Override PartName="/word/media/rId33.png" ContentType="image/png"/>
  <Override PartName="/word/media/rId45.png" ContentType="image/png"/>
  <Override PartName="/word/media/rId42.png" ContentType="image/png"/>
  <Override PartName="/word/media/rId48.png" ContentType="image/png"/>
  <Override PartName="/word/media/rId57.png" ContentType="image/png"/>
  <Override PartName="/word/media/rId54.jpg" ContentType="image/jpeg"/>
  <Override PartName="/word/media/rId51.png" ContentType="image/png"/>
  <Override PartName="/word/media/rId6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May</w:t>
      </w:r>
      <w:r>
        <w:t xml:space="preserve"> </w:t>
      </w:r>
      <w:r>
        <w:t xml:space="preserve">31,</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online courses.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t xml:space="preserve">//todo #22</w:t>
      </w:r>
    </w:p>
    <w:p>
      <w:pPr>
        <w:pStyle w:val="Compact"/>
        <w:numPr>
          <w:ilvl w:val="0"/>
          <w:numId w:val="1007"/>
        </w:numPr>
      </w:pPr>
      <w:r>
        <w:t xml:space="preserve">*</w:t>
      </w:r>
      <w:hyperlink r:id="rId29">
        <w:r>
          <w:rPr>
            <w:rStyle w:val="Hyperlink"/>
          </w:rPr>
          <w:t xml:space="preserve">Introductions and Learning Stories* topic in the Learning Community.</w:t>
        </w:r>
      </w:hyperlink>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30">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1">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2">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share them in the *</w:t>
      </w:r>
      <w:hyperlink r:id="rId29">
        <w:r>
          <w:rPr>
            <w:rStyle w:val="Hyperlink"/>
          </w:rPr>
          <w:t xml:space="preserve">Introductions and Learning Stories* topic in the Learning Community.</w:t>
        </w:r>
      </w:hyperlink>
      <w:r>
        <w:t xml:space="preserve"> </w:t>
      </w:r>
      <w:r>
        <w:t xml:space="preserve">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4" name="Picture"/>
            <a:graphic>
              <a:graphicData uri="http://schemas.openxmlformats.org/drawingml/2006/picture">
                <pic:pic>
                  <pic:nvPicPr>
                    <pic:cNvPr descr="assets/u2/CoI-Model.png" id="35" name="Picture"/>
                    <pic:cNvPicPr>
                      <a:picLocks noChangeArrowheads="1" noChangeAspect="1"/>
                    </pic:cNvPicPr>
                  </pic:nvPicPr>
                  <pic:blipFill>
                    <a:blip r:embed="rId33"/>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6">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7">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8">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9">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0">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1">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3" name="Picture"/>
            <a:graphic>
              <a:graphicData uri="http://schemas.openxmlformats.org/drawingml/2006/picture">
                <pic:pic>
                  <pic:nvPicPr>
                    <pic:cNvPr descr="assets/u2/Modes-Interaction-Anderson_new.png" id="44" name="Picture"/>
                    <pic:cNvPicPr>
                      <a:picLocks noChangeArrowheads="1" noChangeAspect="1"/>
                    </pic:cNvPicPr>
                  </pic:nvPicPr>
                  <pic:blipFill>
                    <a:blip r:embed="rId42"/>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6" name="Picture"/>
            <a:graphic>
              <a:graphicData uri="http://schemas.openxmlformats.org/drawingml/2006/picture">
                <pic:pic>
                  <pic:nvPicPr>
                    <pic:cNvPr descr="assets/u2/Kanuka-Modes-of-Interaction_new.png" id="47" name="Picture"/>
                    <pic:cNvPicPr>
                      <a:picLocks noChangeArrowheads="1" noChangeAspect="1"/>
                    </pic:cNvPicPr>
                  </pic:nvPicPr>
                  <pic:blipFill>
                    <a:blip r:embed="rId45"/>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9" name="Picture"/>
            <a:graphic>
              <a:graphicData uri="http://schemas.openxmlformats.org/drawingml/2006/picture">
                <pic:pic>
                  <pic:nvPicPr>
                    <pic:cNvPr descr="assets/u2/Modes-of-Interaction-Madland_new.png" id="50" name="Picture"/>
                    <pic:cNvPicPr>
                      <a:picLocks noChangeArrowheads="1" noChangeAspect="1"/>
                    </pic:cNvPicPr>
                  </pic:nvPicPr>
                  <pic:blipFill>
                    <a:blip r:embed="rId48"/>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1">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2" name="Picture"/>
            <a:graphic>
              <a:graphicData uri="http://schemas.openxmlformats.org/drawingml/2006/picture">
                <pic:pic>
                  <pic:nvPicPr>
                    <pic:cNvPr descr="assets/u3/ZPD_Image_new.png" id="53" name="Picture"/>
                    <pic:cNvPicPr>
                      <a:picLocks noChangeArrowheads="1" noChangeAspect="1"/>
                    </pic:cNvPicPr>
                  </pic:nvPicPr>
                  <pic:blipFill>
                    <a:blip r:embed="rId51"/>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#23 Add an introduction to this activity?</w:t>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5" name="Picture"/>
            <a:graphic>
              <a:graphicData uri="http://schemas.openxmlformats.org/drawingml/2006/picture">
                <pic:pic>
                  <pic:nvPicPr>
                    <pic:cNvPr descr="assets/u3/U5_T2_Image.jpg" id="56" name="Picture"/>
                    <pic:cNvPicPr>
                      <a:picLocks noChangeArrowheads="1" noChangeAspect="1"/>
                    </pic:cNvPicPr>
                  </pic:nvPicPr>
                  <pic:blipFill>
                    <a:blip r:embed="rId54"/>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FirstParagraph"/>
      </w:pPr>
      <w:r>
        <w:t xml:space="preserve">// todo #24 Perhaps adding an example to each of the five characteristics of learning groups would be a good idea!</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8" name="Picture"/>
            <a:graphic>
              <a:graphicData uri="http://schemas.openxmlformats.org/drawingml/2006/picture">
                <pic:pic>
                  <pic:nvPicPr>
                    <pic:cNvPr descr="assets/u3/Image_cooperative_learning.png" id="59" name="Picture"/>
                    <pic:cNvPicPr>
                      <a:picLocks noChangeArrowheads="1" noChangeAspect="1"/>
                    </pic:cNvPicPr>
                  </pic:nvPicPr>
                  <pic:blipFill>
                    <a:blip r:embed="rId57"/>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BodyText"/>
      </w:pPr>
      <w:r>
        <w:t xml:space="preserve">// todo #25 I’m wondering whether we should reconsider this question, as the students have not yet been introduced to coaching concepts in this unit.</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#26 Should we include an introduction that encourages the student to start thinking about the planning of their facilitation session? Or should we include specific questions that prompt the student to begin planning their facilitation session?</w:t>
      </w:r>
    </w:p>
    <w:p>
      <w:pPr>
        <w:pStyle w:val="BodyText"/>
      </w:pPr>
      <w:r>
        <w:t xml:space="preserve">Read the following article</w:t>
      </w:r>
      <w:r>
        <w:t xml:space="preserve"> </w:t>
      </w:r>
      <w:hyperlink r:id="rId60">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2">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3">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4">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BodyText"/>
      </w:pPr>
      <w:r>
        <w:t xml:space="preserve">// todo #27 The</w:t>
      </w:r>
      <w:r>
        <w:t xml:space="preserve"> </w:t>
      </w:r>
      <w:r>
        <w:t xml:space="preserve">‘</w:t>
      </w:r>
      <w:r>
        <w:t xml:space="preserve">Checking Your Learning</w:t>
      </w:r>
      <w:r>
        <w:t xml:space="preserve">’</w:t>
      </w:r>
      <w:r>
        <w:t xml:space="preserve"> </w:t>
      </w:r>
      <w:r>
        <w:t xml:space="preserve">section needs to be developed. It only has the Unit Learning Outcomes right now.</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r>
        <w:t xml:space="preserve">// todo #29 - The Coaching Notes link is broken. Also, I think it would be good to use the</w:t>
      </w:r>
      <w:r>
        <w:t xml:space="preserve"> </w:t>
      </w:r>
      <w:r>
        <w:t xml:space="preserve">“</w:t>
      </w:r>
      <w:r>
        <w:t xml:space="preserve">open in a new tab</w:t>
      </w:r>
      <w:r>
        <w:t xml:space="preserve">”</w:t>
      </w:r>
      <w:r>
        <w:t xml:space="preserve"> </w:t>
      </w:r>
      <w:r>
        <w:t xml:space="preserve">setting.</w:t>
      </w:r>
    </w:p>
    <w:p>
      <w:pPr>
        <w:pStyle w:val="BodyText"/>
      </w:pPr>
      <w:hyperlink r:id="rId65">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7" name="Picture"/>
            <a:graphic>
              <a:graphicData uri="http://schemas.openxmlformats.org/drawingml/2006/picture">
                <pic:pic>
                  <pic:nvPicPr>
                    <pic:cNvPr descr="assets/u4/France_in_XXI_Century._School.jpg" id="68" name="Picture"/>
                    <pic:cNvPicPr>
                      <a:picLocks noChangeArrowheads="1" noChangeAspect="1"/>
                    </pic:cNvPicPr>
                  </pic:nvPicPr>
                  <pic:blipFill>
                    <a:blip r:embed="rId66"/>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9">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0">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1">
        <w:r>
          <w:rPr>
            <w:rStyle w:val="Hyperlink"/>
          </w:rPr>
          <w:t xml:space="preserve">available for free download here</w:t>
        </w:r>
      </w:hyperlink>
      <w:r>
        <w:t xml:space="preserve">.</w:t>
      </w:r>
    </w:p>
    <w:p>
      <w:pPr>
        <w:pStyle w:val="BodyText"/>
      </w:pPr>
      <w:r>
        <w:rPr>
          <w:i/>
          <w:iCs/>
        </w:rPr>
        <w:t xml:space="preserve">Note</w:t>
      </w:r>
      <w:r>
        <w:t xml:space="preserv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rPr>
        <w:t xml:space="preserve">Questions to Consider</w:t>
      </w:r>
    </w:p>
    <w:p>
      <w:pPr>
        <w:pStyle w:val="BodyText"/>
      </w:pPr>
      <w:r>
        <w:t xml:space="preserve">After completing the reading above, consider the following questions:</w:t>
      </w:r>
    </w:p>
    <w:p>
      <w:pPr>
        <w:pStyle w:val="Compact"/>
        <w:numPr>
          <w:ilvl w:val="0"/>
          <w:numId w:val="1028"/>
        </w:numPr>
      </w:pPr>
      <w:r>
        <w:t xml:space="preserve">What are the basic types of learning?</w:t>
      </w:r>
    </w:p>
    <w:p>
      <w:pPr>
        <w:pStyle w:val="Compact"/>
        <w:numPr>
          <w:ilvl w:val="0"/>
          <w:numId w:val="1028"/>
        </w:numPr>
      </w:pPr>
      <w: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2">
        <w:r>
          <w:rPr>
            <w:rStyle w:val="Hyperlink"/>
            <w:b/>
            <w:bCs/>
          </w:rPr>
          <w:t xml:space="preserve">The Science of Learning</w:t>
        </w:r>
      </w:hyperlink>
    </w:p>
    <w:p>
      <w:pPr>
        <w:pStyle w:val="FirstParagraph"/>
      </w:pPr>
      <w:r>
        <w:rPr>
          <w:b/>
          <w:bCs/>
        </w:rPr>
        <w:t xml:space="preserve">Questions to Consider</w:t>
      </w:r>
    </w:p>
    <w:p>
      <w:pPr>
        <w:pStyle w:val="BodyText"/>
      </w:pPr>
      <w:r>
        <w:t xml:space="preserve">After completing the reading above, consider the following questions:</w:t>
      </w:r>
    </w:p>
    <w:p>
      <w:pPr>
        <w:pStyle w:val="Compact"/>
        <w:numPr>
          <w:ilvl w:val="0"/>
          <w:numId w:val="1030"/>
        </w:numPr>
      </w:pPr>
      <w:r>
        <w:t xml:space="preserve">How do students understand new ideas?</w:t>
      </w:r>
    </w:p>
    <w:p>
      <w:pPr>
        <w:pStyle w:val="Compact"/>
        <w:numPr>
          <w:ilvl w:val="0"/>
          <w:numId w:val="1030"/>
        </w:numPr>
      </w:pPr>
      <w:r>
        <w:t xml:space="preserve">How do students learn and retain new information?</w:t>
      </w:r>
    </w:p>
    <w:p>
      <w:pPr>
        <w:pStyle w:val="Compact"/>
        <w:numPr>
          <w:ilvl w:val="0"/>
          <w:numId w:val="1030"/>
        </w:numPr>
      </w:pPr>
      <w:r>
        <w:t xml:space="preserve">How do students solve problems?</w:t>
      </w:r>
    </w:p>
    <w:p>
      <w:pPr>
        <w:pStyle w:val="Compact"/>
        <w:numPr>
          <w:ilvl w:val="0"/>
          <w:numId w:val="1030"/>
        </w:numPr>
      </w:pPr>
      <w:r>
        <w:t xml:space="preserve">How does learning transfer to new situations in or outside of the classroom?</w:t>
      </w:r>
    </w:p>
    <w:p>
      <w:pPr>
        <w:pStyle w:val="Compact"/>
        <w:numPr>
          <w:ilvl w:val="0"/>
          <w:numId w:val="1030"/>
        </w:numPr>
      </w:pPr>
      <w:r>
        <w:t xml:space="preserve">What motivates students to learn?</w:t>
      </w:r>
    </w:p>
    <w:p>
      <w:pPr>
        <w:pStyle w:val="Compact"/>
        <w:numPr>
          <w:ilvl w:val="0"/>
          <w:numId w:val="1030"/>
        </w:numPr>
      </w:pPr>
      <w: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t xml:space="preserve">// todo #30 - This content is currently in a learning activity box. Is there a better format to highlight this?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BodyText"/>
      </w:pPr>
      <w:r>
        <w:t xml:space="preserve">// todo #31 modify the link to open in a new tab</w:t>
      </w:r>
    </w:p>
    <w:p>
      <w:pPr>
        <w:pStyle w:val="Compact"/>
        <w:numPr>
          <w:ilvl w:val="0"/>
          <w:numId w:val="1032"/>
        </w:numPr>
      </w:pPr>
      <w:hyperlink r:id="rId73">
        <w:r>
          <w:rPr>
            <w:rStyle w:val="Hyperlink"/>
            <w:b/>
            <w:bCs/>
          </w:rPr>
          <w:t xml:space="preserve">The Inner Game of Work</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3"/>
        </w:numPr>
      </w:pPr>
      <w:r>
        <w:t xml:space="preserve">How can coaching concepts be applied to helping learners learn?</w:t>
      </w:r>
    </w:p>
    <w:p>
      <w:pPr>
        <w:pStyle w:val="Compact"/>
        <w:numPr>
          <w:ilvl w:val="0"/>
          <w:numId w:val="1033"/>
        </w:numPr>
      </w:pPr>
      <w:r>
        <w:t xml:space="preserve">What key characteristics define effective coaching for learning?</w:t>
      </w:r>
    </w:p>
    <w:p>
      <w:pPr>
        <w:pStyle w:val="Compact"/>
        <w:numPr>
          <w:ilvl w:val="0"/>
          <w:numId w:val="1033"/>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1 Practicing Professional Ethics &amp; Standards</w:t>
      </w:r>
    </w:p>
    <w:p>
      <w:pPr>
        <w:pStyle w:val="FirstParagraph"/>
      </w:pPr>
      <w:r>
        <w:t xml:space="preserve">// todo #32 The check marks look larger than the font. Can we adjust their size, or would it be better to use bullet points?</w:t>
      </w:r>
    </w:p>
    <w:p>
      <w:pPr>
        <w:pStyle w:val="BodyText"/>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2 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3 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4 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5 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6 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BodyText"/>
      </w:pPr>
      <w:r>
        <w:t xml:space="preserve">// todo #33 the following link is broken</w:t>
      </w:r>
    </w:p>
    <w:p>
      <w:pPr>
        <w:pStyle w:val="Compact"/>
        <w:numPr>
          <w:ilvl w:val="0"/>
          <w:numId w:val="1034"/>
        </w:numPr>
      </w:pPr>
      <w:hyperlink r:id="rId74">
        <w:r>
          <w:rPr>
            <w:rStyle w:val="Hyperlink"/>
            <w:b/>
            <w:bCs/>
          </w:rPr>
          <w:t xml:space="preserve">Core Competencies</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5"/>
        </w:numPr>
      </w:pPr>
      <w:r>
        <w:t xml:space="preserve">What general coaching competencies apply to coaching for learning?</w:t>
      </w:r>
    </w:p>
    <w:p>
      <w:pPr>
        <w:pStyle w:val="Compact"/>
        <w:numPr>
          <w:ilvl w:val="0"/>
          <w:numId w:val="1035"/>
        </w:numPr>
      </w:pPr>
      <w:r>
        <w:t xml:space="preserve">What competencies do you feel are strength areas? What areas do you need to develop?</w:t>
      </w:r>
    </w:p>
    <w:p>
      <w:pPr>
        <w:pStyle w:val="Compact"/>
        <w:numPr>
          <w:ilvl w:val="0"/>
          <w:numId w:val="1035"/>
        </w:numPr>
      </w:pPr>
      <w: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BodyText"/>
      </w:pPr>
      <w:r>
        <w:t xml:space="preserve">// todo #34 Delete the following heading?</w:t>
      </w:r>
    </w:p>
    <w:p>
      <w:pPr>
        <w:pStyle w:val="Heading2"/>
      </w:pPr>
      <w:r>
        <w:t xml:space="preserve">Unit 4 Assessment</w:t>
      </w:r>
    </w:p>
    <w:p>
      <w:pPr>
        <w:pStyle w:val="FirstParagraph"/>
      </w:pPr>
      <w:r>
        <w:t xml:space="preserve">// todo #35</w:t>
      </w:r>
      <w:r>
        <w:t xml:space="preserve"> </w:t>
      </w:r>
      <w:r>
        <w:rPr>
          <w:b/>
          <w:bCs/>
        </w:rPr>
        <w:t xml:space="preserve">The following Coaching Notes feel like a mix of a summary and a step-by-step guide to help students coach more effectively. What if we turned this into an H5P presentation and used it as the summary section? Maybe we could also offer a downloadable version—would that be helpful for their assignments?</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6" name="Picture"/>
            <a:graphic>
              <a:graphicData uri="http://schemas.openxmlformats.org/drawingml/2006/picture">
                <pic:pic>
                  <pic:nvPicPr>
                    <pic:cNvPr descr="assets/presentations/coaching/mike.jpg" id="77" name="Picture"/>
                    <pic:cNvPicPr>
                      <a:picLocks noChangeArrowheads="1" noChangeAspect="1"/>
                    </pic:cNvPicPr>
                  </pic:nvPicPr>
                  <pic:blipFill>
                    <a:blip r:embed="rId75"/>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FirstParagraph"/>
      </w:pPr>
      <w:r>
        <w:t xml:space="preserve">// todo #36 The content discusses 6 Core Coaching Competencies, and here there are more than six. Could this be confusing for students? Maybe we could organize them differently?</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Block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t xml:space="preserve">// todo #37 The link to the video is missing</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79" name="Picture"/>
            <a:graphic>
              <a:graphicData uri="http://schemas.openxmlformats.org/drawingml/2006/picture">
                <pic:pic>
                  <pic:nvPicPr>
                    <pic:cNvPr descr="assets/presentations/coaching/ted.jpg" id="80" name="Picture"/>
                    <pic:cNvPicPr>
                      <a:picLocks noChangeArrowheads="1" noChangeAspect="1"/>
                    </pic:cNvPicPr>
                  </pic:nvPicPr>
                  <pic:blipFill>
                    <a:blip r:embed="rId78"/>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2" name="Picture"/>
            <a:graphic>
              <a:graphicData uri="http://schemas.openxmlformats.org/drawingml/2006/picture">
                <pic:pic>
                  <pic:nvPicPr>
                    <pic:cNvPr descr="assets/presentations/coaching/active.png" id="83" name="Picture"/>
                    <pic:cNvPicPr>
                      <a:picLocks noChangeArrowheads="1" noChangeAspect="1"/>
                    </pic:cNvPicPr>
                  </pic:nvPicPr>
                  <pic:blipFill>
                    <a:blip r:embed="rId81"/>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t xml:space="preserve">// todo #38 I think we can improve the quality of the following image, since the text is blurry and hard to read.</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5" name="Picture"/>
            <a:graphic>
              <a:graphicData uri="http://schemas.openxmlformats.org/drawingml/2006/picture">
                <pic:pic>
                  <pic:nvPicPr>
                    <pic:cNvPr descr="assets/presentations/coaching/plutchik.jpg" id="86" name="Picture"/>
                    <pic:cNvPicPr>
                      <a:picLocks noChangeArrowheads="1" noChangeAspect="1"/>
                    </pic:cNvPicPr>
                  </pic:nvPicPr>
                  <pic:blipFill>
                    <a:blip r:embed="rId84"/>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2"/>
      </w:pPr>
      <w:r>
        <w:t xml:space="preserve">Unit Summary</w:t>
      </w:r>
    </w:p>
    <w:p>
      <w:pPr>
        <w:pStyle w:val="FirstParagraph"/>
      </w:pPr>
      <w:r>
        <w:t xml:space="preserve">//todo #20</w:t>
      </w:r>
    </w:p>
    <w:p>
      <w:pPr>
        <w:pStyle w:val="Heading2"/>
      </w:pPr>
      <w:r>
        <w:t xml:space="preserve">3.1 Checking Your Learning</w:t>
      </w:r>
    </w:p>
    <w:p>
      <w:pPr>
        <w:pStyle w:val="FirstParagraph"/>
      </w:pPr>
      <w:r>
        <w:t xml:space="preserve">//todo #21</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4.1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rPr>
          <w:b/>
          <w:bCs/>
        </w:rPr>
        <w:t xml:space="preserve">// todo #39</w:t>
      </w:r>
      <w:r>
        <w:t xml:space="preserve"> </w:t>
      </w:r>
      <w:r>
        <w:t xml:space="preserve">Use a different format to highlight the following text, since this is not a learning activity</w:t>
      </w:r>
    </w:p>
    <w:p>
      <w:pPr>
        <w:pStyle w:val="Heading3"/>
      </w:pPr>
      <w:r>
        <w:t xml:space="preserve">4.1.1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rPr>
          <w:b/>
          <w:bCs/>
        </w:rPr>
        <w:t xml:space="preserve">// todo #40</w:t>
      </w:r>
      <w:r>
        <w:t xml:space="preserve"> </w:t>
      </w:r>
      <w:r>
        <w:t xml:space="preserve">Use a different format to highlight the following text, since this is not a learning activity</w:t>
      </w:r>
    </w:p>
    <w:p>
      <w:pPr>
        <w:pStyle w:val="Heading3"/>
      </w:pPr>
      <w:r>
        <w:t xml:space="preserve">4.1.2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The first Learning Activity for Unit 4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BodyText"/>
      </w:pPr>
      <w:r>
        <w:rPr>
          <w:b/>
          <w:bCs/>
        </w:rPr>
        <w:t xml:space="preserve">// todo #41</w:t>
      </w:r>
      <w:r>
        <w:t xml:space="preserve"> </w:t>
      </w:r>
      <w:r>
        <w:t xml:space="preserve">Set up the following link to open in a new tab</w:t>
      </w:r>
    </w:p>
    <w:p>
      <w:pPr>
        <w:pStyle w:val="Compact"/>
        <w:numPr>
          <w:ilvl w:val="0"/>
          <w:numId w:val="1076"/>
        </w:numPr>
      </w:pPr>
      <w:hyperlink r:id="rId87">
        <w:r>
          <w:rPr>
            <w:rStyle w:val="Hyperlink"/>
            <w:b/>
            <w:bCs/>
          </w:rPr>
          <w:t xml:space="preserve">Experience and Education: Chapter 2</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7"/>
        </w:numPr>
      </w:pPr>
      <w:r>
        <w:t xml:space="preserve">What is a learning experience?</w:t>
      </w:r>
    </w:p>
    <w:p>
      <w:pPr>
        <w:pStyle w:val="Compact"/>
        <w:numPr>
          <w:ilvl w:val="0"/>
          <w:numId w:val="1077"/>
        </w:numPr>
      </w:pPr>
      <w:r>
        <w:t xml:space="preserve">What two principles does Dewey identify that shape our learning experiences?</w:t>
      </w:r>
      <w:r>
        <w:br/>
      </w:r>
    </w:p>
    <w:p>
      <w:pPr>
        <w:pStyle w:val="Compact"/>
        <w:numPr>
          <w:ilvl w:val="0"/>
          <w:numId w:val="1077"/>
        </w:numPr>
      </w:pPr>
      <w: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4.2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 todo #42</w:t>
      </w:r>
      <w:r>
        <w:t xml:space="preserve"> </w:t>
      </w:r>
      <w:r>
        <w:t xml:space="preserve">It seems that the instructions for the learning activity are missing. Exactly what readings do students have to complete?</w:t>
      </w:r>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8"/>
        </w:numPr>
      </w:pPr>
      <w:r>
        <w:t xml:space="preserve">What makes a learning experience educational?</w:t>
      </w:r>
    </w:p>
    <w:p>
      <w:pPr>
        <w:pStyle w:val="Compact"/>
        <w:numPr>
          <w:ilvl w:val="0"/>
          <w:numId w:val="1078"/>
        </w:numPr>
      </w:pPr>
      <w:r>
        <w:t xml:space="preserve">What conception of knowledge (pre-modern, modern, or post-modern) characterizes Dewey’s conception of experiential knowledge outlined in Experience and Education, Ch. 2?</w:t>
      </w:r>
      <w:r>
        <w:br/>
      </w:r>
    </w:p>
    <w:p>
      <w:pPr>
        <w:pStyle w:val="Compact"/>
        <w:numPr>
          <w:ilvl w:val="0"/>
          <w:numId w:val="1078"/>
        </w:numPr>
      </w:pPr>
      <w:r>
        <w:t xml:space="preserve">Why is it important for educators to understand how they conceptualize knowledge?</w:t>
      </w:r>
    </w:p>
    <w:p>
      <w:pPr>
        <w:pStyle w:val="FirstParagraph"/>
      </w:pPr>
      <w:r>
        <w:rPr>
          <w:color w:val="6ecfb1"/>
          <w:sz w:val="24"/>
          <w:szCs w:val="24"/>
          <w:b/>
        </w:rPr>
        <w:t xml:space="preserve">&lt;End learning-activity&gt;</w:t>
      </w:r>
    </w:p>
    <w:p>
      <w:pPr>
        <w:pStyle w:val="Heading2"/>
      </w:pPr>
      <w:r>
        <w:t xml:space="preserve">4.3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 todo #43</w:t>
      </w:r>
      <w:r>
        <w:t xml:space="preserve"> </w:t>
      </w:r>
      <w:r>
        <w:t xml:space="preserve">It seems that the content provided is sufficient for students to reflect on the questions listed. I’m just wondering if this was the intended design, or if we’re missing some reading resources for this activity.</w:t>
      </w:r>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9"/>
        </w:numPr>
      </w:pPr>
      <w:r>
        <w:t xml:space="preserve">How would you describe your own experiences of transformational learning?</w:t>
      </w:r>
    </w:p>
    <w:p>
      <w:pPr>
        <w:pStyle w:val="Compact"/>
        <w:numPr>
          <w:ilvl w:val="0"/>
          <w:numId w:val="1079"/>
        </w:numPr>
      </w:pPr>
      <w: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4.4 The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Heading2"/>
      </w:pPr>
      <w:r>
        <w:t xml:space="preserve">4.5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hyperlink r:id="rId88">
        <w:r>
          <w:rPr>
            <w:rStyle w:val="Hyperlink"/>
          </w:rPr>
          <w:t xml:space="preserve">Teaching in a Digital Age</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80"/>
        </w:numPr>
      </w:pPr>
      <w:r>
        <w:rPr>
          <w:b/>
          <w:bCs/>
          <w:i/>
          <w:iCs/>
        </w:rPr>
        <w:t xml:space="preserve">What changes have you seen in Online Learning?</w:t>
      </w:r>
      <w:r>
        <w:br/>
      </w:r>
    </w:p>
    <w:p>
      <w:pPr>
        <w:pStyle w:val="Compact"/>
        <w:numPr>
          <w:ilvl w:val="0"/>
          <w:numId w:val="1080"/>
        </w:numPr>
      </w:pPr>
      <w:r>
        <w:rPr>
          <w:b/>
          <w:bCs/>
          <w:i/>
          <w:iCs/>
        </w:rP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4.6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4"/>
      </w:pPr>
      <w:r>
        <w:t xml:space="preserve">The 4 tiers of multi-access learning:</w:t>
      </w:r>
    </w:p>
    <w:p>
      <w:pPr>
        <w:pStyle w:val="Heading5"/>
      </w:pPr>
      <w:r>
        <w:t xml:space="preserve">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3"/>
      </w:pPr>
      <w:r>
        <w:t xml:space="preserve">Activity: Look, Read, and Reflect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Learning Activity begins by asking you to take a close look and consider the picture below this block.</w:t>
      </w:r>
    </w:p>
    <w:p>
      <w:pPr>
        <w:pStyle w:val="BodyText"/>
      </w:pPr>
      <w:r>
        <w:rPr>
          <w:b/>
          <w:bCs/>
        </w:rPr>
        <w:t xml:space="preserve">// todo #44</w:t>
      </w:r>
      <w:r>
        <w:t xml:space="preserve"> </w:t>
      </w:r>
      <w:r>
        <w:t xml:space="preserve">Include the image within the activity box.</w:t>
      </w:r>
    </w:p>
    <w:p>
      <w:pPr>
        <w:pStyle w:val="Heading4"/>
      </w:pPr>
      <w:r>
        <w:t xml:space="preserve">Read</w:t>
      </w:r>
    </w:p>
    <w:p>
      <w:pPr>
        <w:pStyle w:val="FirstParagraph"/>
      </w:pPr>
      <w:hyperlink r:id="rId89">
        <w:r>
          <w:rPr>
            <w:rStyle w:val="Hyperlink"/>
          </w:rPr>
          <w:t xml:space="preserve">Realigning Higher Education for the 21st-Century Learner through Multi-Access Learning</w:t>
        </w:r>
      </w:hyperlink>
    </w:p>
    <w:p>
      <w:pPr>
        <w:pStyle w:val="Heading4"/>
      </w:pPr>
      <w:r>
        <w:rPr>
          <w:b/>
          <w:b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t xml:space="preserve">What ideas surround multi-access learning, according to the image?</w:t>
      </w:r>
    </w:p>
    <w:p>
      <w:pPr>
        <w:pStyle w:val="Compact"/>
        <w:numPr>
          <w:ilvl w:val="0"/>
          <w:numId w:val="1081"/>
        </w:numPr>
      </w:pPr>
      <w:r>
        <w:t xml:space="preserve">What is your definition of multi-access learning?</w:t>
      </w:r>
    </w:p>
    <w:p>
      <w:pPr>
        <w:pStyle w:val="Compact"/>
        <w:numPr>
          <w:ilvl w:val="0"/>
          <w:numId w:val="1081"/>
        </w:numPr>
      </w:pPr>
      <w: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1" name="Picture"/>
            <a:graphic>
              <a:graphicData uri="http://schemas.openxmlformats.org/drawingml/2006/picture">
                <pic:pic>
                  <pic:nvPicPr>
                    <pic:cNvPr descr="assets/U5/U5LAImage.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b/>
          <w:bCs/>
        </w:rPr>
        <w:t xml:space="preserve">// todo #45</w:t>
      </w:r>
      <w:r>
        <w:t xml:space="preserve"> </w:t>
      </w:r>
      <w:r>
        <w:t xml:space="preserve">Delete the following title?</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3">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94">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hyperlink r:id="rId95">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7">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8">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2</w:t>
      </w:r>
    </w:p>
    <w:p>
      <w:pPr>
        <w:pStyle w:val="Heading4"/>
      </w:pPr>
      <w:r>
        <w:t xml:space="preserve">Due at the end of Unit 3</w:t>
      </w:r>
    </w:p>
    <w:p>
      <w:pPr>
        <w:pStyle w:val="FirstParagraph"/>
      </w:pPr>
      <w:r>
        <w:t xml:space="preserve">Your second post will be based on your Autoethnography proposal (Assignment 1). Your task will be to create an abstract for your paper, which at this point, will be a summary of your proposal. Your abstract MUST be between 150 and 200 words. This is the standard word count for an article abstract in many journals. Do NOT include references, citations, or headings.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3</w:t>
      </w:r>
    </w:p>
    <w:p>
      <w:pPr>
        <w:pStyle w:val="Heading4"/>
      </w:pPr>
      <w:r>
        <w:t xml:space="preserve">Due at the end of Unit 4</w:t>
      </w:r>
    </w:p>
    <w:p>
      <w:pPr>
        <w:pStyle w:val="FirstParagraph"/>
      </w:pPr>
      <w:r>
        <w:t xml:space="preserve">Post 3 is a reflection on assessment and how it has impacted you as a learner. Use specific examples from your own experiece (your personal experience, or possibly a family member’s experience) of what you think are helpful and unhelpful assessment practices and strategies. How have those experiences impacted your view of the validity and reliability of assessment in formal education?</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6"/>
        </w:numPr>
      </w:pPr>
      <w:r>
        <w:t xml:space="preserve">How does technology impact the educational experience? Be specific with examples from your own experience.</w:t>
      </w:r>
    </w:p>
    <w:p>
      <w:pPr>
        <w:pStyle w:val="Compact"/>
        <w:numPr>
          <w:ilvl w:val="0"/>
          <w:numId w:val="1086"/>
        </w:numPr>
      </w:pPr>
      <w:r>
        <w:t xml:space="preserve">In what ways does assessment need to change to meet the challenges of modern higher education?</w:t>
      </w:r>
    </w:p>
    <w:p>
      <w:pPr>
        <w:pStyle w:val="Compact"/>
        <w:numPr>
          <w:ilvl w:val="0"/>
          <w:numId w:val="1086"/>
        </w:numPr>
      </w:pPr>
      <w:r>
        <w:t xml:space="preserve">How can educational institutions give learners more control over their learning experiences?</w:t>
      </w:r>
      <w:r>
        <w:br/>
      </w:r>
    </w:p>
    <w:p>
      <w:pPr>
        <w:pStyle w:val="Compact"/>
        <w:numPr>
          <w:ilvl w:val="0"/>
          <w:numId w:val="1086"/>
        </w:numPr>
      </w:pPr>
      <w:r>
        <w:t xml:space="preserve">What benefits and challenges does learner-centred access to education introduce?</w:t>
      </w:r>
      <w:r>
        <w:br/>
      </w:r>
    </w:p>
    <w:p>
      <w:pPr>
        <w:pStyle w:val="Compact"/>
        <w:numPr>
          <w:ilvl w:val="0"/>
          <w:numId w:val="1086"/>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6"/>
        </w:numPr>
      </w:pPr>
      <w:r>
        <w:t xml:space="preserve">How might this shift change the educator’s role and responsibilities?</w:t>
      </w:r>
      <w:r>
        <w:br/>
      </w:r>
    </w:p>
    <w:p>
      <w:pPr>
        <w:pStyle w:val="Compact"/>
        <w:numPr>
          <w:ilvl w:val="0"/>
          <w:numId w:val="1086"/>
        </w:numPr>
      </w:pPr>
      <w:r>
        <w:t xml:space="preserve">How might this shift change the learner’s role and responsibilities change?</w:t>
      </w:r>
      <w:r>
        <w:br/>
      </w:r>
    </w:p>
    <w:p>
      <w:pPr>
        <w:pStyle w:val="Compact"/>
        <w:numPr>
          <w:ilvl w:val="0"/>
          <w:numId w:val="1086"/>
        </w:numPr>
      </w:pPr>
      <w:r>
        <w:t xml:space="preserve">How can institutions ensure quality and transformational learning outcomes?</w:t>
      </w:r>
    </w:p>
    <w:p>
      <w:pPr>
        <w:pStyle w:val="FirstParagraph"/>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r>
        <w:t xml:space="preserve"> </w:t>
      </w:r>
    </w:p>
    <w:p>
      <w:pPr>
        <w:pStyle w:val="Heading2"/>
      </w:pPr>
      <w:r>
        <w:t xml:space="preserve">Autoethnography Proposal</w:t>
      </w:r>
    </w:p>
    <w:p>
      <w:pPr>
        <w:pStyle w:val="FirstParagraph"/>
      </w:pPr>
      <w:r>
        <w:t xml:space="preserve">Your project throughout this course will be to engage in an autoethnographic exploration of your experiences learning about and practicing coaching and facilitation skills in the context of higher education. Each assignment in the course will contribute towards the creation of an autoethnographic account of your experiences in the course and the final result will be a document in the form of a scholarly article. The first component of this project is to create a proposal, which will include a brief introduction to your project, a literature review, and a description of your methods (autoethnography).</w:t>
      </w:r>
    </w:p>
    <w:p>
      <w:pPr>
        <w:pStyle w:val="BodyText"/>
      </w:pPr>
      <w:r>
        <w:rPr>
          <w:i/>
          <w:iCs/>
        </w:rPr>
        <w:t xml:space="preserve">Autoethnography is a form of ethnographic research in which a researcher connects personal experiences to wider cultural, political, and social meanings and understandings.</w:t>
      </w:r>
      <w:hyperlink r:id="rId99">
        <w:r>
          <w:rPr>
            <w:rStyle w:val="Hyperlink"/>
          </w:rPr>
          <w:t xml:space="preserve">Wikipedia</w:t>
        </w:r>
      </w:hyperlink>
    </w:p>
    <w:p>
      <w:pPr>
        <w:pStyle w:val="BodyText"/>
      </w:pPr>
      <w:r>
        <w:t xml:space="preserve">Working individually and in cooperation with your learning pod, use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100">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7"/>
        </w:numPr>
      </w:pPr>
      <w:r>
        <w:t xml:space="preserve">preparing for the session (as evidenced by your composed materials to support learning in your session).</w:t>
      </w:r>
      <w:r>
        <w:br/>
      </w:r>
    </w:p>
    <w:p>
      <w:pPr>
        <w:pStyle w:val="Compact"/>
        <w:numPr>
          <w:ilvl w:val="0"/>
          <w:numId w:val="1087"/>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7"/>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7"/>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8"/>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8"/>
        </w:numPr>
      </w:pPr>
      <w:r>
        <w:t xml:space="preserve">There are two outcomes to assessment:</w:t>
      </w:r>
    </w:p>
    <w:p>
      <w:pPr>
        <w:pStyle w:val="Compact"/>
        <w:numPr>
          <w:ilvl w:val="1"/>
          <w:numId w:val="1089"/>
        </w:numPr>
      </w:pPr>
      <w:r>
        <w:t xml:space="preserve">you will produce a Zoom recording of your coaching session, and</w:t>
      </w:r>
    </w:p>
    <w:p>
      <w:pPr>
        <w:pStyle w:val="Compact"/>
        <w:numPr>
          <w:ilvl w:val="1"/>
          <w:numId w:val="1089"/>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2" name="Picture"/>
            <a:graphic>
              <a:graphicData uri="http://schemas.openxmlformats.org/drawingml/2006/picture">
                <pic:pic>
                  <pic:nvPicPr>
                    <pic:cNvPr descr="assets/SOLO-taxonomy.pn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4">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5">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0"/>
        </w:numPr>
      </w:pPr>
      <w:r>
        <w:t xml:space="preserve">Go to</w:t>
      </w:r>
      <w:r>
        <w:t xml:space="preserve"> </w:t>
      </w:r>
      <w:hyperlink r:id="rId106">
        <w:r>
          <w:rPr>
            <w:rStyle w:val="Hyperlink"/>
          </w:rPr>
          <w:t xml:space="preserve">obsidian.md</w:t>
        </w:r>
      </w:hyperlink>
      <w:r>
        <w:t xml:space="preserve"> </w:t>
      </w:r>
      <w:r>
        <w:t xml:space="preserve">and</w:t>
      </w:r>
      <w:r>
        <w:t xml:space="preserve"> </w:t>
      </w:r>
      <w:hyperlink r:id="rId107">
        <w:r>
          <w:rPr>
            <w:rStyle w:val="Hyperlink"/>
          </w:rPr>
          <w:t xml:space="preserve">follow these instructions to install Obsidian on your computer.</w:t>
        </w:r>
      </w:hyperlink>
    </w:p>
    <w:p>
      <w:pPr>
        <w:pStyle w:val="Compact"/>
        <w:numPr>
          <w:ilvl w:val="1"/>
          <w:numId w:val="1091"/>
        </w:numPr>
      </w:pPr>
      <w:r>
        <w:t xml:space="preserve">It is recommended that you use a computer, rather than a mobile phone to install Obsidian, but please let your instructor know if you are on mobile.</w:t>
      </w:r>
    </w:p>
    <w:p>
      <w:pPr>
        <w:pStyle w:val="Compact"/>
        <w:numPr>
          <w:ilvl w:val="1"/>
          <w:numId w:val="1091"/>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0"/>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8">
        <w:r>
          <w:rPr>
            <w:rStyle w:val="Hyperlink"/>
            <w:b/>
            <w:bCs/>
          </w:rPr>
          <w:t xml:space="preserve">Create a vault</w:t>
        </w:r>
      </w:hyperlink>
      <w:r>
        <w:t xml:space="preserve">.</w:t>
      </w:r>
    </w:p>
    <w:p>
      <w:pPr>
        <w:pStyle w:val="Compact"/>
        <w:numPr>
          <w:ilvl w:val="1"/>
          <w:numId w:val="1092"/>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0"/>
        </w:numPr>
      </w:pPr>
      <w:r>
        <w:t xml:space="preserve">It is recommended that you</w:t>
      </w:r>
      <w:r>
        <w:t xml:space="preserve"> </w:t>
      </w:r>
      <w:hyperlink r:id="rId109">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10">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3"/>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4"/>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3"/>
        </w:numPr>
      </w:pPr>
      <w:r>
        <w:t xml:space="preserve">Move the file to your</w:t>
      </w:r>
      <w:r>
        <w:t xml:space="preserve"> </w:t>
      </w:r>
      <w:r>
        <w:rPr>
          <w:rStyle w:val="VerbatimChar"/>
        </w:rPr>
        <w:t xml:space="preserve">Documents</w:t>
      </w:r>
      <w:r>
        <w:t xml:space="preserve"> </w:t>
      </w:r>
      <w:r>
        <w:t xml:space="preserve">folder.</w:t>
      </w:r>
    </w:p>
    <w:p>
      <w:pPr>
        <w:numPr>
          <w:ilvl w:val="0"/>
          <w:numId w:val="1093"/>
        </w:numPr>
      </w:pPr>
      <w:r>
        <w:t xml:space="preserve">Unzip or extract the contents of the file.</w:t>
      </w:r>
    </w:p>
    <w:p>
      <w:pPr>
        <w:numPr>
          <w:ilvl w:val="0"/>
          <w:numId w:val="1093"/>
        </w:numPr>
      </w:pPr>
      <w:r>
        <w:t xml:space="preserve">Rename the folder to</w:t>
      </w:r>
      <w:r>
        <w:t xml:space="preserve"> </w:t>
      </w:r>
      <w:r>
        <w:rPr>
          <w:rStyle w:val="VerbatimChar"/>
        </w:rPr>
        <w:t xml:space="preserve">ldrs663-[YourName]</w:t>
      </w:r>
      <w:r>
        <w:t xml:space="preserve">.</w:t>
      </w:r>
    </w:p>
    <w:p>
      <w:pPr>
        <w:numPr>
          <w:ilvl w:val="0"/>
          <w:numId w:val="1093"/>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3"/>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3"/>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90" Target="media/rId90.jpg" /><Relationship Type="http://schemas.openxmlformats.org/officeDocument/2006/relationships/image" Id="rId81" Target="media/rId81.png" /><Relationship Type="http://schemas.openxmlformats.org/officeDocument/2006/relationships/image" Id="rId75" Target="media/rId75.jpg" /><Relationship Type="http://schemas.openxmlformats.org/officeDocument/2006/relationships/image" Id="rId84" Target="media/rId84.jpg" /><Relationship Type="http://schemas.openxmlformats.org/officeDocument/2006/relationships/image" Id="rId78" Target="media/rId78.jp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4" Target="media/rId54.jpg" /><Relationship Type="http://schemas.openxmlformats.org/officeDocument/2006/relationships/image" Id="rId51" Target="media/rId51.png" /><Relationship Type="http://schemas.openxmlformats.org/officeDocument/2006/relationships/image" Id="rId66" Target="media/rId66.jpg" /><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2025-05-31T21:28:04Z</dcterms:created>
  <dcterms:modified xsi:type="dcterms:W3CDTF">2025-05-31T21:28:04Z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May 31,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