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2E52" w:rsidRDefault="00932E52">
      <w:pPr>
        <w:pStyle w:val="Heading1"/>
      </w:pPr>
      <w:r>
        <w:t>References</w:t>
      </w:r>
    </w:p>
    <w:p w:rsidR="00932E52" w:rsidRDefault="00932E52">
      <w:pPr>
        <w:pStyle w:val="FirstParagraph"/>
      </w:pPr>
      <w:r>
        <w:t xml:space="preserve">Anderson, T. (2003). Getting the mix right again: An updated and theoretical rationale for interaction. </w:t>
      </w:r>
      <w:r>
        <w:rPr>
          <w:i/>
          <w:iCs/>
        </w:rPr>
        <w:t>International Review of Research in Open and Distance Learning,</w:t>
      </w:r>
      <w:r>
        <w:t xml:space="preserve"> 4(2), 1–14.</w:t>
      </w:r>
    </w:p>
    <w:p w:rsidR="00932E52" w:rsidRDefault="00932E52">
      <w:pPr>
        <w:pStyle w:val="BodyText"/>
      </w:pPr>
      <w:r>
        <w:t xml:space="preserve">Dewey, J. (1897). </w:t>
      </w:r>
      <w:r>
        <w:rPr>
          <w:i/>
          <w:iCs/>
        </w:rPr>
        <w:t>My pedagogic creed.</w:t>
      </w:r>
      <w:r>
        <w:t xml:space="preserve"> In M. S. Dworkin (Ed.), </w:t>
      </w:r>
      <w:r>
        <w:rPr>
          <w:i/>
          <w:iCs/>
        </w:rPr>
        <w:t>Dewey on education.</w:t>
      </w:r>
      <w:r>
        <w:t xml:space="preserve"> NewYork, NY: Teachers College Press.</w:t>
      </w:r>
    </w:p>
    <w:p w:rsidR="00932E52" w:rsidRDefault="00932E52">
      <w:pPr>
        <w:pStyle w:val="BodyText"/>
      </w:pPr>
      <w:r>
        <w:t xml:space="preserve">Driscoll, M. P. (2005). </w:t>
      </w:r>
      <w:r>
        <w:rPr>
          <w:i/>
          <w:iCs/>
        </w:rPr>
        <w:t>Psychology of learning for instruction</w:t>
      </w:r>
      <w:r>
        <w:t xml:space="preserve"> (3rd ed.). Boston: Pearson Education.</w:t>
      </w:r>
    </w:p>
    <w:p w:rsidR="00932E52" w:rsidRDefault="00932E52">
      <w:pPr>
        <w:pStyle w:val="BodyText"/>
      </w:pPr>
      <w:r>
        <w:t xml:space="preserve">Garrison, D. R., Anderson, T., &amp; Archer, W. (2000). Critical inquiry in a text-based environment: Computer conferencing in higher education. </w:t>
      </w:r>
      <w:r>
        <w:rPr>
          <w:i/>
          <w:iCs/>
        </w:rPr>
        <w:t>The Internet and Higher Education, 2</w:t>
      </w:r>
      <w:r>
        <w:t>, 87–105. https://doi.org/10.1016/S1096-7516(00)00016-6</w:t>
      </w:r>
    </w:p>
    <w:p w:rsidR="00932E52" w:rsidRDefault="00932E52">
      <w:pPr>
        <w:pStyle w:val="BodyText"/>
      </w:pPr>
      <w:r>
        <w:t xml:space="preserve">Kanuka, H. (2011). Interaction and the online distance classroom: Do instructional methods effect the quality of interaction? </w:t>
      </w:r>
      <w:r>
        <w:rPr>
          <w:i/>
          <w:iCs/>
        </w:rPr>
        <w:t>Journal of Computing in Higher Education,</w:t>
      </w:r>
      <w:r>
        <w:t xml:space="preserve"> 23(2), 143–156. https://doi.org/10.1007/s12528-011-9049-4</w:t>
      </w:r>
    </w:p>
    <w:p w:rsidR="007867C5" w:rsidRDefault="00932E52">
      <w:r>
        <w:t xml:space="preserve">Madland, C. (2014). </w:t>
      </w:r>
      <w:r>
        <w:rPr>
          <w:i/>
          <w:iCs/>
        </w:rPr>
        <w:t>Structured student interactions in online distance learning: Exploring the study buddy activity</w:t>
      </w:r>
      <w:r>
        <w:t xml:space="preserve"> (Master’s thesis). Athabasca University. Retrieved from http://hdl.handle.net/10791/47</w:t>
      </w:r>
    </w:p>
    <w:sectPr w:rsidR="00786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52"/>
    <w:rsid w:val="00590ACE"/>
    <w:rsid w:val="007867C5"/>
    <w:rsid w:val="00932E52"/>
    <w:rsid w:val="00A404BD"/>
    <w:rsid w:val="00A86EA8"/>
    <w:rsid w:val="00C125AE"/>
    <w:rsid w:val="00E2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80241B-FABE-6040-A709-9A37842C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E5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932E52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932E52"/>
    <w:rPr>
      <w:kern w:val="0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932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Chang</dc:creator>
  <cp:keywords/>
  <dc:description/>
  <cp:lastModifiedBy>Chloe Chang</cp:lastModifiedBy>
  <cp:revision>1</cp:revision>
  <dcterms:created xsi:type="dcterms:W3CDTF">2025-03-24T19:25:00Z</dcterms:created>
  <dcterms:modified xsi:type="dcterms:W3CDTF">2025-03-24T19:25:00Z</dcterms:modified>
</cp:coreProperties>
</file>