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the course book for</w:t>
      </w:r>
      <w:r>
        <w:t xml:space="preserve"> </w:t>
      </w:r>
      <w:r>
        <w:rPr>
          <w:iCs/>
          <w:i/>
        </w:rPr>
        <w:t xml:space="preserve">LDRS 667: Practicum (Personal and</w:t>
      </w:r>
      <w:r>
        <w:rPr>
          <w:iCs/>
          <w:i/>
        </w:rPr>
        <w:t xml:space="preserve"> </w:t>
      </w:r>
      <w:r>
        <w:rPr>
          <w:iCs/>
          <w:i/>
        </w:rPr>
        <w:t xml:space="preserve">Professional Practice and Reflection)</w:t>
      </w:r>
      <w:r>
        <w:t xml:space="preserve">. This book is divided into</w:t>
      </w:r>
      <w:r>
        <w:t xml:space="preserve"> </w:t>
      </w:r>
      <w:r>
        <w:t xml:space="preserve">thematic units of study to help you engage with the materials. The</w:t>
      </w:r>
      <w:r>
        <w:t xml:space="preserve"> </w:t>
      </w:r>
      <w:r>
        <w:t xml:space="preserve">course resources and learning activities are designed not only to help</w:t>
      </w:r>
      <w:r>
        <w:t xml:space="preserve"> </w:t>
      </w:r>
      <w:r>
        <w:t xml:space="preserve">prepare you for the course assessments, but also to give you</w:t>
      </w:r>
      <w:r>
        <w:t xml:space="preserve"> </w:t>
      </w:r>
      <w:r>
        <w:t xml:space="preserve">opportunities to practice various skills.</w:t>
      </w:r>
    </w:p>
    <w:p>
      <w:pPr>
        <w:pStyle w:val="BlockText"/>
      </w:pPr>
      <w:r>
        <w:t xml:space="preserve">Below you will find information about how to navigate this book.</w:t>
      </w:r>
      <w:r>
        <w:t xml:space="preserve"> </w:t>
      </w:r>
      <w:r>
        <w:t xml:space="preserve">Please read the full course syllabus located on the Course Home page</w:t>
      </w:r>
      <w:r>
        <w:t xml:space="preserve"> </w:t>
      </w:r>
      <w:r>
        <w:t xml:space="preserve">in Moodle. It includes key information about the course schedule,</w:t>
      </w:r>
      <w:r>
        <w:t xml:space="preserve"> </w:t>
      </w:r>
      <w:r>
        <w:t xml:space="preserve">assignments, and policies.</w:t>
      </w:r>
    </w:p>
    <w:bookmarkStart w:id="21" w:name="course-notes"/>
    <w:p>
      <w:pPr>
        <w:pStyle w:val="Heading2"/>
      </w:pPr>
      <w:r>
        <w:t xml:space="preserve">Course Notes</w:t>
      </w:r>
    </w:p>
    <w:p>
      <w:pPr>
        <w:pStyle w:val="FirstParagraph"/>
      </w:pPr>
      <w:r>
        <w:t xml:space="preserve">You should be reading this information in the context of a Trinity</w:t>
      </w:r>
      <w:r>
        <w:t xml:space="preserve"> </w:t>
      </w:r>
      <w:r>
        <w:t xml:space="preserve">Western University course offered via Moodle. If this is not the case,</w:t>
      </w:r>
      <w:r>
        <w:t xml:space="preserve"> </w:t>
      </w:r>
      <w:r>
        <w:t xml:space="preserve">then this may be an unauthorized reproduction of the course. Please</w:t>
      </w:r>
      <w:r>
        <w:t xml:space="preserve"> </w:t>
      </w:r>
      <w:r>
        <w:t xml:space="preserve">contact</w:t>
      </w:r>
      <w:r>
        <w:t xml:space="preserve"> </w:t>
      </w:r>
      <w:hyperlink r:id="rId20">
        <w:r>
          <w:rPr>
            <w:rStyle w:val="Hyperlink"/>
          </w:rPr>
          <w:t xml:space="preserve">elearning@twu.ca</w:t>
        </w:r>
      </w:hyperlink>
      <w:r>
        <w:t xml:space="preserve"> </w:t>
      </w:r>
      <w:r>
        <w:t xml:space="preserve">if you have concerns.</w:t>
      </w:r>
    </w:p>
    <w:p>
      <w:pPr>
        <w:pStyle w:val="BodyText"/>
      </w:pPr>
      <w:r>
        <w:t xml:space="preserve">These notes will be your guide through the learning activities and</w:t>
      </w:r>
      <w:r>
        <w:t xml:space="preserve"> </w:t>
      </w:r>
      <w:r>
        <w:t xml:space="preserve">assessment strategies necessary for you to succeed in the course, so it</w:t>
      </w:r>
      <w:r>
        <w:t xml:space="preserve"> </w:t>
      </w:r>
      <w:r>
        <w:t xml:space="preserve">is important for you to engage to the best of your ability and take</w:t>
      </w:r>
      <w:r>
        <w:t xml:space="preserve"> </w:t>
      </w:r>
      <w:r>
        <w:t xml:space="preserve">advantage of the resources available to you through Trinity Western</w:t>
      </w:r>
      <w:r>
        <w:t xml:space="preserve"> </w:t>
      </w:r>
      <w:r>
        <w:t xml:space="preserve">University.</w:t>
      </w:r>
    </w:p>
    <w:p>
      <w:pPr>
        <w:pStyle w:val="BlockText"/>
      </w:pPr>
      <w:r>
        <w:t xml:space="preserve">Assessment tasks are managed in other sections of the Moodle course,</w:t>
      </w:r>
      <w:r>
        <w:t xml:space="preserve"> </w:t>
      </w:r>
      <w:r>
        <w:t xml:space="preserve">so be sure to familiarize yourself with those requirements and</w:t>
      </w:r>
      <w:r>
        <w:t xml:space="preserve"> </w:t>
      </w:r>
      <w:r>
        <w:t xml:space="preserve">resources.</w:t>
      </w:r>
    </w:p>
    <w:bookmarkEnd w:id="21"/>
    <w:bookmarkStart w:id="33" w:name="how-to-navigate-this-book"/>
    <w:p>
      <w:pPr>
        <w:pStyle w:val="Heading2"/>
      </w:pPr>
      <w:r>
        <w:t xml:space="preserve">How To Navigate This Book</w:t>
      </w:r>
    </w:p>
    <w:p>
      <w:pPr>
        <w:pStyle w:val="FirstParagraph"/>
      </w:pPr>
      <w:r>
        <w:t xml:space="preserve">To move quickly to different portions of the book, click on the</w:t>
      </w:r>
      <w:r>
        <w:t xml:space="preserve"> </w:t>
      </w:r>
      <w:r>
        <w:t xml:space="preserve">appropriate chapter or section in the table of contents on the left. The</w:t>
      </w:r>
      <w:r>
        <w:t xml:space="preserve"> </w:t>
      </w:r>
      <w:r>
        <w:t xml:space="preserve">buttons at the top of the page allow you to show/hide the table of</w:t>
      </w:r>
      <w:r>
        <w:t xml:space="preserve"> </w:t>
      </w:r>
      <w:r>
        <w:t xml:space="preserve">contents, search the book, change font settings, download a pdf or ebook</w:t>
      </w:r>
      <w:r>
        <w:t xml:space="preserve"> </w:t>
      </w:r>
      <w:r>
        <w:t xml:space="preserve">copy of this book, or get hints on various sections of the book.</w:t>
      </w:r>
    </w:p>
    <w:p>
      <w:pPr>
        <w:pStyle w:val="CaptionedFigure"/>
      </w:pPr>
      <w:r>
        <w:drawing>
          <wp:inline>
            <wp:extent cx="5943600" cy="1045633"/>
            <wp:effectExtent b="0" l="0" r="0" t="0"/>
            <wp:docPr descr="Figure 0.1: Top menu bar" title="" id="23" name="Picture"/>
            <a:graphic>
              <a:graphicData uri="http://schemas.openxmlformats.org/drawingml/2006/picture">
                <pic:pic>
                  <pic:nvPicPr>
                    <pic:cNvPr descr="/Users/jeff/Documents/GitHub/ma-lead/ldrs667/docs/LDRS-667/media/rId2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0.1: Top menu</w:t>
      </w:r>
      <w:r>
        <w:t xml:space="preserve"> </w:t>
      </w:r>
      <w:r>
        <w:t xml:space="preserve">bar</w:t>
      </w:r>
    </w:p>
    <w:p>
      <w:pPr>
        <w:pStyle w:val="BodyText"/>
      </w:pPr>
      <w:r>
        <w:t xml:space="preserve">Figure 0.1: Top menu bar</w:t>
      </w:r>
    </w:p>
    <w:p>
      <w:pPr>
        <w:pStyle w:val="BodyText"/>
      </w:pPr>
      <w:r>
        <w:t xml:space="preserve">The faint left and right arrows at the sides of each page (or bottom of</w:t>
      </w:r>
      <w:r>
        <w:t xml:space="preserve"> </w:t>
      </w:r>
      <w:r>
        <w:t xml:space="preserve">the page if it’s narrow enough) allow you to step to the next/previous</w:t>
      </w:r>
      <w:r>
        <w:t xml:space="preserve"> </w:t>
      </w:r>
      <w:r>
        <w:t xml:space="preserve">section. Here’s what they look like:</w:t>
      </w:r>
    </w:p>
    <w:p>
      <w:pPr>
        <w:pStyle w:val="BodyText"/>
      </w:pPr>
      <w:r>
        <w:drawing>
          <wp:inline>
            <wp:extent cx="2209800" cy="1473200"/>
            <wp:effectExtent b="0" l="0" r="0" t="0"/>
            <wp:docPr descr="Figure 0.2: Left and right navigation arrows" title="" id="26" name="Picture"/>
            <a:graphic>
              <a:graphicData uri="http://schemas.openxmlformats.org/drawingml/2006/picture">
                <pic:pic>
                  <pic:nvPicPr>
                    <pic:cNvPr descr="/Users/jeff/Documents/GitHub/ma-lead/ldrs667/docs/LDRS-667/media/rId2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09800" cy="1473200"/>
            <wp:effectExtent b="0" l="0" r="0" t="0"/>
            <wp:docPr descr="(#fig:unnamed-chunk-2)Left and right navigation arrows" title="" id="29" name="Picture"/>
            <a:graphic>
              <a:graphicData uri="http://schemas.openxmlformats.org/drawingml/2006/picture">
                <pic:pic>
                  <pic:nvPicPr>
                    <pic:cNvPr descr="/Users/jeff/Documents/GitHub/ma-lead/ldrs667/docs/LDRS-667/media/rId2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47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also download an offline copy of this book in various formats,</w:t>
      </w:r>
      <w:r>
        <w:t xml:space="preserve"> </w:t>
      </w:r>
      <w:r>
        <w:t xml:space="preserve">such as pdf or an ebook. If you are having any accessibility or</w:t>
      </w:r>
      <w:r>
        <w:t xml:space="preserve"> </w:t>
      </w:r>
      <w:r>
        <w:t xml:space="preserve">navigation issues with this book, please reach out to your instructor or</w:t>
      </w:r>
      <w:r>
        <w:t xml:space="preserve"> </w:t>
      </w:r>
      <w:r>
        <w:t xml:space="preserve">our online team at</w:t>
      </w:r>
      <w:r>
        <w:t xml:space="preserve"> </w:t>
      </w:r>
      <w:hyperlink r:id="rId20">
        <w:r>
          <w:rPr>
            <w:rStyle w:val="Hyperlink"/>
          </w:rPr>
          <w:t xml:space="preserve">elearning@twu.ca</w:t>
        </w:r>
      </w:hyperlink>
      <w:r>
        <w:t xml:space="preserve">.</w:t>
      </w:r>
    </w:p>
    <w:bookmarkStart w:id="31" w:name="course-units"/>
    <w:p>
      <w:pPr>
        <w:pStyle w:val="Heading3"/>
      </w:pPr>
      <w:r>
        <w:t xml:space="preserve">Course Units</w:t>
      </w:r>
    </w:p>
    <w:p>
      <w:pPr>
        <w:pStyle w:val="FirstParagraph"/>
      </w:pPr>
      <w:r>
        <w:t xml:space="preserve">This course is organized into thematic units. Each unit of the course</w:t>
      </w:r>
      <w:r>
        <w:t xml:space="preserve"> </w:t>
      </w:r>
      <w:r>
        <w:t xml:space="preserve">will provide you with the following information:</w:t>
      </w:r>
    </w:p>
    <w:p>
      <w:pPr>
        <w:numPr>
          <w:ilvl w:val="0"/>
          <w:numId w:val="1001"/>
        </w:numPr>
        <w:pStyle w:val="Compact"/>
      </w:pPr>
      <w:r>
        <w:t xml:space="preserve">A general overview of the key concepts that will be addressed during</w:t>
      </w:r>
      <w:r>
        <w:t xml:space="preserve"> </w:t>
      </w:r>
      <w:r>
        <w:t xml:space="preserve">the unit.</w:t>
      </w:r>
    </w:p>
    <w:p>
      <w:pPr>
        <w:numPr>
          <w:ilvl w:val="0"/>
          <w:numId w:val="1001"/>
        </w:numPr>
        <w:pStyle w:val="Compact"/>
      </w:pPr>
      <w:r>
        <w:t xml:space="preserve">Specific learning outcomes and topics for the unit.</w:t>
      </w:r>
    </w:p>
    <w:p>
      <w:pPr>
        <w:numPr>
          <w:ilvl w:val="0"/>
          <w:numId w:val="1001"/>
        </w:numPr>
        <w:pStyle w:val="Compact"/>
      </w:pPr>
      <w:r>
        <w:t xml:space="preserve">Learning activities to help you engage with the concepts. These</w:t>
      </w:r>
      <w:r>
        <w:t xml:space="preserve"> </w:t>
      </w:r>
      <w:r>
        <w:t xml:space="preserve">often include key readings, videos, and reflective prompts.</w:t>
      </w:r>
    </w:p>
    <w:p>
      <w:pPr>
        <w:numPr>
          <w:ilvl w:val="0"/>
          <w:numId w:val="1001"/>
        </w:numPr>
        <w:pStyle w:val="Compact"/>
      </w:pPr>
      <w:r>
        <w:t xml:space="preserve">The Assessment section provides details on assignments you will need</w:t>
      </w:r>
      <w:r>
        <w:t xml:space="preserve"> </w:t>
      </w:r>
      <w:r>
        <w:t xml:space="preserve">to complete throughout the course to demonstrate your understanding</w:t>
      </w:r>
      <w:r>
        <w:t xml:space="preserve"> </w:t>
      </w:r>
      <w:r>
        <w:t xml:space="preserve">of the course learning outcomes.</w:t>
      </w:r>
    </w:p>
    <w:p>
      <w:pPr>
        <w:pStyle w:val="BlockText"/>
      </w:pPr>
      <w:r>
        <w:t xml:space="preserve">Note that assessments, including assignments and discussion posts will</w:t>
      </w:r>
      <w:r>
        <w:t xml:space="preserve"> </w:t>
      </w:r>
      <w:r>
        <w:t xml:space="preserve">be submitted in Moodle. See the Assessment section(s) in Moodle for</w:t>
      </w:r>
      <w:r>
        <w:t xml:space="preserve"> </w:t>
      </w:r>
      <w:r>
        <w:t xml:space="preserve">full assignment details.</w:t>
      </w:r>
    </w:p>
    <w:bookmarkEnd w:id="31"/>
    <w:bookmarkStart w:id="32" w:name="course-activities"/>
    <w:p>
      <w:pPr>
        <w:pStyle w:val="Heading3"/>
      </w:pPr>
      <w:r>
        <w:t xml:space="preserve">Course Activities</w:t>
      </w:r>
    </w:p>
    <w:p>
      <w:pPr>
        <w:pStyle w:val="FirstParagraph"/>
      </w:pPr>
      <w:r>
        <w:t xml:space="preserve">Below is some key information on features you will see throughout the</w:t>
      </w:r>
      <w:r>
        <w:t xml:space="preserve"> </w:t>
      </w:r>
      <w:r>
        <w:t xml:space="preserve">course.</w:t>
      </w:r>
    </w:p>
    <w:p>
      <w:pPr>
        <w:pStyle w:val="BodyText"/>
      </w:pPr>
      <w:r>
        <w:rPr>
          <w:iCs/>
          <w:i/>
          <w:bCs/>
          <w:b/>
        </w:rPr>
        <w:t xml:space="preserve">Learning Activity</w:t>
      </w:r>
    </w:p>
    <w:p>
      <w:pPr>
        <w:pStyle w:val="BodyText"/>
      </w:pPr>
      <w:r>
        <w:t xml:space="preserve">This box will prompt you to engage in course concepts, often by viewing</w:t>
      </w:r>
      <w:r>
        <w:t xml:space="preserve"> </w:t>
      </w:r>
      <w:r>
        <w:t xml:space="preserve">resources and reflecting on your experience and/or learning. Most</w:t>
      </w:r>
      <w:r>
        <w:t xml:space="preserve"> </w:t>
      </w:r>
      <w:r>
        <w:t xml:space="preserve">learning activities are ungraded and are designed to help prepare you</w:t>
      </w:r>
      <w:r>
        <w:t xml:space="preserve"> </w:t>
      </w:r>
      <w:r>
        <w:t xml:space="preserve">for the assessment in this course.</w:t>
      </w:r>
    </w:p>
    <w:p>
      <w:pPr>
        <w:pStyle w:val="BodyText"/>
      </w:pPr>
      <w:r>
        <w:rPr>
          <w:iCs/>
          <w:i/>
          <w:bCs/>
          <w:b/>
        </w:rPr>
        <w:t xml:space="preserve">Assessment</w:t>
      </w:r>
    </w:p>
    <w:p>
      <w:pPr>
        <w:pStyle w:val="BodyText"/>
      </w:pPr>
      <w:r>
        <w:t xml:space="preserve">This box will signify an assignment or discussion post you will submit</w:t>
      </w:r>
      <w:r>
        <w:t xml:space="preserve"> </w:t>
      </w:r>
      <w:r>
        <w:t xml:space="preserve">in Moodle. Note that these demonstrate your understanding of the course</w:t>
      </w:r>
      <w:r>
        <w:t xml:space="preserve"> </w:t>
      </w:r>
      <w:r>
        <w:t xml:space="preserve">learning outcomes. Be sure to review the grading rubrics for each</w:t>
      </w:r>
      <w:r>
        <w:t xml:space="preserve"> </w:t>
      </w:r>
      <w:r>
        <w:t xml:space="preserve">assignment.</w:t>
      </w:r>
    </w:p>
    <w:p>
      <w:pPr>
        <w:pStyle w:val="BodyText"/>
      </w:pPr>
      <w:r>
        <w:rPr>
          <w:iCs/>
          <w:i/>
          <w:bCs/>
          <w:b/>
        </w:rPr>
        <w:t xml:space="preserve">Checking Your Learning</w:t>
      </w:r>
    </w:p>
    <w:p>
      <w:pPr>
        <w:pStyle w:val="BodyText"/>
      </w:pPr>
      <w:r>
        <w:t xml:space="preserve">This box is for checking your understanding, to make sure you are ready</w:t>
      </w:r>
      <w:r>
        <w:t xml:space="preserve"> </w:t>
      </w:r>
      <w:r>
        <w:t xml:space="preserve">for what follows. Ways to check your learning might include self-check</w:t>
      </w:r>
      <w:r>
        <w:t xml:space="preserve"> </w:t>
      </w:r>
      <w:r>
        <w:t xml:space="preserve">quizzes or questions for discussion. These activities are not graded but</w:t>
      </w:r>
      <w:r>
        <w:t xml:space="preserve"> </w:t>
      </w:r>
      <w:r>
        <w:t xml:space="preserve">are critical for you to be able to begin to develop evaluative judgement</w:t>
      </w:r>
      <w:r>
        <w:t xml:space="preserve"> </w:t>
      </w:r>
      <w:r>
        <w:t xml:space="preserve">in this domain of knowledge.</w:t>
      </w:r>
    </w:p>
    <w:p>
      <w:pPr>
        <w:pStyle w:val="BodyText"/>
      </w:pPr>
      <w:r>
        <w:rPr>
          <w:iCs/>
          <w:i/>
          <w:bCs/>
          <w:b/>
        </w:rPr>
        <w:t xml:space="preserve">Note</w:t>
      </w:r>
    </w:p>
    <w:p>
      <w:pPr>
        <w:pStyle w:val="BodyText"/>
      </w:pPr>
      <w:r>
        <w:t xml:space="preserve">This box signifies key notes. It may also warn you of possible problems</w:t>
      </w:r>
      <w:r>
        <w:t xml:space="preserve"> </w:t>
      </w:r>
      <w:r>
        <w:t xml:space="preserve">or pitfalls you may encounter!</w:t>
      </w:r>
    </w:p>
    <w:p>
      <w:pPr>
        <w:pStyle w:val="BodyText"/>
      </w:pPr>
      <w:r>
        <w:t xml:space="preserve">If you have any questions, do not hesitate to ask. We are here to help</w:t>
      </w:r>
      <w:r>
        <w:t xml:space="preserve"> </w:t>
      </w:r>
      <w:r>
        <w:t xml:space="preserve">and be your guide on this journey.</w:t>
      </w:r>
    </w:p>
    <w:bookmarkEnd w:id="32"/>
    <w:bookmarkEnd w:id="33"/>
    <w:bookmarkEnd w:id="34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20" Target="mailto:elearning@twu.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elearning@twu.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2024-03-28T17:11:43Z</dcterms:created>
  <dcterms:modified xsi:type="dcterms:W3CDTF">2024-03-28T17:11:43Z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