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A73A0" w:rsidRDefault="00DA73A0">
      <w:pPr>
        <w:pStyle w:val="Heading1"/>
      </w:pPr>
      <w:r>
        <w:t>Intro</w:t>
      </w:r>
    </w:p>
    <w:p w:rsidR="00DA73A0" w:rsidRDefault="00DA73A0">
      <w:pPr>
        <w:pStyle w:val="Heading2"/>
      </w:pPr>
      <w:r>
        <w:t>Welcome to LDRS 667 Practicum: Personal and Professional Practice and Reflection</w:t>
      </w:r>
    </w:p>
    <w:p w:rsidR="00DA73A0" w:rsidRDefault="00DA73A0">
      <w:pPr>
        <w:pStyle w:val="Heading3"/>
      </w:pPr>
      <w:r>
        <w:t>Course Description</w:t>
      </w:r>
    </w:p>
    <w:p w:rsidR="00DA73A0" w:rsidRDefault="00DA73A0">
      <w:pPr>
        <w:pStyle w:val="FirstParagraph"/>
      </w:pPr>
      <w:r>
        <w:t>This course provides students with a practical setting in which to apply what they have learned in the Certificate in Coaching and Facilitation. Using reflective practice, learners apply learning theory, assessment theory, facilitation practices, and cross-cultural competency, in a professional learning facilitation setting. The practicum must be with a supervised business, non-profit agency, social service agency, or institution related to the student’s personal interests and future plans.</w:t>
      </w:r>
    </w:p>
    <w:p w:rsidR="00DA73A0" w:rsidRDefault="00DA73A0">
      <w:pPr>
        <w:pStyle w:val="BodyText"/>
      </w:pPr>
      <w:r>
        <w:rPr>
          <w:b/>
          <w:bCs/>
        </w:rPr>
        <w:t>Prior to the start of course, students will complete the following:</w:t>
      </w:r>
    </w:p>
    <w:p w:rsidR="00DA73A0" w:rsidRDefault="00DA73A0" w:rsidP="00DA73A0">
      <w:pPr>
        <w:pStyle w:val="Compact"/>
        <w:numPr>
          <w:ilvl w:val="0"/>
          <w:numId w:val="1"/>
        </w:numPr>
      </w:pPr>
      <w:r>
        <w:t>Secure a practicum site</w:t>
      </w:r>
    </w:p>
    <w:p w:rsidR="00DA73A0" w:rsidRDefault="00DA73A0" w:rsidP="00DA73A0">
      <w:pPr>
        <w:pStyle w:val="Compact"/>
        <w:numPr>
          <w:ilvl w:val="0"/>
          <w:numId w:val="1"/>
        </w:numPr>
      </w:pPr>
      <w:r>
        <w:t>Secure a mentor at the practicum site</w:t>
      </w:r>
    </w:p>
    <w:p w:rsidR="00DA73A0" w:rsidRDefault="00DA73A0" w:rsidP="00DA73A0">
      <w:pPr>
        <w:pStyle w:val="Compact"/>
        <w:numPr>
          <w:ilvl w:val="0"/>
          <w:numId w:val="1"/>
        </w:numPr>
      </w:pPr>
      <w:r>
        <w:t>Submit a Practicum Proposal to the practicum instructor</w:t>
      </w:r>
    </w:p>
    <w:p w:rsidR="00DA73A0" w:rsidRDefault="00DA73A0">
      <w:pPr>
        <w:pStyle w:val="Heading3"/>
      </w:pPr>
      <w:r>
        <w:t>Learning Outcomes</w:t>
      </w:r>
    </w:p>
    <w:p w:rsidR="00DA73A0" w:rsidRDefault="00DA73A0">
      <w:pPr>
        <w:pStyle w:val="FirstParagraph"/>
      </w:pPr>
      <w:r>
        <w:t>Upon successful completion of this course, students should be able to:</w:t>
      </w:r>
    </w:p>
    <w:p w:rsidR="00DA73A0" w:rsidRDefault="00DA73A0" w:rsidP="00DA73A0">
      <w:pPr>
        <w:pStyle w:val="Compact"/>
        <w:numPr>
          <w:ilvl w:val="0"/>
          <w:numId w:val="2"/>
        </w:numPr>
      </w:pPr>
      <w:r>
        <w:t>Synthesize adult learning theory with practical experience facilitating or teaching</w:t>
      </w:r>
      <w:r>
        <w:br/>
      </w:r>
    </w:p>
    <w:p w:rsidR="00DA73A0" w:rsidRDefault="00DA73A0" w:rsidP="00DA73A0">
      <w:pPr>
        <w:pStyle w:val="Compact"/>
        <w:numPr>
          <w:ilvl w:val="0"/>
          <w:numId w:val="2"/>
        </w:numPr>
      </w:pPr>
      <w:r>
        <w:t>Design authentic and inclusive learning experiences</w:t>
      </w:r>
    </w:p>
    <w:p w:rsidR="00DA73A0" w:rsidRDefault="00DA73A0" w:rsidP="00DA73A0">
      <w:pPr>
        <w:pStyle w:val="Compact"/>
        <w:numPr>
          <w:ilvl w:val="0"/>
          <w:numId w:val="2"/>
        </w:numPr>
      </w:pPr>
      <w:r>
        <w:t>Demonstrate effective teaching/facilitation skills to support critical and creative thinking</w:t>
      </w:r>
    </w:p>
    <w:p w:rsidR="00DA73A0" w:rsidRDefault="00DA73A0" w:rsidP="00DA73A0">
      <w:pPr>
        <w:pStyle w:val="Compact"/>
        <w:numPr>
          <w:ilvl w:val="0"/>
          <w:numId w:val="2"/>
        </w:numPr>
      </w:pPr>
      <w:r>
        <w:t>Integrate cross-cultural competency into the teaching/learning process</w:t>
      </w:r>
    </w:p>
    <w:p w:rsidR="00DA73A0" w:rsidRDefault="00DA73A0" w:rsidP="00DA73A0">
      <w:pPr>
        <w:pStyle w:val="Compact"/>
        <w:numPr>
          <w:ilvl w:val="0"/>
          <w:numId w:val="2"/>
        </w:numPr>
      </w:pPr>
      <w:r>
        <w:t>Apply assessment strategies to measure student learning</w:t>
      </w:r>
    </w:p>
    <w:p w:rsidR="00DA73A0" w:rsidRDefault="00DA73A0" w:rsidP="00DA73A0">
      <w:pPr>
        <w:pStyle w:val="Compact"/>
        <w:numPr>
          <w:ilvl w:val="0"/>
          <w:numId w:val="2"/>
        </w:numPr>
      </w:pPr>
      <w:r>
        <w:t>Synthesize personal identity, values, and beliefs into the facilitation and teaching process</w:t>
      </w:r>
    </w:p>
    <w:p w:rsidR="00DA73A0" w:rsidRDefault="00DA73A0" w:rsidP="00DA73A0">
      <w:pPr>
        <w:pStyle w:val="Compact"/>
        <w:numPr>
          <w:ilvl w:val="0"/>
          <w:numId w:val="2"/>
        </w:numPr>
      </w:pPr>
      <w:r>
        <w:t>Engage in reflective practice within a facilitation/teaching role</w:t>
      </w:r>
    </w:p>
    <w:p w:rsidR="00DA73A0" w:rsidRDefault="00DA73A0">
      <w:pPr>
        <w:pStyle w:val="Heading3"/>
      </w:pPr>
      <w:r>
        <w:t>Assessment Summary</w:t>
      </w:r>
    </w:p>
    <w:tbl>
      <w:tblPr>
        <w:tblStyle w:val="Table"/>
        <w:tblW w:w="5000" w:type="pct"/>
        <w:tblLayout w:type="fixed"/>
        <w:tblLook w:val="0020" w:firstRow="1" w:lastRow="0" w:firstColumn="0" w:lastColumn="0" w:noHBand="0" w:noVBand="0"/>
      </w:tblPr>
      <w:tblGrid>
        <w:gridCol w:w="3010"/>
        <w:gridCol w:w="2741"/>
        <w:gridCol w:w="1666"/>
        <w:gridCol w:w="1666"/>
        <w:gridCol w:w="277"/>
      </w:tblGrid>
      <w:tr w:rsidR="00DA73A0" w:rsidTr="00F342EB">
        <w:trPr>
          <w:cnfStyle w:val="100000000000" w:firstRow="1" w:lastRow="0" w:firstColumn="0" w:lastColumn="0" w:oddVBand="0" w:evenVBand="0" w:oddHBand="0" w:evenHBand="0" w:firstRowFirstColumn="0" w:firstRowLastColumn="0" w:lastRowFirstColumn="0" w:lastRowLastColumn="0"/>
          <w:tblHeader/>
        </w:trPr>
        <w:tc>
          <w:tcPr>
            <w:tcW w:w="2563" w:type="dxa"/>
          </w:tcPr>
          <w:p w:rsidR="00DA73A0" w:rsidRDefault="00DA73A0">
            <w:pPr>
              <w:pStyle w:val="Compact"/>
            </w:pPr>
            <w:r>
              <w:t>Unit</w:t>
            </w:r>
          </w:p>
        </w:tc>
        <w:tc>
          <w:tcPr>
            <w:tcW w:w="2334" w:type="dxa"/>
          </w:tcPr>
          <w:p w:rsidR="00DA73A0" w:rsidRDefault="00DA73A0">
            <w:pPr>
              <w:pStyle w:val="Compact"/>
            </w:pPr>
            <w:r>
              <w:t>Learning Assessment</w:t>
            </w:r>
          </w:p>
        </w:tc>
        <w:tc>
          <w:tcPr>
            <w:tcW w:w="1419" w:type="dxa"/>
          </w:tcPr>
          <w:p w:rsidR="00DA73A0" w:rsidRDefault="00DA73A0">
            <w:pPr>
              <w:pStyle w:val="Compact"/>
            </w:pPr>
            <w:r>
              <w:t>Value</w:t>
            </w:r>
          </w:p>
        </w:tc>
        <w:tc>
          <w:tcPr>
            <w:tcW w:w="1419" w:type="dxa"/>
          </w:tcPr>
          <w:p w:rsidR="00DA73A0" w:rsidRDefault="00DA73A0">
            <w:pPr>
              <w:pStyle w:val="Compact"/>
            </w:pPr>
          </w:p>
        </w:tc>
        <w:tc>
          <w:tcPr>
            <w:tcW w:w="183" w:type="dxa"/>
          </w:tcPr>
          <w:p w:rsidR="00DA73A0" w:rsidRDefault="00DA73A0">
            <w:pPr>
              <w:pStyle w:val="Compact"/>
            </w:pPr>
          </w:p>
        </w:tc>
      </w:tr>
      <w:tr w:rsidR="00DA73A0">
        <w:tc>
          <w:tcPr>
            <w:tcW w:w="2563" w:type="dxa"/>
          </w:tcPr>
          <w:p w:rsidR="00DA73A0" w:rsidRDefault="00DA73A0">
            <w:pPr>
              <w:pStyle w:val="Compact"/>
            </w:pPr>
            <w:r>
              <w:rPr>
                <w:b/>
                <w:bCs/>
              </w:rPr>
              <w:t>Unit 1:</w:t>
            </w:r>
            <w:r>
              <w:t xml:space="preserve"> Developing a Reflective Practice</w:t>
            </w:r>
          </w:p>
        </w:tc>
        <w:tc>
          <w:tcPr>
            <w:tcW w:w="2334" w:type="dxa"/>
          </w:tcPr>
          <w:p w:rsidR="00DA73A0" w:rsidRDefault="00DA73A0">
            <w:pPr>
              <w:pStyle w:val="Compact"/>
            </w:pPr>
            <w:r>
              <w:t>Practicum Proposal</w:t>
            </w:r>
          </w:p>
        </w:tc>
        <w:tc>
          <w:tcPr>
            <w:tcW w:w="1419" w:type="dxa"/>
          </w:tcPr>
          <w:p w:rsidR="00DA73A0" w:rsidRDefault="00DA73A0">
            <w:pPr>
              <w:pStyle w:val="Compact"/>
            </w:pPr>
            <w:r>
              <w:t>10%</w:t>
            </w:r>
          </w:p>
        </w:tc>
        <w:tc>
          <w:tcPr>
            <w:tcW w:w="1419" w:type="dxa"/>
          </w:tcPr>
          <w:p w:rsidR="00DA73A0" w:rsidRDefault="00DA73A0">
            <w:pPr>
              <w:pStyle w:val="Compact"/>
            </w:pPr>
          </w:p>
        </w:tc>
        <w:tc>
          <w:tcPr>
            <w:tcW w:w="183" w:type="dxa"/>
          </w:tcPr>
          <w:p w:rsidR="00DA73A0" w:rsidRDefault="00DA73A0">
            <w:pPr>
              <w:pStyle w:val="Compact"/>
            </w:pPr>
          </w:p>
        </w:tc>
      </w:tr>
      <w:tr w:rsidR="00DA73A0">
        <w:tc>
          <w:tcPr>
            <w:tcW w:w="2563" w:type="dxa"/>
          </w:tcPr>
          <w:p w:rsidR="00DA73A0" w:rsidRDefault="00DA73A0">
            <w:pPr>
              <w:pStyle w:val="Compact"/>
            </w:pPr>
            <w:r>
              <w:rPr>
                <w:b/>
                <w:bCs/>
              </w:rPr>
              <w:t>Unit 2:</w:t>
            </w:r>
            <w:r>
              <w:t xml:space="preserve"> Classroom Observation</w:t>
            </w:r>
          </w:p>
        </w:tc>
        <w:tc>
          <w:tcPr>
            <w:tcW w:w="2334" w:type="dxa"/>
          </w:tcPr>
          <w:p w:rsidR="00DA73A0" w:rsidRDefault="00DA73A0">
            <w:pPr>
              <w:pStyle w:val="Compact"/>
            </w:pPr>
            <w:r>
              <w:t>Reflective Practice Comment 1</w:t>
            </w:r>
          </w:p>
        </w:tc>
        <w:tc>
          <w:tcPr>
            <w:tcW w:w="1419" w:type="dxa"/>
          </w:tcPr>
          <w:p w:rsidR="00DA73A0" w:rsidRDefault="00DA73A0">
            <w:pPr>
              <w:pStyle w:val="Compact"/>
            </w:pPr>
            <w:r>
              <w:t>Reflective Practice Comment 3</w:t>
            </w:r>
          </w:p>
        </w:tc>
        <w:tc>
          <w:tcPr>
            <w:tcW w:w="1419" w:type="dxa"/>
          </w:tcPr>
          <w:p w:rsidR="00DA73A0" w:rsidRDefault="00DA73A0">
            <w:pPr>
              <w:pStyle w:val="Compact"/>
            </w:pPr>
            <w:r>
              <w:t>Reflective Practice Comment 4</w:t>
            </w:r>
          </w:p>
        </w:tc>
        <w:tc>
          <w:tcPr>
            <w:tcW w:w="183" w:type="dxa"/>
          </w:tcPr>
          <w:p w:rsidR="00DA73A0" w:rsidRDefault="00DA73A0">
            <w:pPr>
              <w:pStyle w:val="Compact"/>
            </w:pPr>
            <w:r>
              <w:t>5%</w:t>
            </w:r>
          </w:p>
        </w:tc>
      </w:tr>
      <w:tr w:rsidR="00DA73A0">
        <w:tc>
          <w:tcPr>
            <w:tcW w:w="2563" w:type="dxa"/>
          </w:tcPr>
          <w:p w:rsidR="00DA73A0" w:rsidRDefault="00DA73A0">
            <w:pPr>
              <w:pStyle w:val="Compact"/>
            </w:pPr>
          </w:p>
        </w:tc>
        <w:tc>
          <w:tcPr>
            <w:tcW w:w="2334" w:type="dxa"/>
          </w:tcPr>
          <w:p w:rsidR="00DA73A0" w:rsidRDefault="00DA73A0">
            <w:pPr>
              <w:pStyle w:val="Compact"/>
            </w:pPr>
            <w:r>
              <w:t>Reflective Practice Comment 2</w:t>
            </w:r>
          </w:p>
        </w:tc>
        <w:tc>
          <w:tcPr>
            <w:tcW w:w="1419" w:type="dxa"/>
          </w:tcPr>
          <w:p w:rsidR="00DA73A0" w:rsidRDefault="00DA73A0">
            <w:pPr>
              <w:pStyle w:val="Compact"/>
            </w:pPr>
          </w:p>
        </w:tc>
        <w:tc>
          <w:tcPr>
            <w:tcW w:w="1419" w:type="dxa"/>
          </w:tcPr>
          <w:p w:rsidR="00DA73A0" w:rsidRDefault="00DA73A0">
            <w:pPr>
              <w:pStyle w:val="Compact"/>
            </w:pPr>
          </w:p>
        </w:tc>
        <w:tc>
          <w:tcPr>
            <w:tcW w:w="183" w:type="dxa"/>
          </w:tcPr>
          <w:p w:rsidR="00DA73A0" w:rsidRDefault="00DA73A0">
            <w:pPr>
              <w:pStyle w:val="Compact"/>
            </w:pPr>
            <w:r>
              <w:t>5%</w:t>
            </w:r>
          </w:p>
        </w:tc>
      </w:tr>
      <w:tr w:rsidR="00DA73A0">
        <w:tc>
          <w:tcPr>
            <w:tcW w:w="2563" w:type="dxa"/>
          </w:tcPr>
          <w:p w:rsidR="00DA73A0" w:rsidRDefault="00DA73A0">
            <w:pPr>
              <w:pStyle w:val="Compact"/>
            </w:pPr>
          </w:p>
        </w:tc>
        <w:tc>
          <w:tcPr>
            <w:tcW w:w="2334" w:type="dxa"/>
          </w:tcPr>
          <w:p w:rsidR="00DA73A0" w:rsidRDefault="00DA73A0">
            <w:pPr>
              <w:pStyle w:val="Compact"/>
            </w:pPr>
          </w:p>
        </w:tc>
        <w:tc>
          <w:tcPr>
            <w:tcW w:w="1419" w:type="dxa"/>
          </w:tcPr>
          <w:p w:rsidR="00DA73A0" w:rsidRDefault="00DA73A0">
            <w:pPr>
              <w:pStyle w:val="Compact"/>
            </w:pPr>
          </w:p>
        </w:tc>
        <w:tc>
          <w:tcPr>
            <w:tcW w:w="1419" w:type="dxa"/>
          </w:tcPr>
          <w:p w:rsidR="00DA73A0" w:rsidRDefault="00DA73A0">
            <w:pPr>
              <w:pStyle w:val="Compact"/>
            </w:pPr>
          </w:p>
        </w:tc>
        <w:tc>
          <w:tcPr>
            <w:tcW w:w="183" w:type="dxa"/>
          </w:tcPr>
          <w:p w:rsidR="00DA73A0" w:rsidRDefault="00DA73A0">
            <w:pPr>
              <w:pStyle w:val="Compact"/>
            </w:pPr>
            <w:r>
              <w:t>5%</w:t>
            </w:r>
          </w:p>
        </w:tc>
      </w:tr>
      <w:tr w:rsidR="00DA73A0">
        <w:tc>
          <w:tcPr>
            <w:tcW w:w="2563" w:type="dxa"/>
          </w:tcPr>
          <w:p w:rsidR="00DA73A0" w:rsidRDefault="00DA73A0">
            <w:pPr>
              <w:pStyle w:val="Compact"/>
            </w:pPr>
          </w:p>
        </w:tc>
        <w:tc>
          <w:tcPr>
            <w:tcW w:w="2334" w:type="dxa"/>
          </w:tcPr>
          <w:p w:rsidR="00DA73A0" w:rsidRDefault="00DA73A0">
            <w:pPr>
              <w:pStyle w:val="Compact"/>
            </w:pPr>
          </w:p>
        </w:tc>
        <w:tc>
          <w:tcPr>
            <w:tcW w:w="1419" w:type="dxa"/>
          </w:tcPr>
          <w:p w:rsidR="00DA73A0" w:rsidRDefault="00DA73A0">
            <w:pPr>
              <w:pStyle w:val="Compact"/>
            </w:pPr>
          </w:p>
        </w:tc>
        <w:tc>
          <w:tcPr>
            <w:tcW w:w="1419" w:type="dxa"/>
          </w:tcPr>
          <w:p w:rsidR="00DA73A0" w:rsidRDefault="00DA73A0">
            <w:pPr>
              <w:pStyle w:val="Compact"/>
            </w:pPr>
          </w:p>
        </w:tc>
        <w:tc>
          <w:tcPr>
            <w:tcW w:w="183" w:type="dxa"/>
          </w:tcPr>
          <w:p w:rsidR="00DA73A0" w:rsidRDefault="00DA73A0">
            <w:pPr>
              <w:pStyle w:val="Compact"/>
            </w:pPr>
            <w:r>
              <w:t>5%</w:t>
            </w:r>
          </w:p>
        </w:tc>
      </w:tr>
      <w:tr w:rsidR="00DA73A0">
        <w:tc>
          <w:tcPr>
            <w:tcW w:w="2563" w:type="dxa"/>
          </w:tcPr>
          <w:p w:rsidR="00DA73A0" w:rsidRDefault="00DA73A0">
            <w:pPr>
              <w:pStyle w:val="Compact"/>
            </w:pPr>
            <w:r>
              <w:rPr>
                <w:b/>
                <w:bCs/>
              </w:rPr>
              <w:t>Units 3 &amp; 4:</w:t>
            </w:r>
            <w:r>
              <w:t xml:space="preserve"> Designing Learning: Teaching/Facilitating</w:t>
            </w:r>
          </w:p>
        </w:tc>
        <w:tc>
          <w:tcPr>
            <w:tcW w:w="2334" w:type="dxa"/>
          </w:tcPr>
          <w:p w:rsidR="00DA73A0" w:rsidRDefault="00DA73A0">
            <w:pPr>
              <w:pStyle w:val="Compact"/>
            </w:pPr>
            <w:r>
              <w:t>Lesson Plan 1</w:t>
            </w:r>
          </w:p>
        </w:tc>
        <w:tc>
          <w:tcPr>
            <w:tcW w:w="1419" w:type="dxa"/>
          </w:tcPr>
          <w:p w:rsidR="00DA73A0" w:rsidRDefault="00DA73A0">
            <w:pPr>
              <w:pStyle w:val="Compact"/>
            </w:pPr>
            <w:r>
              <w:t>10%</w:t>
            </w:r>
          </w:p>
        </w:tc>
        <w:tc>
          <w:tcPr>
            <w:tcW w:w="1419" w:type="dxa"/>
          </w:tcPr>
          <w:p w:rsidR="00DA73A0" w:rsidRDefault="00DA73A0">
            <w:pPr>
              <w:pStyle w:val="Compact"/>
            </w:pPr>
          </w:p>
        </w:tc>
        <w:tc>
          <w:tcPr>
            <w:tcW w:w="183" w:type="dxa"/>
          </w:tcPr>
          <w:p w:rsidR="00DA73A0" w:rsidRDefault="00DA73A0">
            <w:pPr>
              <w:pStyle w:val="Compact"/>
            </w:pPr>
          </w:p>
        </w:tc>
      </w:tr>
      <w:tr w:rsidR="00DA73A0">
        <w:tc>
          <w:tcPr>
            <w:tcW w:w="2563" w:type="dxa"/>
          </w:tcPr>
          <w:p w:rsidR="00DA73A0" w:rsidRDefault="00DA73A0">
            <w:pPr>
              <w:pStyle w:val="Compact"/>
            </w:pPr>
          </w:p>
        </w:tc>
        <w:tc>
          <w:tcPr>
            <w:tcW w:w="2334" w:type="dxa"/>
          </w:tcPr>
          <w:p w:rsidR="00DA73A0" w:rsidRDefault="00DA73A0">
            <w:pPr>
              <w:pStyle w:val="Compact"/>
            </w:pPr>
            <w:r>
              <w:t>Lesson Plan 2</w:t>
            </w:r>
          </w:p>
        </w:tc>
        <w:tc>
          <w:tcPr>
            <w:tcW w:w="1419" w:type="dxa"/>
          </w:tcPr>
          <w:p w:rsidR="00DA73A0" w:rsidRDefault="00DA73A0">
            <w:pPr>
              <w:pStyle w:val="Compact"/>
            </w:pPr>
            <w:r>
              <w:t>10%</w:t>
            </w:r>
          </w:p>
        </w:tc>
        <w:tc>
          <w:tcPr>
            <w:tcW w:w="1419" w:type="dxa"/>
          </w:tcPr>
          <w:p w:rsidR="00DA73A0" w:rsidRDefault="00DA73A0">
            <w:pPr>
              <w:pStyle w:val="Compact"/>
            </w:pPr>
          </w:p>
        </w:tc>
        <w:tc>
          <w:tcPr>
            <w:tcW w:w="183" w:type="dxa"/>
          </w:tcPr>
          <w:p w:rsidR="00DA73A0" w:rsidRDefault="00DA73A0">
            <w:pPr>
              <w:pStyle w:val="Compact"/>
            </w:pPr>
          </w:p>
        </w:tc>
      </w:tr>
      <w:tr w:rsidR="00DA73A0">
        <w:tc>
          <w:tcPr>
            <w:tcW w:w="2563" w:type="dxa"/>
          </w:tcPr>
          <w:p w:rsidR="00DA73A0" w:rsidRDefault="00DA73A0">
            <w:pPr>
              <w:pStyle w:val="Compact"/>
            </w:pPr>
          </w:p>
        </w:tc>
        <w:tc>
          <w:tcPr>
            <w:tcW w:w="2334" w:type="dxa"/>
          </w:tcPr>
          <w:p w:rsidR="00DA73A0" w:rsidRDefault="00DA73A0">
            <w:pPr>
              <w:pStyle w:val="Compact"/>
            </w:pPr>
            <w:r>
              <w:t>Lesson Plan 3</w:t>
            </w:r>
          </w:p>
        </w:tc>
        <w:tc>
          <w:tcPr>
            <w:tcW w:w="1419" w:type="dxa"/>
          </w:tcPr>
          <w:p w:rsidR="00DA73A0" w:rsidRDefault="00DA73A0">
            <w:pPr>
              <w:pStyle w:val="Compact"/>
            </w:pPr>
            <w:r>
              <w:t>10%</w:t>
            </w:r>
          </w:p>
        </w:tc>
        <w:tc>
          <w:tcPr>
            <w:tcW w:w="1419" w:type="dxa"/>
          </w:tcPr>
          <w:p w:rsidR="00DA73A0" w:rsidRDefault="00DA73A0">
            <w:pPr>
              <w:pStyle w:val="Compact"/>
            </w:pPr>
          </w:p>
        </w:tc>
        <w:tc>
          <w:tcPr>
            <w:tcW w:w="183" w:type="dxa"/>
          </w:tcPr>
          <w:p w:rsidR="00DA73A0" w:rsidRDefault="00DA73A0">
            <w:pPr>
              <w:pStyle w:val="Compact"/>
            </w:pPr>
          </w:p>
        </w:tc>
      </w:tr>
      <w:tr w:rsidR="00DA73A0">
        <w:tc>
          <w:tcPr>
            <w:tcW w:w="2563" w:type="dxa"/>
          </w:tcPr>
          <w:p w:rsidR="00DA73A0" w:rsidRDefault="00DA73A0">
            <w:pPr>
              <w:pStyle w:val="Compact"/>
            </w:pPr>
          </w:p>
        </w:tc>
        <w:tc>
          <w:tcPr>
            <w:tcW w:w="2334" w:type="dxa"/>
          </w:tcPr>
          <w:p w:rsidR="00DA73A0" w:rsidRDefault="00DA73A0">
            <w:pPr>
              <w:pStyle w:val="Compact"/>
            </w:pPr>
            <w:r>
              <w:t>Reflective Practice Learning Activities: 8, 9, 10</w:t>
            </w:r>
          </w:p>
        </w:tc>
        <w:tc>
          <w:tcPr>
            <w:tcW w:w="1419" w:type="dxa"/>
          </w:tcPr>
          <w:p w:rsidR="00DA73A0" w:rsidRDefault="00DA73A0">
            <w:pPr>
              <w:pStyle w:val="Compact"/>
            </w:pPr>
            <w:r>
              <w:t>24%</w:t>
            </w:r>
          </w:p>
        </w:tc>
        <w:tc>
          <w:tcPr>
            <w:tcW w:w="1419" w:type="dxa"/>
          </w:tcPr>
          <w:p w:rsidR="00DA73A0" w:rsidRDefault="00DA73A0">
            <w:pPr>
              <w:pStyle w:val="Compact"/>
            </w:pPr>
          </w:p>
        </w:tc>
        <w:tc>
          <w:tcPr>
            <w:tcW w:w="183" w:type="dxa"/>
          </w:tcPr>
          <w:p w:rsidR="00DA73A0" w:rsidRDefault="00DA73A0">
            <w:pPr>
              <w:pStyle w:val="Compact"/>
            </w:pPr>
          </w:p>
        </w:tc>
      </w:tr>
      <w:tr w:rsidR="00DA73A0">
        <w:tc>
          <w:tcPr>
            <w:tcW w:w="2563" w:type="dxa"/>
          </w:tcPr>
          <w:p w:rsidR="00DA73A0" w:rsidRDefault="00DA73A0">
            <w:pPr>
              <w:pStyle w:val="Compact"/>
            </w:pPr>
            <w:r>
              <w:rPr>
                <w:b/>
                <w:bCs/>
              </w:rPr>
              <w:t>Unit 5:</w:t>
            </w:r>
            <w:r>
              <w:t xml:space="preserve"> Summative Reflective Practice</w:t>
            </w:r>
          </w:p>
        </w:tc>
        <w:tc>
          <w:tcPr>
            <w:tcW w:w="2334" w:type="dxa"/>
          </w:tcPr>
          <w:p w:rsidR="00DA73A0" w:rsidRDefault="00DA73A0">
            <w:pPr>
              <w:pStyle w:val="Compact"/>
            </w:pPr>
            <w:r>
              <w:t>Practicum Portfolio</w:t>
            </w:r>
          </w:p>
        </w:tc>
        <w:tc>
          <w:tcPr>
            <w:tcW w:w="1419" w:type="dxa"/>
          </w:tcPr>
          <w:p w:rsidR="00DA73A0" w:rsidRDefault="00DA73A0">
            <w:pPr>
              <w:pStyle w:val="Compact"/>
            </w:pPr>
            <w:r>
              <w:t>16%</w:t>
            </w:r>
          </w:p>
        </w:tc>
        <w:tc>
          <w:tcPr>
            <w:tcW w:w="1419" w:type="dxa"/>
          </w:tcPr>
          <w:p w:rsidR="00DA73A0" w:rsidRDefault="00DA73A0">
            <w:pPr>
              <w:pStyle w:val="Compact"/>
            </w:pPr>
          </w:p>
        </w:tc>
        <w:tc>
          <w:tcPr>
            <w:tcW w:w="183" w:type="dxa"/>
          </w:tcPr>
          <w:p w:rsidR="00DA73A0" w:rsidRDefault="00DA73A0">
            <w:pPr>
              <w:pStyle w:val="Compact"/>
            </w:pPr>
          </w:p>
        </w:tc>
      </w:tr>
      <w:tr w:rsidR="00DA73A0">
        <w:tc>
          <w:tcPr>
            <w:tcW w:w="2563" w:type="dxa"/>
          </w:tcPr>
          <w:p w:rsidR="00DA73A0" w:rsidRDefault="00DA73A0">
            <w:pPr>
              <w:pStyle w:val="Compact"/>
            </w:pPr>
          </w:p>
        </w:tc>
        <w:tc>
          <w:tcPr>
            <w:tcW w:w="2334" w:type="dxa"/>
          </w:tcPr>
          <w:p w:rsidR="00DA73A0" w:rsidRDefault="00DA73A0">
            <w:pPr>
              <w:pStyle w:val="Compact"/>
            </w:pPr>
            <w:r>
              <w:t>Total</w:t>
            </w:r>
          </w:p>
        </w:tc>
        <w:tc>
          <w:tcPr>
            <w:tcW w:w="1419" w:type="dxa"/>
          </w:tcPr>
          <w:p w:rsidR="00DA73A0" w:rsidRDefault="00DA73A0">
            <w:pPr>
              <w:pStyle w:val="Compact"/>
            </w:pPr>
            <w:r>
              <w:t>100%</w:t>
            </w:r>
          </w:p>
        </w:tc>
        <w:tc>
          <w:tcPr>
            <w:tcW w:w="1419" w:type="dxa"/>
          </w:tcPr>
          <w:p w:rsidR="00DA73A0" w:rsidRDefault="00DA73A0">
            <w:pPr>
              <w:pStyle w:val="Compact"/>
            </w:pPr>
          </w:p>
        </w:tc>
        <w:tc>
          <w:tcPr>
            <w:tcW w:w="183" w:type="dxa"/>
          </w:tcPr>
          <w:p w:rsidR="00DA73A0" w:rsidRDefault="00DA73A0">
            <w:pPr>
              <w:pStyle w:val="Compact"/>
            </w:pPr>
          </w:p>
        </w:tc>
      </w:tr>
    </w:tbl>
    <w:p w:rsidR="00DA73A0" w:rsidRDefault="00DA73A0">
      <w:pPr>
        <w:pStyle w:val="Heading3"/>
      </w:pPr>
      <w:r>
        <w:t>Texts and Reading Resources</w:t>
      </w:r>
    </w:p>
    <w:p w:rsidR="00DA73A0" w:rsidRDefault="00DA73A0">
      <w:pPr>
        <w:pStyle w:val="FirstParagraph"/>
      </w:pPr>
      <w:r>
        <w:t>All resources are available online and/or through the TWU Library.</w:t>
      </w:r>
    </w:p>
    <w:p w:rsidR="00DA73A0" w:rsidRDefault="00DA73A0">
      <w:pPr>
        <w:pStyle w:val="Heading3"/>
      </w:pPr>
      <w:r>
        <w:t>Practicum Overview</w:t>
      </w:r>
    </w:p>
    <w:p w:rsidR="00DA73A0" w:rsidRDefault="00DA73A0">
      <w:pPr>
        <w:pStyle w:val="FirstParagraph"/>
      </w:pPr>
      <w:r>
        <w:t>Students complete a site-based, experiential learning experience, integrating academic, professional, and personal learning experiences, while meeting an organization-based need for coaching/facilitation. Students will complete 20 hours of experiential learning in this setting, including a minimum of 10 hours of classroom observation and 10 hours of curriculum design and facilitation.</w:t>
      </w:r>
    </w:p>
    <w:p w:rsidR="00DA73A0" w:rsidRDefault="00DA73A0">
      <w:pPr>
        <w:pStyle w:val="BodyText"/>
      </w:pPr>
      <w:r>
        <w:t>Through experiential learning, students engage in a rich learning experience through which they demonstrate facilitation competencies and the application of scholarly learning within a practical setting. “Teaching and learning can become inherently spontaneous and student-centered when moved from the confines of the classroom into the world at large. From the collaborative learning atmosphere that results from the unique relationships developed outside the classroom, to the deep learning that occurs when students must put into practice ‘in the real world’ what they have theorized about from behind a desk, field experiences are unmatched in their learning potential” (Claiborne, Morrell, Bandy, &amp; Bruff, 2018).</w:t>
      </w:r>
    </w:p>
    <w:p w:rsidR="00DA73A0" w:rsidRDefault="00DA73A0">
      <w:pPr>
        <w:pStyle w:val="Heading3"/>
      </w:pPr>
      <w:r>
        <w:t>Assessment of Learning</w:t>
      </w:r>
    </w:p>
    <w:p w:rsidR="00DA73A0" w:rsidRDefault="00DA73A0">
      <w:pPr>
        <w:pStyle w:val="FirstParagraph"/>
      </w:pPr>
      <w:r>
        <w:t>Assessment of learning will include a Practicum Proposal, the design and implementation of lesson plans, and reflective practice assignments (discussions and final paper).</w:t>
      </w:r>
    </w:p>
    <w:p w:rsidR="00DA73A0" w:rsidRDefault="00DA73A0">
      <w:pPr>
        <w:pStyle w:val="BodyText"/>
      </w:pPr>
      <w:r>
        <w:t>Experiential learning integrates scholarly research and prior learning with practical experience in the practicum setting. All work submitted should reflect scholarly thinking and reflective practice, and should incorporate scholarly work with proper citations. APA format is required.</w:t>
      </w:r>
    </w:p>
    <w:p w:rsidR="00DA73A0" w:rsidRDefault="00DA73A0">
      <w:pPr>
        <w:pStyle w:val="BlockText"/>
      </w:pPr>
      <w:r>
        <w:t>It will be assumed that you have read, understand, and agree to the information provided at the ‘</w:t>
      </w:r>
      <w:hyperlink r:id="rId5">
        <w:r>
          <w:rPr>
            <w:rStyle w:val="Hyperlink"/>
          </w:rPr>
          <w:t>Academic Dishonesty Policy</w:t>
        </w:r>
      </w:hyperlink>
      <w:r>
        <w:t>’. If you have any questions at all please contact your instructor.</w:t>
      </w:r>
    </w:p>
    <w:p w:rsidR="00DA73A0" w:rsidRDefault="00DA73A0">
      <w:pPr>
        <w:pStyle w:val="Heading3"/>
      </w:pPr>
      <w:r>
        <w:t>Graduate Level Writing Standards</w:t>
      </w:r>
    </w:p>
    <w:p w:rsidR="00DA73A0" w:rsidRDefault="00DA73A0">
      <w:pPr>
        <w:pStyle w:val="FirstParagraph"/>
      </w:pPr>
      <w:r>
        <w:t xml:space="preserve">For students in 667, graduate level writing standards following APA 7 are expected. Please consult the </w:t>
      </w:r>
      <w:hyperlink r:id="rId6">
        <w:r>
          <w:rPr>
            <w:rStyle w:val="Hyperlink"/>
          </w:rPr>
          <w:t>OWL Purdue website</w:t>
        </w:r>
      </w:hyperlink>
      <w:r>
        <w:t xml:space="preserve"> for guidance and seek assistance from the TWU Writing Center and writing coaches as needed. Assignments have rubrics that attribute some marks to APA formatting and cannot be graded as fully meeting expectations if there are APA errors. That said, your conceptual understanding remains of primary importance. It is your responsibility to ensure polished work to the highest standard of which you are capable. This demands meticulous attention to detail, which will become more ‘natural’ with practice. Please seek any necessary clarification from your instructor.</w:t>
      </w:r>
    </w:p>
    <w:p w:rsidR="00DE42EA" w:rsidRDefault="00DE42EA"/>
    <w:sectPr w:rsidR="00DE42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99411"/>
    <w:multiLevelType w:val="multilevel"/>
    <w:tmpl w:val="D03297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413504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840623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3A0"/>
    <w:rsid w:val="0037388D"/>
    <w:rsid w:val="00DA73A0"/>
    <w:rsid w:val="00DE42EA"/>
    <w:rsid w:val="00E811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A0808A0-170F-8C44-8B8F-2355936B4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3A0"/>
    <w:rPr>
      <w:rFonts w:eastAsiaTheme="majorEastAsia" w:cstheme="majorBidi"/>
      <w:color w:val="272727" w:themeColor="text1" w:themeTint="D8"/>
    </w:rPr>
  </w:style>
  <w:style w:type="paragraph" w:styleId="Title">
    <w:name w:val="Title"/>
    <w:basedOn w:val="Normal"/>
    <w:next w:val="Normal"/>
    <w:link w:val="TitleChar"/>
    <w:uiPriority w:val="10"/>
    <w:qFormat/>
    <w:rsid w:val="00DA7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3A0"/>
    <w:pPr>
      <w:spacing w:before="160"/>
      <w:jc w:val="center"/>
    </w:pPr>
    <w:rPr>
      <w:i/>
      <w:iCs/>
      <w:color w:val="404040" w:themeColor="text1" w:themeTint="BF"/>
    </w:rPr>
  </w:style>
  <w:style w:type="character" w:customStyle="1" w:styleId="QuoteChar">
    <w:name w:val="Quote Char"/>
    <w:basedOn w:val="DefaultParagraphFont"/>
    <w:link w:val="Quote"/>
    <w:uiPriority w:val="29"/>
    <w:rsid w:val="00DA73A0"/>
    <w:rPr>
      <w:i/>
      <w:iCs/>
      <w:color w:val="404040" w:themeColor="text1" w:themeTint="BF"/>
    </w:rPr>
  </w:style>
  <w:style w:type="paragraph" w:styleId="ListParagraph">
    <w:name w:val="List Paragraph"/>
    <w:basedOn w:val="Normal"/>
    <w:uiPriority w:val="34"/>
    <w:qFormat/>
    <w:rsid w:val="00DA73A0"/>
    <w:pPr>
      <w:ind w:left="720"/>
      <w:contextualSpacing/>
    </w:pPr>
  </w:style>
  <w:style w:type="character" w:styleId="IntenseEmphasis">
    <w:name w:val="Intense Emphasis"/>
    <w:basedOn w:val="DefaultParagraphFont"/>
    <w:uiPriority w:val="21"/>
    <w:qFormat/>
    <w:rsid w:val="00DA73A0"/>
    <w:rPr>
      <w:i/>
      <w:iCs/>
      <w:color w:val="0F4761" w:themeColor="accent1" w:themeShade="BF"/>
    </w:rPr>
  </w:style>
  <w:style w:type="paragraph" w:styleId="IntenseQuote">
    <w:name w:val="Intense Quote"/>
    <w:basedOn w:val="Normal"/>
    <w:next w:val="Normal"/>
    <w:link w:val="IntenseQuoteChar"/>
    <w:uiPriority w:val="30"/>
    <w:qFormat/>
    <w:rsid w:val="00DA7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3A0"/>
    <w:rPr>
      <w:i/>
      <w:iCs/>
      <w:color w:val="0F4761" w:themeColor="accent1" w:themeShade="BF"/>
    </w:rPr>
  </w:style>
  <w:style w:type="character" w:styleId="IntenseReference">
    <w:name w:val="Intense Reference"/>
    <w:basedOn w:val="DefaultParagraphFont"/>
    <w:uiPriority w:val="32"/>
    <w:qFormat/>
    <w:rsid w:val="00DA73A0"/>
    <w:rPr>
      <w:b/>
      <w:bCs/>
      <w:smallCaps/>
      <w:color w:val="0F4761" w:themeColor="accent1" w:themeShade="BF"/>
      <w:spacing w:val="5"/>
    </w:rPr>
  </w:style>
  <w:style w:type="paragraph" w:styleId="BodyText">
    <w:name w:val="Body Text"/>
    <w:basedOn w:val="Normal"/>
    <w:link w:val="BodyTextChar"/>
    <w:qFormat/>
    <w:rsid w:val="00DA73A0"/>
    <w:pPr>
      <w:spacing w:before="180" w:after="180" w:line="240" w:lineRule="auto"/>
    </w:pPr>
    <w:rPr>
      <w:kern w:val="0"/>
      <w:lang w:val="en-US"/>
      <w14:ligatures w14:val="none"/>
    </w:rPr>
  </w:style>
  <w:style w:type="character" w:customStyle="1" w:styleId="BodyTextChar">
    <w:name w:val="Body Text Char"/>
    <w:basedOn w:val="DefaultParagraphFont"/>
    <w:link w:val="BodyText"/>
    <w:rsid w:val="00DA73A0"/>
    <w:rPr>
      <w:kern w:val="0"/>
      <w:lang w:val="en-US"/>
      <w14:ligatures w14:val="none"/>
    </w:rPr>
  </w:style>
  <w:style w:type="paragraph" w:customStyle="1" w:styleId="FirstParagraph">
    <w:name w:val="First Paragraph"/>
    <w:basedOn w:val="BodyText"/>
    <w:next w:val="BodyText"/>
    <w:qFormat/>
    <w:rsid w:val="00DA73A0"/>
  </w:style>
  <w:style w:type="paragraph" w:customStyle="1" w:styleId="Compact">
    <w:name w:val="Compact"/>
    <w:basedOn w:val="BodyText"/>
    <w:qFormat/>
    <w:rsid w:val="00DA73A0"/>
    <w:pPr>
      <w:spacing w:before="36" w:after="36"/>
    </w:pPr>
  </w:style>
  <w:style w:type="paragraph" w:styleId="BlockText">
    <w:name w:val="Block Text"/>
    <w:basedOn w:val="BodyText"/>
    <w:next w:val="BodyText"/>
    <w:uiPriority w:val="9"/>
    <w:unhideWhenUsed/>
    <w:qFormat/>
    <w:rsid w:val="00DA73A0"/>
    <w:pPr>
      <w:spacing w:before="100" w:after="100"/>
      <w:ind w:left="480" w:right="480"/>
    </w:pPr>
  </w:style>
  <w:style w:type="table" w:customStyle="1" w:styleId="Table">
    <w:name w:val="Table"/>
    <w:semiHidden/>
    <w:unhideWhenUsed/>
    <w:qFormat/>
    <w:rsid w:val="00DA73A0"/>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yperlink">
    <w:name w:val="Hyperlink"/>
    <w:basedOn w:val="DefaultParagraphFont"/>
    <w:rsid w:val="00DA73A0"/>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wl.purdue.edu/owl/research_and_citation/apa_style/apa_style_introduction.html" TargetMode="External"/><Relationship Id="rId5" Type="http://schemas.openxmlformats.org/officeDocument/2006/relationships/hyperlink" Target="https://www.twu.ca/about-us/policies-guidelines/university-policies/academic-misconduct-frau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712</Words>
  <Characters>4065</Characters>
  <Application>Microsoft Office Word</Application>
  <DocSecurity>0</DocSecurity>
  <Lines>33</Lines>
  <Paragraphs>9</Paragraphs>
  <ScaleCrop>false</ScaleCrop>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snider</dc:creator>
  <cp:keywords/>
  <dc:description/>
  <cp:lastModifiedBy>jeff snider</cp:lastModifiedBy>
  <cp:revision>1</cp:revision>
  <dcterms:created xsi:type="dcterms:W3CDTF">2024-09-04T23:26:00Z</dcterms:created>
  <dcterms:modified xsi:type="dcterms:W3CDTF">2024-09-04T23:26:00Z</dcterms:modified>
</cp:coreProperties>
</file>