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Author"/>
      </w:pPr>
      <w:r>
        <w:t xml:space="preserve">TWU</w:t>
      </w:r>
      <w:r>
        <w:t xml:space="preserve"> </w:t>
      </w:r>
      <w:r>
        <w:t xml:space="preserve">Online</w:t>
      </w:r>
    </w:p>
    <w:p>
      <w:pPr>
        <w:pStyle w:val="Date"/>
      </w:pPr>
      <w:r>
        <w:t xml:space="preserve">Feb</w:t>
      </w:r>
      <w:r>
        <w:t xml:space="preserve"> </w:t>
      </w:r>
      <w:r>
        <w:t xml:space="preserve">11,</w:t>
      </w:r>
      <w:r>
        <w:t xml:space="preserve"> </w:t>
      </w:r>
      <w:r>
        <w:t xml:space="preserve">2025</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Overview</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r>
        <w:rPr>
          <w:i/>
          <w:iCs/>
        </w:rPr>
        <w:t xml:space="preserve">Note</w:t>
      </w:r>
      <w:r>
        <w:t xml:space="preserve">: 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6ecfb1"/>
          <w:sz w:val="24"/>
          <w:szCs w:val="24"/>
          <w:b/>
        </w:rPr>
        <w:t xml:space="preserve">&lt;End learning-activity&gt;</w:t>
      </w:r>
    </w:p>
    <w:p>
      <w:pPr>
        <w:pStyle w:val="Heading2"/>
      </w:pPr>
      <w:r>
        <w:t xml:space="preserve">1.2 Title for Topic 2</w:t>
      </w:r>
    </w:p>
    <w:p>
      <w:pPr>
        <w:pStyle w:val="FirstParagraph"/>
      </w:pPr>
      <w:r>
        <w:rPr>
          <w:i/>
          <w:iCs/>
        </w:rPr>
        <w:t xml:space="preserve">(add content)</w:t>
      </w:r>
    </w:p>
    <w:p>
      <w:pPr>
        <w:pStyle w:val="Heading3"/>
      </w:pPr>
      <w:r>
        <w:t xml:space="preserve">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t xml:space="preserve">e.g. Case study</w:t>
      </w:r>
    </w:p>
    <w:p>
      <w:pPr>
        <w:pStyle w:val="BodyText"/>
      </w:pPr>
      <w:r>
        <w:rPr>
          <w:i/>
          <w:iCs/>
        </w:rPr>
        <w:t xml:space="preserve">(add content)</w:t>
      </w:r>
    </w:p>
    <w:p>
      <w:pPr>
        <w:pStyle w:val="BodyText"/>
      </w:pPr>
      <w:r>
        <w:rPr>
          <w:color w:val="577ecb"/>
          <w:sz w:val="24"/>
          <w:szCs w:val="24"/>
          <w:b/>
        </w:rPr>
        <w:t xml:space="preserve">&lt;Begin note-with-icon&gt;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mins</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06"/>
        </w:numPr>
      </w:pPr>
      <w:r>
        <w:t xml:space="preserve">Describe…</w:t>
      </w:r>
    </w:p>
    <w:p>
      <w:pPr>
        <w:pStyle w:val="Compact"/>
        <w:numPr>
          <w:ilvl w:val="0"/>
          <w:numId w:val="1006"/>
        </w:numPr>
      </w:pPr>
      <w:r>
        <w:t xml:space="preserve">Contrast…</w:t>
      </w:r>
    </w:p>
    <w:p>
      <w:pPr>
        <w:pStyle w:val="Compact"/>
        <w:numPr>
          <w:ilvl w:val="0"/>
          <w:numId w:val="1006"/>
        </w:numPr>
      </w:pPr>
      <w:r>
        <w:t xml:space="preserve">Analyze…</w:t>
      </w:r>
    </w:p>
    <w:p>
      <w:pPr>
        <w:pStyle w:val="Compact"/>
        <w:numPr>
          <w:ilvl w:val="0"/>
          <w:numId w:val="1006"/>
        </w:numPr>
      </w:pPr>
      <w:r>
        <w:t xml:space="preserve">Determine…</w:t>
      </w:r>
    </w:p>
    <w:p>
      <w:pPr>
        <w:pStyle w:val="Compact"/>
        <w:numPr>
          <w:ilvl w:val="0"/>
          <w:numId w:val="1006"/>
        </w:numPr>
      </w:pPr>
      <w:r>
        <w:t xml:space="preserve">Create…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0"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2025-02-11T18:59:21Z</dcterms:created>
  <dcterms:modified xsi:type="dcterms:W3CDTF">2025-02-11T18:59:21Z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Feb 11,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