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339tvj1hxjgu" w:id="0"/>
      <w:bookmarkEnd w:id="0"/>
      <w:r w:rsidDel="00000000" w:rsidR="00000000" w:rsidRPr="00000000">
        <w:rPr>
          <w:rtl w:val="0"/>
        </w:rPr>
        <w:t xml:space="preserve">The six start-ups of SDG Catalysts</w:t>
      </w:r>
      <w:r w:rsidDel="00000000" w:rsidR="00000000" w:rsidRPr="00000000">
        <w:rPr>
          <w:rtl w:val="0"/>
        </w:rPr>
      </w:r>
    </w:p>
    <w:p w:rsidR="00000000" w:rsidDel="00000000" w:rsidP="00000000" w:rsidRDefault="00000000" w:rsidRPr="00000000" w14:paraId="00000002">
      <w:pPr>
        <w:pStyle w:val="Heading2"/>
        <w:ind w:left="0" w:firstLine="0"/>
        <w:rPr/>
      </w:pPr>
      <w:bookmarkStart w:colFirst="0" w:colLast="0" w:name="_ue02x33g5l20" w:id="1"/>
      <w:bookmarkEnd w:id="1"/>
      <w:r w:rsidDel="00000000" w:rsidR="00000000" w:rsidRPr="00000000">
        <w:rPr>
          <w:rtl w:val="0"/>
        </w:rPr>
        <w:t xml:space="preserve">Waste-to-Resource </w:t>
      </w:r>
    </w:p>
    <w:p w:rsidR="00000000" w:rsidDel="00000000" w:rsidP="00000000" w:rsidRDefault="00000000" w:rsidRPr="00000000" w14:paraId="00000003">
      <w:pPr>
        <w:pStyle w:val="Heading4"/>
        <w:rPr/>
      </w:pPr>
      <w:bookmarkStart w:colFirst="0" w:colLast="0" w:name="_axj1jhx0880y" w:id="2"/>
      <w:bookmarkEnd w:id="2"/>
      <w:r w:rsidDel="00000000" w:rsidR="00000000" w:rsidRPr="00000000">
        <w:rPr>
          <w:rtl w:val="0"/>
        </w:rPr>
        <w:t xml:space="preserve">A Waste-to-Resource Transformation Hub. </w:t>
      </w:r>
    </w:p>
    <w:p w:rsidR="00000000" w:rsidDel="00000000" w:rsidP="00000000" w:rsidRDefault="00000000" w:rsidRPr="00000000" w14:paraId="00000004">
      <w:pPr>
        <w:rPr>
          <w:i w:val="1"/>
        </w:rPr>
      </w:pPr>
      <w:r w:rsidDel="00000000" w:rsidR="00000000" w:rsidRPr="00000000">
        <w:rPr>
          <w:i w:val="1"/>
          <w:rtl w:val="0"/>
        </w:rPr>
        <w:t xml:space="preserve">Hanoi - Vietnam </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Reduces waste in the big city of Hanoi through waste-to-resource transformation hubs and recycles waste to not only boost the sustainability of waste processing in Hanoi but also boosts the circular economy.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SDG 12</w:t>
      </w:r>
      <w:r w:rsidDel="00000000" w:rsidR="00000000" w:rsidRPr="00000000">
        <w:rPr>
          <w:rtl w:val="0"/>
        </w:rPr>
        <w:t xml:space="preserve">: Responsible Consumption and Production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2"/>
        <w:rPr/>
      </w:pPr>
      <w:bookmarkStart w:colFirst="0" w:colLast="0" w:name="_w24dhrtwqm1" w:id="3"/>
      <w:bookmarkEnd w:id="3"/>
      <w:r w:rsidDel="00000000" w:rsidR="00000000" w:rsidRPr="00000000">
        <w:rPr>
          <w:rtl w:val="0"/>
        </w:rPr>
        <w:t xml:space="preserve">Rural Renewable</w:t>
      </w:r>
    </w:p>
    <w:p w:rsidR="00000000" w:rsidDel="00000000" w:rsidP="00000000" w:rsidRDefault="00000000" w:rsidRPr="00000000" w14:paraId="0000000B">
      <w:pPr>
        <w:pStyle w:val="Heading4"/>
        <w:rPr/>
      </w:pPr>
      <w:bookmarkStart w:colFirst="0" w:colLast="0" w:name="_qkzrzlwmm2hk" w:id="4"/>
      <w:bookmarkEnd w:id="4"/>
      <w:r w:rsidDel="00000000" w:rsidR="00000000" w:rsidRPr="00000000">
        <w:rPr>
          <w:rtl w:val="0"/>
        </w:rPr>
        <w:t xml:space="preserve">Sustain Rural Power for Renewable Energy Microgrids for Rural Electrification</w:t>
      </w:r>
    </w:p>
    <w:p w:rsidR="00000000" w:rsidDel="00000000" w:rsidP="00000000" w:rsidRDefault="00000000" w:rsidRPr="00000000" w14:paraId="0000000C">
      <w:pPr>
        <w:rPr>
          <w:i w:val="1"/>
        </w:rPr>
      </w:pPr>
      <w:r w:rsidDel="00000000" w:rsidR="00000000" w:rsidRPr="00000000">
        <w:rPr>
          <w:i w:val="1"/>
          <w:rtl w:val="0"/>
        </w:rPr>
        <w:t xml:space="preserve">Naypyidaw - </w:t>
      </w:r>
      <w:r w:rsidDel="00000000" w:rsidR="00000000" w:rsidRPr="00000000">
        <w:rPr>
          <w:i w:val="1"/>
          <w:rtl w:val="0"/>
        </w:rPr>
        <w:t xml:space="preserve">Myanmar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Gives rural areas access to sustainable energy through the use of energy microgrids to boost the quality of life and economic growth.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project will establish small-scale renewable energy microgrids powered by solar panels or wind turbines in remote areas without access to another electricity network. These microgrids will bring electricity to homes and businesses, improving living standards, supporting economic growth.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color w:val="999999"/>
        </w:rPr>
      </w:pPr>
      <w:r w:rsidDel="00000000" w:rsidR="00000000" w:rsidRPr="00000000">
        <w:rPr>
          <w:b w:val="1"/>
          <w:rtl w:val="0"/>
        </w:rPr>
        <w:t xml:space="preserve">SDG 7:</w:t>
      </w:r>
      <w:r w:rsidDel="00000000" w:rsidR="00000000" w:rsidRPr="00000000">
        <w:rPr>
          <w:rtl w:val="0"/>
        </w:rPr>
        <w:t xml:space="preserve"> Affordable and Clean Energy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2"/>
        <w:rPr/>
      </w:pPr>
      <w:bookmarkStart w:colFirst="0" w:colLast="0" w:name="_huapu8tm7nmv" w:id="5"/>
      <w:bookmarkEnd w:id="5"/>
      <w:r w:rsidDel="00000000" w:rsidR="00000000" w:rsidRPr="00000000">
        <w:rPr>
          <w:rtl w:val="0"/>
        </w:rPr>
        <w:t xml:space="preserve">We Care</w:t>
      </w:r>
    </w:p>
    <w:p w:rsidR="00000000" w:rsidDel="00000000" w:rsidP="00000000" w:rsidRDefault="00000000" w:rsidRPr="00000000" w14:paraId="00000015">
      <w:pPr>
        <w:pStyle w:val="Heading4"/>
        <w:rPr/>
      </w:pPr>
      <w:bookmarkStart w:colFirst="0" w:colLast="0" w:name="_6mn1q2imezsu" w:id="6"/>
      <w:bookmarkEnd w:id="6"/>
      <w:r w:rsidDel="00000000" w:rsidR="00000000" w:rsidRPr="00000000">
        <w:rPr>
          <w:rtl w:val="0"/>
        </w:rPr>
        <w:t xml:space="preserve">‘We Care’ for preventative healthcare</w:t>
      </w:r>
    </w:p>
    <w:p w:rsidR="00000000" w:rsidDel="00000000" w:rsidP="00000000" w:rsidRDefault="00000000" w:rsidRPr="00000000" w14:paraId="00000016">
      <w:pPr>
        <w:rPr>
          <w:i w:val="1"/>
        </w:rPr>
      </w:pPr>
      <w:r w:rsidDel="00000000" w:rsidR="00000000" w:rsidRPr="00000000">
        <w:rPr>
          <w:i w:val="1"/>
          <w:rtl w:val="0"/>
        </w:rPr>
        <w:t xml:space="preserve">Pennsylvania - United States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999999"/>
        </w:rPr>
      </w:pPr>
      <w:r w:rsidDel="00000000" w:rsidR="00000000" w:rsidRPr="00000000">
        <w:rPr>
          <w:rtl w:val="0"/>
        </w:rPr>
        <w:t xml:space="preserve">This mobile app helps to detect and prevent health issues in Pennsylvania. The mobile health app offers preventative healthcare advice, early disease detection, and telemedicine services. It will provide vital health information to underserved populations and connect them with healthcare professionals.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SDG 3:</w:t>
      </w:r>
      <w:r w:rsidDel="00000000" w:rsidR="00000000" w:rsidRPr="00000000">
        <w:rPr>
          <w:rtl w:val="0"/>
        </w:rPr>
        <w:t xml:space="preserve"> Good Health and Well-being</w:t>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Style w:val="Heading2"/>
        <w:rPr/>
      </w:pPr>
      <w:bookmarkStart w:colFirst="0" w:colLast="0" w:name="_1vr4kw298pu6" w:id="7"/>
      <w:bookmarkEnd w:id="7"/>
      <w:r w:rsidDel="00000000" w:rsidR="00000000" w:rsidRPr="00000000">
        <w:rPr>
          <w:rtl w:val="0"/>
        </w:rPr>
        <w:t xml:space="preserve">Children Food Centre</w:t>
      </w:r>
    </w:p>
    <w:p w:rsidR="00000000" w:rsidDel="00000000" w:rsidP="00000000" w:rsidRDefault="00000000" w:rsidRPr="00000000" w14:paraId="0000001D">
      <w:pPr>
        <w:pStyle w:val="Heading4"/>
        <w:rPr/>
      </w:pPr>
      <w:bookmarkStart w:colFirst="0" w:colLast="0" w:name="_l3famdk8exxb" w:id="8"/>
      <w:bookmarkEnd w:id="8"/>
      <w:r w:rsidDel="00000000" w:rsidR="00000000" w:rsidRPr="00000000">
        <w:rPr>
          <w:rtl w:val="0"/>
        </w:rPr>
        <w:t xml:space="preserve">Local initiative</w:t>
      </w:r>
    </w:p>
    <w:p w:rsidR="00000000" w:rsidDel="00000000" w:rsidP="00000000" w:rsidRDefault="00000000" w:rsidRPr="00000000" w14:paraId="0000001E">
      <w:pPr>
        <w:rPr>
          <w:i w:val="1"/>
        </w:rPr>
      </w:pPr>
      <w:r w:rsidDel="00000000" w:rsidR="00000000" w:rsidRPr="00000000">
        <w:rPr>
          <w:i w:val="1"/>
          <w:rtl w:val="0"/>
        </w:rPr>
        <w:t xml:space="preserve">Abuja - </w:t>
      </w:r>
      <w:r w:rsidDel="00000000" w:rsidR="00000000" w:rsidRPr="00000000">
        <w:rPr>
          <w:i w:val="1"/>
          <w:rtl w:val="0"/>
        </w:rPr>
        <w:t xml:space="preserve">Nigeria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Sets up community based nutrition centers to offer nutritious balanced meals, health education and health check ups to monitor growth in areas with high child malnutrition in Nigeria.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b w:val="1"/>
          <w:rtl w:val="0"/>
        </w:rPr>
        <w:t xml:space="preserve">SDG 2</w:t>
      </w:r>
      <w:r w:rsidDel="00000000" w:rsidR="00000000" w:rsidRPr="00000000">
        <w:rPr>
          <w:rtl w:val="0"/>
        </w:rPr>
        <w:t xml:space="preserve">: Zero Hunger</w:t>
      </w:r>
      <w:r w:rsidDel="00000000" w:rsidR="00000000" w:rsidRPr="00000000">
        <w:rPr>
          <w:rtl w:val="0"/>
        </w:rPr>
      </w:r>
    </w:p>
    <w:p w:rsidR="00000000" w:rsidDel="00000000" w:rsidP="00000000" w:rsidRDefault="00000000" w:rsidRPr="00000000" w14:paraId="00000023">
      <w:pPr>
        <w:rPr>
          <w:color w:val="999999"/>
        </w:rPr>
      </w:pPr>
      <w:r w:rsidDel="00000000" w:rsidR="00000000" w:rsidRPr="00000000">
        <w:rPr>
          <w:color w:val="999999"/>
          <w:rtl w:val="0"/>
        </w:rPr>
        <w:t xml:space="preserve">—</w:t>
      </w:r>
    </w:p>
    <w:p w:rsidR="00000000" w:rsidDel="00000000" w:rsidP="00000000" w:rsidRDefault="00000000" w:rsidRPr="00000000" w14:paraId="00000024">
      <w:pPr>
        <w:pStyle w:val="Heading2"/>
        <w:rPr/>
      </w:pPr>
      <w:bookmarkStart w:colFirst="0" w:colLast="0" w:name="_y88fhd5o4e64" w:id="9"/>
      <w:bookmarkEnd w:id="9"/>
      <w:r w:rsidDel="00000000" w:rsidR="00000000" w:rsidRPr="00000000">
        <w:rPr>
          <w:rtl w:val="0"/>
        </w:rPr>
        <w:t xml:space="preserve">AquaAccess</w:t>
      </w:r>
    </w:p>
    <w:p w:rsidR="00000000" w:rsidDel="00000000" w:rsidP="00000000" w:rsidRDefault="00000000" w:rsidRPr="00000000" w14:paraId="00000025">
      <w:pPr>
        <w:pStyle w:val="Heading4"/>
        <w:rPr/>
      </w:pPr>
      <w:bookmarkStart w:colFirst="0" w:colLast="0" w:name="_y55ligi4lgoh" w:id="10"/>
      <w:bookmarkEnd w:id="10"/>
      <w:r w:rsidDel="00000000" w:rsidR="00000000" w:rsidRPr="00000000">
        <w:rPr>
          <w:rtl w:val="0"/>
        </w:rPr>
        <w:t xml:space="preserve">Ensuring Clean Water for All</w:t>
      </w:r>
    </w:p>
    <w:p w:rsidR="00000000" w:rsidDel="00000000" w:rsidP="00000000" w:rsidRDefault="00000000" w:rsidRPr="00000000" w14:paraId="00000026">
      <w:pPr>
        <w:rPr>
          <w:i w:val="1"/>
        </w:rPr>
      </w:pPr>
      <w:r w:rsidDel="00000000" w:rsidR="00000000" w:rsidRPr="00000000">
        <w:rPr>
          <w:i w:val="1"/>
          <w:rtl w:val="0"/>
        </w:rPr>
        <w:t xml:space="preserve">Gaborone - </w:t>
      </w:r>
      <w:r w:rsidDel="00000000" w:rsidR="00000000" w:rsidRPr="00000000">
        <w:rPr>
          <w:i w:val="1"/>
          <w:rtl w:val="0"/>
        </w:rPr>
        <w:t xml:space="preserve">Botswana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999999"/>
        </w:rPr>
      </w:pPr>
      <w:r w:rsidDel="00000000" w:rsidR="00000000" w:rsidRPr="00000000">
        <w:rPr>
          <w:rtl w:val="0"/>
        </w:rPr>
        <w:t xml:space="preserve">Sets op Community Water Kiosks with affordable drinking water through the use of new water purification technologies and gives access to safe drinking water in communities where water is scarce. </w:t>
      </w:r>
      <w:r w:rsidDel="00000000" w:rsidR="00000000" w:rsidRPr="00000000">
        <w:rPr>
          <w:rtl w:val="0"/>
        </w:rPr>
      </w:r>
    </w:p>
    <w:p w:rsidR="00000000" w:rsidDel="00000000" w:rsidP="00000000" w:rsidRDefault="00000000" w:rsidRPr="00000000" w14:paraId="00000029">
      <w:pPr>
        <w:rPr>
          <w:color w:val="999999"/>
        </w:rPr>
      </w:pPr>
      <w:r w:rsidDel="00000000" w:rsidR="00000000" w:rsidRPr="00000000">
        <w:rPr>
          <w:rtl w:val="0"/>
        </w:rPr>
      </w:r>
    </w:p>
    <w:p w:rsidR="00000000" w:rsidDel="00000000" w:rsidP="00000000" w:rsidRDefault="00000000" w:rsidRPr="00000000" w14:paraId="0000002A">
      <w:pPr>
        <w:rPr>
          <w:color w:val="999999"/>
        </w:rPr>
      </w:pPr>
      <w:r w:rsidDel="00000000" w:rsidR="00000000" w:rsidRPr="00000000">
        <w:rPr>
          <w:b w:val="1"/>
          <w:rtl w:val="0"/>
        </w:rPr>
        <w:t xml:space="preserve">SDG 6</w:t>
      </w:r>
      <w:r w:rsidDel="00000000" w:rsidR="00000000" w:rsidRPr="00000000">
        <w:rPr>
          <w:rtl w:val="0"/>
        </w:rPr>
        <w:t xml:space="preserve">: Clean Water and Sanitation</w:t>
      </w:r>
      <w:r w:rsidDel="00000000" w:rsidR="00000000" w:rsidRPr="00000000">
        <w:rPr>
          <w:rtl w:val="0"/>
        </w:rPr>
      </w:r>
    </w:p>
    <w:p w:rsidR="00000000" w:rsidDel="00000000" w:rsidP="00000000" w:rsidRDefault="00000000" w:rsidRPr="00000000" w14:paraId="0000002B">
      <w:pPr>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2C">
      <w:pPr>
        <w:pStyle w:val="Heading2"/>
        <w:rPr/>
      </w:pPr>
      <w:bookmarkStart w:colFirst="0" w:colLast="0" w:name="_rva1g8y10iiz" w:id="11"/>
      <w:bookmarkEnd w:id="11"/>
      <w:r w:rsidDel="00000000" w:rsidR="00000000" w:rsidRPr="00000000">
        <w:rPr>
          <w:rtl w:val="0"/>
        </w:rPr>
        <w:t xml:space="preserve">SheRises </w:t>
      </w:r>
    </w:p>
    <w:p w:rsidR="00000000" w:rsidDel="00000000" w:rsidP="00000000" w:rsidRDefault="00000000" w:rsidRPr="00000000" w14:paraId="0000002D">
      <w:pPr>
        <w:pStyle w:val="Heading4"/>
        <w:rPr/>
      </w:pPr>
      <w:bookmarkStart w:colFirst="0" w:colLast="0" w:name="_i86g6ekf0lpv" w:id="12"/>
      <w:bookmarkEnd w:id="12"/>
      <w:r w:rsidDel="00000000" w:rsidR="00000000" w:rsidRPr="00000000">
        <w:rPr>
          <w:rtl w:val="0"/>
        </w:rPr>
        <w:t xml:space="preserve">Leadership Program</w:t>
      </w:r>
    </w:p>
    <w:p w:rsidR="00000000" w:rsidDel="00000000" w:rsidP="00000000" w:rsidRDefault="00000000" w:rsidRPr="00000000" w14:paraId="0000002E">
      <w:pPr>
        <w:rPr>
          <w:i w:val="1"/>
        </w:rPr>
      </w:pPr>
      <w:r w:rsidDel="00000000" w:rsidR="00000000" w:rsidRPr="00000000">
        <w:rPr>
          <w:i w:val="1"/>
          <w:rtl w:val="0"/>
        </w:rPr>
        <w:t xml:space="preserve">Gdansk - </w:t>
      </w:r>
      <w:r w:rsidDel="00000000" w:rsidR="00000000" w:rsidRPr="00000000">
        <w:rPr>
          <w:i w:val="1"/>
          <w:rtl w:val="0"/>
        </w:rPr>
        <w:t xml:space="preserve">Poland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SheRises helps to overcome social barriers of gender inequality and helps young girls to gain confidence and skills. Next to that, it will give networking opportunities for their future </w:t>
      </w:r>
      <w:r w:rsidDel="00000000" w:rsidR="00000000" w:rsidRPr="00000000">
        <w:rPr>
          <w:rtl w:val="0"/>
        </w:rPr>
        <w:t xml:space="preserve">carreers</w:t>
      </w:r>
      <w:r w:rsidDel="00000000" w:rsidR="00000000" w:rsidRPr="00000000">
        <w:rPr>
          <w:rtl w:val="0"/>
        </w:rPr>
        <w:t xml:space="preserve">.  </w:t>
      </w:r>
      <w:r w:rsidDel="00000000" w:rsidR="00000000" w:rsidRPr="00000000">
        <w:rPr>
          <w:rtl w:val="0"/>
        </w:rPr>
        <w:t xml:space="preserve">"SheRises," is dedicated to ending gender inequality by empowering young women through leadership development.</w:t>
      </w:r>
    </w:p>
    <w:p w:rsidR="00000000" w:rsidDel="00000000" w:rsidP="00000000" w:rsidRDefault="00000000" w:rsidRPr="00000000" w14:paraId="00000031">
      <w:pPr>
        <w:rPr>
          <w:color w:val="999999"/>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SDG 5</w:t>
      </w:r>
      <w:r w:rsidDel="00000000" w:rsidR="00000000" w:rsidRPr="00000000">
        <w:rPr>
          <w:rtl w:val="0"/>
        </w:rPr>
        <w:t xml:space="preserve">: Gender equality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