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Calibri" w:hAnsi="Calibri" w:eastAsia="Calibri"/>
          <w:b/>
          <w:caps/>
          <w:color w:val="9A6B17"/>
          <w:sz w:val="19"/>
        </w:rPr>
        <w:t>OPERATIONAL TESTING GUIDE</w:t>
      </w:r>
    </w:p>
    <w:p>
      <w:pPr>
        <w:pStyle w:val="Title"/>
        <w:jc w:val="left"/>
      </w:pPr>
      <w:r>
        <w:t>OncoProfilingTools</w:t>
      </w:r>
    </w:p>
    <w:p>
      <w:pPr>
        <w:pStyle w:val="Subtitle"/>
        <w:spacing w:after="240"/>
      </w:pPr>
      <w:r>
        <w:t>Installation, local launch, input validation, ten-module checks, and troubleshooting</w:t>
      </w:r>
    </w:p>
    <w:p>
      <w:pPr>
        <w:keepNext/>
      </w:pPr>
      <w:r>
        <w:rPr>
          <w:rFonts w:ascii="Calibri" w:hAnsi="Calibri" w:eastAsia="Calibri"/>
          <w:i w:val="0"/>
          <w:color w:val="6C7782"/>
          <w:sz w:val="20"/>
        </w:rPr>
        <w:t>Repository snapshot 70b5cfb · 28 July 2026</w:t>
      </w:r>
    </w:p>
    <w:p>
      <w:pPr>
        <w:keepLines/>
        <w:spacing w:before="80" w:after="160"/>
        <w:ind w:left="202" w:right="144"/>
        <w:shd w:fill="E8F3F1" w:val="clear"/>
        <w:pBdr>
          <w:left w:val="single" w:sz="18" w:space="7" w:color="167A72"/>
        </w:pBdr>
      </w:pPr>
      <w:r>
        <w:rPr>
          <w:rFonts w:ascii="Calibri" w:hAnsi="Calibri" w:eastAsia="Calibri"/>
          <w:b/>
          <w:color w:val="167A72"/>
          <w:sz w:val="21"/>
        </w:rPr>
        <w:t xml:space="preserve">Goal  </w:t>
      </w:r>
      <w:r>
        <w:rPr>
          <w:rFonts w:ascii="Calibri" w:hAnsi="Calibri" w:eastAsia="Calibri"/>
          <w:color w:val="303840"/>
          <w:sz w:val="21"/>
        </w:rPr>
        <w:t>Confirm the source-implemented workflow without treating module completion as biological validation.</w:t>
      </w:r>
    </w:p>
    <w:p>
      <w:pPr>
        <w:pStyle w:val="Heading1"/>
      </w:pPr>
      <w:r>
        <w:t>Requirements</w:t>
      </w:r>
    </w:p>
    <w:p>
      <w:pPr>
        <w:numPr>
          <w:ilvl w:val="0"/>
          <w:numId w:val="10"/>
        </w:numPr>
      </w:pPr>
      <w:r>
        <w:rPr>
          <w:rFonts w:ascii="Calibri" w:hAnsi="Calibri" w:eastAsia="Calibri"/>
        </w:rPr>
        <w:t>R 4.1.0 or newer; a Shiny-capable browser.</w:t>
      </w:r>
    </w:p>
    <w:p>
      <w:pPr>
        <w:numPr>
          <w:ilvl w:val="0"/>
          <w:numId w:val="10"/>
        </w:numPr>
      </w:pPr>
      <w:r>
        <w:rPr>
          <w:rFonts w:ascii="Calibri" w:hAnsi="Calibri" w:eastAsia="Calibri"/>
        </w:rPr>
        <w:t>Network access for package installation and external scientific services.</w:t>
      </w:r>
    </w:p>
    <w:p>
      <w:pPr>
        <w:numPr>
          <w:ilvl w:val="0"/>
          <w:numId w:val="10"/>
        </w:numPr>
      </w:pPr>
      <w:r>
        <w:rPr>
          <w:rFonts w:ascii="Calibri" w:hAnsi="Calibri" w:eastAsia="Calibri"/>
        </w:rPr>
        <w:t>Repository path used in this workspace: `/Users/bandaarjunreddy/Research/OncoProfilingTools`.</w:t>
      </w:r>
    </w:p>
    <w:p>
      <w:pPr>
        <w:pStyle w:val="Heading1"/>
      </w:pPr>
      <w:r>
        <w:t>Installation</w:t>
      </w:r>
    </w:p>
    <w:p>
      <w:pPr>
        <w:keepLines/>
        <w:spacing w:before="80" w:after="140" w:line="240" w:lineRule="auto"/>
        <w:ind w:left="259" w:right="144"/>
        <w:shd w:fill="F4F6F8" w:val="clear"/>
        <w:pBdr>
          <w:left w:val="single" w:sz="12" w:space="6" w:color="8AA4B8"/>
        </w:pBdr>
      </w:pPr>
      <w:r>
        <w:rPr>
          <w:rFonts w:ascii="Courier New" w:hAnsi="Courier New" w:eastAsia="Courier New"/>
          <w:color w:val="24313C"/>
          <w:sz w:val="16"/>
        </w:rPr>
        <w:t>cd /Users/bandaarjunreddy/Research/OncoProfilingTools</w:t>
      </w:r>
      <w:r>
        <w:br/>
      </w:r>
      <w:r>
        <w:rPr>
          <w:rFonts w:ascii="Courier New" w:hAnsi="Courier New" w:eastAsia="Courier New"/>
          <w:color w:val="24313C"/>
          <w:sz w:val="16"/>
        </w:rPr>
        <w:t>Rscript -e 'if (!requireNamespace("pak", quietly=TRUE)) install.packages("pak");</w:t>
      </w:r>
      <w:r>
        <w:br/>
      </w:r>
      <w:r>
        <w:rPr>
          <w:rFonts w:ascii="Courier New" w:hAnsi="Courier New" w:eastAsia="Courier New"/>
          <w:color w:val="24313C"/>
          <w:sz w:val="16"/>
        </w:rPr>
        <w:t>pak::pkg_install(".", ask=FALSE)'</w:t>
      </w:r>
    </w:p>
    <w:p>
      <w:pPr>
        <w:keepNext w:val="0"/>
      </w:pPr>
      <w:r>
        <w:rPr>
          <w:rFonts w:ascii="Calibri" w:hAnsi="Calibri" w:eastAsia="Calibri"/>
          <w:i w:val="0"/>
          <w:sz w:val="18"/>
        </w:rPr>
        <w:t>The Shiny source additionally calls `shiny`, `readr`, `DT`, `processx`, `htmltools`, `base64enc`, `ggplot2`, `pheatmap`, `enrichR`, `msigdbr`, `clusterProfiler`, `org.Hs.eg.db`, `ReactomePA`, `STRINGdb`, `GSVA`, and `immunedeconv`. Install any package reported missing at startup; use BiocManager for Bioconductor packages and the omnideconv GitHub repository for `immunedeconv`.</w:t>
      </w:r>
    </w:p>
    <w:p>
      <w:pPr>
        <w:pStyle w:val="Heading1"/>
      </w:pPr>
      <w:r>
        <w:t>Run the application</w:t>
      </w:r>
    </w:p>
    <w:p>
      <w:pPr>
        <w:keepLines/>
        <w:spacing w:before="80" w:after="140" w:line="240" w:lineRule="auto"/>
        <w:ind w:left="259" w:right="144"/>
        <w:shd w:fill="F4F6F8" w:val="clear"/>
        <w:pBdr>
          <w:left w:val="single" w:sz="12" w:space="6" w:color="8AA4B8"/>
        </w:pBdr>
      </w:pPr>
      <w:r>
        <w:rPr>
          <w:rFonts w:ascii="Courier New" w:hAnsi="Courier New" w:eastAsia="Courier New"/>
          <w:color w:val="24313C"/>
          <w:sz w:val="17"/>
        </w:rPr>
        <w:t>cd /Users/bandaarjunreddy/Research/OncoProfilingTools</w:t>
      </w:r>
      <w:r>
        <w:br/>
      </w:r>
      <w:r>
        <w:rPr>
          <w:rFonts w:ascii="Courier New" w:hAnsi="Courier New" w:eastAsia="Courier New"/>
          <w:color w:val="24313C"/>
          <w:sz w:val="17"/>
        </w:rPr>
        <w:t>Rscript -e 'shiny::runApp("shiny-app", launch.browser=TRUE)'</w:t>
      </w:r>
    </w:p>
    <w:p>
      <w:pPr>
        <w:pStyle w:val="Heading2"/>
      </w:pPr>
      <w:r>
        <w:t>Create the `onco` shortcut</w:t>
      </w:r>
    </w:p>
    <w:p>
      <w:pPr>
        <w:keepLines/>
        <w:spacing w:before="80" w:after="140" w:line="240" w:lineRule="auto"/>
        <w:ind w:left="259" w:right="144"/>
        <w:shd w:fill="F4F6F8" w:val="clear"/>
        <w:pBdr>
          <w:left w:val="single" w:sz="12" w:space="6" w:color="8AA4B8"/>
        </w:pBdr>
      </w:pPr>
      <w:r>
        <w:rPr>
          <w:rFonts w:ascii="Courier New" w:hAnsi="Courier New" w:eastAsia="Courier New"/>
          <w:color w:val="24313C"/>
          <w:sz w:val="15"/>
        </w:rPr>
        <w:t>alias onco="cd /Users/bandaarjunreddy/Research/OncoProfilingTools &amp;&amp; Rscript -e 'shiny::runApp(\"shiny-app\", launch.browser=TRUE)'"</w:t>
      </w:r>
      <w:r>
        <w:br/>
      </w:r>
      <w:r>
        <w:rPr>
          <w:rFonts w:ascii="Courier New" w:hAnsi="Courier New" w:eastAsia="Courier New"/>
          <w:color w:val="24313C"/>
          <w:sz w:val="15"/>
        </w:rPr>
        <w:t>source ~/.zshrc</w:t>
      </w:r>
      <w:r>
        <w:br/>
      </w:r>
      <w:r>
        <w:rPr>
          <w:rFonts w:ascii="Courier New" w:hAnsi="Courier New" w:eastAsia="Courier New"/>
          <w:color w:val="24313C"/>
          <w:sz w:val="15"/>
        </w:rPr>
        <w:t>onco</w:t>
      </w:r>
    </w:p>
    <w:p>
      <w:pPr>
        <w:keepNext w:val="0"/>
      </w:pPr>
      <w:r>
        <w:rPr>
          <w:rFonts w:ascii="Calibri" w:hAnsi="Calibri" w:eastAsia="Calibri"/>
          <w:i w:val="0"/>
          <w:sz w:val="18"/>
        </w:rPr>
        <w:t>Place the alias in `~/.zshrc`. Replace the repository path if the clone moves.</w:t>
      </w:r>
    </w:p>
    <w:p>
      <w:pPr>
        <w:spacing w:after="0"/>
      </w:pPr>
      <w:r>
        <w:br w:type="page"/>
      </w:r>
    </w:p>
    <w:p>
      <w:pPr>
        <w:spacing w:after="100"/>
        <w:jc w:val="left"/>
      </w:pPr>
      <w:r>
        <w:rPr>
          <w:rFonts w:ascii="Calibri" w:hAnsi="Calibri" w:eastAsia="Calibri"/>
          <w:b/>
          <w:caps/>
          <w:color w:val="167A72"/>
          <w:sz w:val="19"/>
        </w:rPr>
        <w:t>INPUT VALIDATION</w:t>
      </w:r>
    </w:p>
    <w:p>
      <w:pPr>
        <w:pStyle w:val="Heading1"/>
      </w:pPr>
      <w:r>
        <w:t>Upload and Compatibility Checks</w:t>
      </w:r>
    </w:p>
    <w:p>
      <w:pPr>
        <w:pStyle w:val="Heading2"/>
      </w:pPr>
      <w:r>
        <w:t>Base workflow</w:t>
      </w:r>
    </w:p>
    <w:p>
      <w:pPr>
        <w:numPr>
          <w:ilvl w:val="0"/>
          <w:numId w:val="11"/>
        </w:numPr>
      </w:pPr>
      <w:r>
        <w:rPr>
          <w:rFonts w:ascii="Calibri" w:hAnsi="Calibri" w:eastAsia="Calibri"/>
        </w:rPr>
        <w:t>Choose a non-empty `.csv`, `.tsv`, or tab-delimited `.txt` file.</w:t>
      </w:r>
    </w:p>
    <w:p>
      <w:pPr>
        <w:numPr>
          <w:ilvl w:val="0"/>
          <w:numId w:val="11"/>
        </w:numPr>
      </w:pPr>
      <w:r>
        <w:rPr>
          <w:rFonts w:ascii="Calibri" w:hAnsi="Calibri" w:eastAsia="Calibri"/>
        </w:rPr>
        <w:t>Confirm that the filename is marked validated and row/column/gene counts appear.</w:t>
      </w:r>
    </w:p>
    <w:p>
      <w:pPr>
        <w:numPr>
          <w:ilvl w:val="0"/>
          <w:numId w:val="11"/>
        </w:numPr>
      </w:pPr>
      <w:r>
        <w:rPr>
          <w:rFonts w:ascii="Calibri" w:hAnsi="Calibri" w:eastAsia="Calibri"/>
        </w:rPr>
        <w:t>Confirm compatible cards are enabled and checked; incompatible cards are disabled.</w:t>
      </w:r>
    </w:p>
    <w:p>
      <w:pPr>
        <w:numPr>
          <w:ilvl w:val="0"/>
          <w:numId w:val="11"/>
        </w:numPr>
      </w:pPr>
      <w:r>
        <w:rPr>
          <w:rFonts w:ascii="Calibri" w:hAnsi="Calibri" w:eastAsia="Calibri"/>
        </w:rPr>
        <w:t>Uncheck any compatible modules you do not want, then select Run analysis.</w:t>
      </w:r>
    </w:p>
    <w:p>
      <w:pPr>
        <w:numPr>
          <w:ilvl w:val="0"/>
          <w:numId w:val="11"/>
        </w:numPr>
      </w:pPr>
      <w:r>
        <w:rPr>
          <w:rFonts w:ascii="Calibri" w:hAnsi="Calibri" w:eastAsia="Calibri"/>
        </w:rPr>
        <w:t>Watch each selected module progress from queued to running to completed or failed.</w:t>
      </w:r>
    </w:p>
    <w:p>
      <w:pPr>
        <w:pStyle w:val="Caption"/>
        <w:keepNext/>
      </w:pPr>
      <w:r>
        <w:t>Table 1. Active input contracts</w:t>
      </w:r>
    </w:p>
    <w:tbl>
      <w:tblPr>
        <w:tblStyle w:val="TableGrid"/>
        <w:tblW w:type="dxa" w:w="9360"/>
        <w:jc w:val="left"/>
        <w:tblLayout w:type="fixed"/>
        <w:tblLook w:firstColumn="1" w:firstRow="1" w:lastColumn="0" w:lastRow="0" w:noHBand="0" w:noVBand="1" w:val="04A0"/>
        <w:tblInd w:w="120" w:type="dxa"/>
      </w:tblPr>
      <w:tblGrid>
        <w:gridCol w:w="1450"/>
        <w:gridCol w:w="4850"/>
        <w:gridCol w:w="3060"/>
      </w:tblGrid>
      <w:tr>
        <w:trPr>
          <w:tblHeader w:val="true"/>
        </w:trPr>
        <w:tc>
          <w:tcPr>
            <w:tcW w:type="dxa" w:w="1450"/>
            <w:tcMar>
              <w:top w:w="80" w:type="dxa"/>
              <w:bottom w:w="80" w:type="dxa"/>
              <w:start w:w="120" w:type="dxa"/>
              <w:end w:w="120" w:type="dxa"/>
            </w:tcMar>
            <w:vAlign w:val="center"/>
            <w:shd w:fill="E8EEF5" w:val="clear"/>
          </w:tcPr>
          <w:p>
            <w:pPr>
              <w:spacing w:before="0" w:after="0" w:line="252" w:lineRule="auto"/>
            </w:pPr>
            <w:r>
              <w:rPr>
                <w:rFonts w:ascii="Calibri" w:hAnsi="Calibri" w:eastAsia="Calibri"/>
                <w:b/>
                <w:color w:val="15324B"/>
                <w:sz w:val="17"/>
              </w:rPr>
              <w:t>Input</w:t>
            </w:r>
          </w:p>
        </w:tc>
        <w:tc>
          <w:tcPr>
            <w:tcW w:type="dxa" w:w="4850"/>
            <w:tcMar>
              <w:top w:w="80" w:type="dxa"/>
              <w:bottom w:w="80" w:type="dxa"/>
              <w:start w:w="120" w:type="dxa"/>
              <w:end w:w="120" w:type="dxa"/>
            </w:tcMar>
            <w:vAlign w:val="center"/>
            <w:shd w:fill="E8EEF5" w:val="clear"/>
          </w:tcPr>
          <w:p>
            <w:pPr>
              <w:spacing w:before="0" w:after="0" w:line="252" w:lineRule="auto"/>
            </w:pPr>
            <w:r>
              <w:rPr>
                <w:rFonts w:ascii="Calibri" w:hAnsi="Calibri" w:eastAsia="Calibri"/>
                <w:b/>
                <w:color w:val="15324B"/>
                <w:sz w:val="17"/>
              </w:rPr>
              <w:t>Minimum source-visible requirements</w:t>
            </w:r>
          </w:p>
        </w:tc>
        <w:tc>
          <w:tcPr>
            <w:tcW w:type="dxa" w:w="3060"/>
            <w:tcMar>
              <w:top w:w="80" w:type="dxa"/>
              <w:bottom w:w="80" w:type="dxa"/>
              <w:start w:w="120" w:type="dxa"/>
              <w:end w:w="120" w:type="dxa"/>
            </w:tcMar>
            <w:vAlign w:val="center"/>
            <w:shd w:fill="E8EEF5" w:val="clear"/>
          </w:tcPr>
          <w:p>
            <w:pPr>
              <w:spacing w:before="0" w:after="0" w:line="252" w:lineRule="auto"/>
            </w:pPr>
            <w:r>
              <w:rPr>
                <w:rFonts w:ascii="Calibri" w:hAnsi="Calibri" w:eastAsia="Calibri"/>
                <w:b/>
                <w:color w:val="15324B"/>
                <w:sz w:val="17"/>
              </w:rPr>
              <w:t>Enabled modules</w:t>
            </w:r>
          </w:p>
        </w:tc>
      </w:tr>
      <w:tr>
        <w:tc>
          <w:tcPr>
            <w:tcW w:type="dxa" w:w="1450"/>
          </w:tcPr>
          <w:p>
            <w:pPr>
              <w:spacing w:before="0" w:after="0" w:line="259" w:lineRule="auto"/>
            </w:pPr>
            <w:r>
              <w:rPr>
                <w:rFonts w:ascii="Calibri" w:hAnsi="Calibri" w:eastAsia="Calibri"/>
                <w:b/>
                <w:color w:val="303840"/>
                <w:sz w:val="17"/>
              </w:rPr>
              <w:t>Gene list</w:t>
            </w:r>
          </w:p>
        </w:tc>
        <w:tc>
          <w:tcPr>
            <w:tcW w:type="dxa" w:w="4850"/>
          </w:tcPr>
          <w:p>
            <w:pPr>
              <w:spacing w:before="0" w:after="0" w:line="259" w:lineRule="auto"/>
            </w:pPr>
            <w:r>
              <w:rPr>
                <w:rFonts w:ascii="Calibri" w:hAnsi="Calibri" w:eastAsia="Calibri"/>
                <w:b w:val="0"/>
                <w:color w:val="303840"/>
                <w:sz w:val="17"/>
              </w:rPr>
              <w:t>Recognized gene header; ≥2 cleaned unique genes</w:t>
            </w:r>
          </w:p>
        </w:tc>
        <w:tc>
          <w:tcPr>
            <w:tcW w:type="dxa" w:w="3060"/>
          </w:tcPr>
          <w:p>
            <w:pPr>
              <w:spacing w:before="0" w:after="0" w:line="259" w:lineRule="auto"/>
            </w:pPr>
            <w:r>
              <w:rPr>
                <w:rFonts w:ascii="Calibri" w:hAnsi="Calibri" w:eastAsia="Calibri"/>
                <w:b w:val="0"/>
                <w:color w:val="303840"/>
                <w:sz w:val="17"/>
              </w:rPr>
              <w:t>GO, KEGG, Reactome, WikiPathways, STRING, Hallmark, ChEA</w:t>
            </w:r>
          </w:p>
        </w:tc>
      </w:tr>
      <w:tr>
        <w:tc>
          <w:tcPr>
            <w:tcW w:type="dxa" w:w="1450"/>
            <w:shd w:fill="F8FAFB" w:val="clear"/>
          </w:tcPr>
          <w:p>
            <w:pPr>
              <w:spacing w:before="0" w:after="0" w:line="259" w:lineRule="auto"/>
            </w:pPr>
            <w:r>
              <w:rPr>
                <w:rFonts w:ascii="Calibri" w:hAnsi="Calibri" w:eastAsia="Calibri"/>
                <w:b/>
                <w:color w:val="303840"/>
                <w:sz w:val="17"/>
              </w:rPr>
              <w:t>Expression</w:t>
            </w:r>
          </w:p>
        </w:tc>
        <w:tc>
          <w:tcPr>
            <w:tcW w:type="dxa" w:w="4850"/>
            <w:shd w:fill="F8FAFB" w:val="clear"/>
          </w:tcPr>
          <w:p>
            <w:pPr>
              <w:spacing w:before="0" w:after="0" w:line="259" w:lineRule="auto"/>
            </w:pPr>
            <w:r>
              <w:rPr>
                <w:rFonts w:ascii="Calibri" w:hAnsi="Calibri" w:eastAsia="Calibri"/>
                <w:b w:val="0"/>
                <w:color w:val="303840"/>
                <w:sz w:val="17"/>
              </w:rPr>
              <w:t>Recognized gene header; ≥10 total columns; ≥10 genes; ≥2 columns ≥80% numeric</w:t>
            </w:r>
          </w:p>
        </w:tc>
        <w:tc>
          <w:tcPr>
            <w:tcW w:type="dxa" w:w="3060"/>
            <w:shd w:fill="F8FAFB" w:val="clear"/>
          </w:tcPr>
          <w:p>
            <w:pPr>
              <w:spacing w:before="0" w:after="0" w:line="259" w:lineRule="auto"/>
            </w:pPr>
            <w:r>
              <w:rPr>
                <w:rFonts w:ascii="Calibri" w:hAnsi="Calibri" w:eastAsia="Calibri"/>
                <w:b w:val="0"/>
                <w:color w:val="303840"/>
                <w:sz w:val="17"/>
              </w:rPr>
              <w:t>GSVA, Immune</w:t>
            </w:r>
          </w:p>
        </w:tc>
      </w:tr>
      <w:tr>
        <w:tc>
          <w:tcPr>
            <w:tcW w:type="dxa" w:w="1450"/>
          </w:tcPr>
          <w:p>
            <w:pPr>
              <w:spacing w:before="0" w:after="0" w:line="259" w:lineRule="auto"/>
            </w:pPr>
            <w:r>
              <w:rPr>
                <w:rFonts w:ascii="Calibri" w:hAnsi="Calibri" w:eastAsia="Calibri"/>
                <w:b/>
                <w:color w:val="303840"/>
                <w:sz w:val="17"/>
              </w:rPr>
              <w:t>Drug response</w:t>
            </w:r>
          </w:p>
        </w:tc>
        <w:tc>
          <w:tcPr>
            <w:tcW w:type="dxa" w:w="4850"/>
          </w:tcPr>
          <w:p>
            <w:pPr>
              <w:spacing w:before="0" w:after="0" w:line="259" w:lineRule="auto"/>
            </w:pPr>
            <w:r>
              <w:rPr>
                <w:rFonts w:ascii="Calibri" w:hAnsi="Calibri" w:eastAsia="Calibri"/>
                <w:b w:val="0"/>
                <w:color w:val="303840"/>
                <w:sz w:val="17"/>
              </w:rPr>
              <w:t>Accepted compound+response headers, or any `BRD:` header</w:t>
            </w:r>
          </w:p>
        </w:tc>
        <w:tc>
          <w:tcPr>
            <w:tcW w:type="dxa" w:w="3060"/>
          </w:tcPr>
          <w:p>
            <w:pPr>
              <w:spacing w:before="0" w:after="0" w:line="259" w:lineRule="auto"/>
            </w:pPr>
            <w:r>
              <w:rPr>
                <w:rFonts w:ascii="Calibri" w:hAnsi="Calibri" w:eastAsia="Calibri"/>
                <w:b w:val="0"/>
                <w:color w:val="303840"/>
                <w:sz w:val="17"/>
              </w:rPr>
              <w:t>Drug Sensitivity</w:t>
            </w:r>
          </w:p>
        </w:tc>
      </w:tr>
    </w:tbl>
    <w:p>
      <w:pPr>
        <w:pStyle w:val="Heading2"/>
      </w:pPr>
      <w:r>
        <w:t>CMS4 regression check</w:t>
      </w:r>
    </w:p>
    <w:p>
      <w:pPr>
        <w:keepNext w:val="0"/>
      </w:pPr>
      <w:r>
        <w:rPr>
          <w:rFonts w:ascii="Calibri" w:hAnsi="Calibri" w:eastAsia="Calibri"/>
          <w:i w:val="0"/>
          <w:sz w:val="19"/>
        </w:rPr>
        <w:t>Upload `data/gene_expression_CMS4.csv`. Expected profile: 19,215 rows, 5 columns, 19,215 cleaned genes. Expected compatibility: seven gene-list modules enabled; GSVA, Immune, and Drug disabled.</w:t>
      </w:r>
    </w:p>
    <w:p>
      <w:pPr>
        <w:pStyle w:val="Heading2"/>
      </w:pPr>
      <w:r>
        <w:t>Expression regression check</w:t>
      </w:r>
    </w:p>
    <w:p>
      <w:pPr>
        <w:keepNext w:val="0"/>
      </w:pPr>
      <w:r>
        <w:rPr>
          <w:rFonts w:ascii="Calibri" w:hAnsi="Calibri" w:eastAsia="Calibri"/>
          <w:i w:val="0"/>
          <w:sz w:val="19"/>
        </w:rPr>
        <w:t>Use genes as rows with a first column named `gene_symbol` (or another recognized gene header), at least ten rows, and enough numeric sample columns to bring the table to at least ten total columns. The executor requires at least two numeric samples, but the UI gate requires at least ten total columns.</w:t>
      </w:r>
    </w:p>
    <w:p>
      <w:pPr>
        <w:keepLines/>
        <w:spacing w:before="80" w:after="160"/>
        <w:ind w:left="202" w:right="144"/>
        <w:shd w:fill="FFF8E8" w:val="clear"/>
        <w:pBdr>
          <w:left w:val="single" w:sz="18" w:space="7" w:color="9A6B17"/>
        </w:pBdr>
      </w:pPr>
      <w:r>
        <w:rPr>
          <w:rFonts w:ascii="Calibri" w:hAnsi="Calibri" w:eastAsia="Calibri"/>
          <w:b/>
          <w:color w:val="9A6B17"/>
          <w:sz w:val="21"/>
        </w:rPr>
        <w:t xml:space="preserve">Do not use unchanged  </w:t>
      </w:r>
      <w:r>
        <w:rPr>
          <w:rFonts w:ascii="Calibri" w:hAnsi="Calibri" w:eastAsia="Calibri"/>
          <w:color w:val="303840"/>
          <w:sz w:val="21"/>
        </w:rPr>
        <w:t>`data/OmicsExpression_Bowel_TPMLogp1.csv` is samples × genes and lacks a recognized gene-column name, so the current active UI gate does not enable GSVA/Immune for it unchanged.</w:t>
      </w:r>
    </w:p>
    <w:p>
      <w:pPr>
        <w:pStyle w:val="Heading2"/>
      </w:pPr>
      <w:r>
        <w:t>Drug-response regression check</w:t>
      </w:r>
    </w:p>
    <w:p>
      <w:pPr>
        <w:keepNext w:val="0"/>
      </w:pPr>
      <w:r>
        <w:rPr>
          <w:rFonts w:ascii="Calibri" w:hAnsi="Calibri" w:eastAsia="Calibri"/>
          <w:i w:val="0"/>
          <w:sz w:val="19"/>
        </w:rPr>
        <w:t>Use either a long table with an accepted compound header plus `IC50`, `AUC`, `viability`, `sensitivity`, `response`, or `lnIC50`, or a wide PRISM-like table whose compound columns contain `BRD:`. A tracked drug-response Shiny fixture is Not verified from repository.</w:t>
      </w:r>
    </w:p>
    <w:p>
      <w:pPr>
        <w:spacing w:after="0"/>
      </w:pPr>
      <w:r>
        <w:br w:type="page"/>
      </w:r>
    </w:p>
    <w:p>
      <w:pPr>
        <w:spacing w:after="100"/>
        <w:jc w:val="left"/>
      </w:pPr>
      <w:r>
        <w:rPr>
          <w:rFonts w:ascii="Calibri" w:hAnsi="Calibri" w:eastAsia="Calibri"/>
          <w:b/>
          <w:caps/>
          <w:color w:val="167A72"/>
          <w:sz w:val="19"/>
        </w:rPr>
        <w:t>MODULE VALIDATION</w:t>
      </w:r>
    </w:p>
    <w:p>
      <w:pPr>
        <w:pStyle w:val="Heading1"/>
      </w:pPr>
      <w:r>
        <w:t>Test Every Implemented Module</w:t>
      </w:r>
    </w:p>
    <w:p>
      <w:pPr>
        <w:pStyle w:val="Caption"/>
        <w:keepNext/>
      </w:pPr>
      <w:r>
        <w:t>Table 2. Expected module-level evidence</w:t>
      </w:r>
    </w:p>
    <w:tbl>
      <w:tblPr>
        <w:tblStyle w:val="TableGrid"/>
        <w:tblW w:type="dxa" w:w="9360"/>
        <w:jc w:val="left"/>
        <w:tblLayout w:type="fixed"/>
        <w:tblLook w:firstColumn="1" w:firstRow="1" w:lastColumn="0" w:lastRow="0" w:noHBand="0" w:noVBand="1" w:val="04A0"/>
        <w:tblInd w:w="120" w:type="dxa"/>
      </w:tblPr>
      <w:tblGrid>
        <w:gridCol w:w="1250"/>
        <w:gridCol w:w="4080"/>
        <w:gridCol w:w="4030"/>
      </w:tblGrid>
      <w:tr>
        <w:trPr>
          <w:tblHeader w:val="true"/>
        </w:trPr>
        <w:tc>
          <w:tcPr>
            <w:tcW w:type="dxa" w:w="1250"/>
            <w:tcMar>
              <w:top w:w="80" w:type="dxa"/>
              <w:bottom w:w="80" w:type="dxa"/>
              <w:start w:w="120" w:type="dxa"/>
              <w:end w:w="120" w:type="dxa"/>
            </w:tcMar>
            <w:vAlign w:val="center"/>
            <w:shd w:fill="E8EEF5" w:val="clear"/>
          </w:tcPr>
          <w:p>
            <w:pPr>
              <w:spacing w:before="0" w:after="0" w:line="252" w:lineRule="auto"/>
            </w:pPr>
            <w:r>
              <w:rPr>
                <w:rFonts w:ascii="Calibri" w:hAnsi="Calibri" w:eastAsia="Calibri"/>
                <w:b/>
                <w:color w:val="15324B"/>
                <w:sz w:val="16"/>
              </w:rPr>
              <w:t>Module</w:t>
            </w:r>
          </w:p>
        </w:tc>
        <w:tc>
          <w:tcPr>
            <w:tcW w:type="dxa" w:w="4080"/>
            <w:tcMar>
              <w:top w:w="80" w:type="dxa"/>
              <w:bottom w:w="80" w:type="dxa"/>
              <w:start w:w="120" w:type="dxa"/>
              <w:end w:w="120" w:type="dxa"/>
            </w:tcMar>
            <w:vAlign w:val="center"/>
            <w:shd w:fill="E8EEF5" w:val="clear"/>
          </w:tcPr>
          <w:p>
            <w:pPr>
              <w:spacing w:before="0" w:after="0" w:line="252" w:lineRule="auto"/>
            </w:pPr>
            <w:r>
              <w:rPr>
                <w:rFonts w:ascii="Calibri" w:hAnsi="Calibri" w:eastAsia="Calibri"/>
                <w:b/>
                <w:color w:val="15324B"/>
                <w:sz w:val="16"/>
              </w:rPr>
              <w:t>Pass condition</w:t>
            </w:r>
          </w:p>
        </w:tc>
        <w:tc>
          <w:tcPr>
            <w:tcW w:type="dxa" w:w="4030"/>
            <w:tcMar>
              <w:top w:w="80" w:type="dxa"/>
              <w:bottom w:w="80" w:type="dxa"/>
              <w:start w:w="120" w:type="dxa"/>
              <w:end w:w="120" w:type="dxa"/>
            </w:tcMar>
            <w:vAlign w:val="center"/>
            <w:shd w:fill="E8EEF5" w:val="clear"/>
          </w:tcPr>
          <w:p>
            <w:pPr>
              <w:spacing w:before="0" w:after="0" w:line="252" w:lineRule="auto"/>
            </w:pPr>
            <w:r>
              <w:rPr>
                <w:rFonts w:ascii="Calibri" w:hAnsi="Calibri" w:eastAsia="Calibri"/>
                <w:b/>
                <w:color w:val="15324B"/>
                <w:sz w:val="16"/>
              </w:rPr>
              <w:t>Expected output</w:t>
            </w:r>
          </w:p>
        </w:tc>
      </w:tr>
      <w:tr>
        <w:tc>
          <w:tcPr>
            <w:tcW w:type="dxa" w:w="1250"/>
          </w:tcPr>
          <w:p>
            <w:pPr>
              <w:spacing w:before="0" w:after="0" w:line="259" w:lineRule="auto"/>
            </w:pPr>
            <w:r>
              <w:rPr>
                <w:rFonts w:ascii="Calibri" w:hAnsi="Calibri" w:eastAsia="Calibri"/>
                <w:b/>
                <w:color w:val="303840"/>
                <w:sz w:val="16"/>
              </w:rPr>
              <w:t>GO</w:t>
            </w:r>
          </w:p>
        </w:tc>
        <w:tc>
          <w:tcPr>
            <w:tcW w:type="dxa" w:w="4080"/>
          </w:tcPr>
          <w:p>
            <w:pPr>
              <w:spacing w:before="0" w:after="0" w:line="259" w:lineRule="auto"/>
            </w:pPr>
            <w:r>
              <w:rPr>
                <w:rFonts w:ascii="Calibri" w:hAnsi="Calibri" w:eastAsia="Calibri"/>
                <w:b w:val="0"/>
                <w:color w:val="303840"/>
                <w:sz w:val="16"/>
              </w:rPr>
              <w:t>Worker succeeds; result table available</w:t>
            </w:r>
          </w:p>
        </w:tc>
        <w:tc>
          <w:tcPr>
            <w:tcW w:type="dxa" w:w="4030"/>
          </w:tcPr>
          <w:p>
            <w:pPr>
              <w:spacing w:before="0" w:after="0" w:line="259" w:lineRule="auto"/>
            </w:pPr>
            <w:r>
              <w:rPr>
                <w:rFonts w:ascii="Calibri" w:hAnsi="Calibri" w:eastAsia="Calibri"/>
                <w:b w:val="0"/>
                <w:color w:val="303840"/>
                <w:sz w:val="16"/>
              </w:rPr>
              <w:t>`go_results.csv`; dot plot when rows exist</w:t>
            </w:r>
          </w:p>
        </w:tc>
      </w:tr>
      <w:tr>
        <w:tc>
          <w:tcPr>
            <w:tcW w:type="dxa" w:w="1250"/>
            <w:shd w:fill="F8FAFB" w:val="clear"/>
          </w:tcPr>
          <w:p>
            <w:pPr>
              <w:spacing w:before="0" w:after="0" w:line="259" w:lineRule="auto"/>
            </w:pPr>
            <w:r>
              <w:rPr>
                <w:rFonts w:ascii="Calibri" w:hAnsi="Calibri" w:eastAsia="Calibri"/>
                <w:b/>
                <w:color w:val="303840"/>
                <w:sz w:val="16"/>
              </w:rPr>
              <w:t>KEGG</w:t>
            </w:r>
          </w:p>
        </w:tc>
        <w:tc>
          <w:tcPr>
            <w:tcW w:type="dxa" w:w="4080"/>
            <w:shd w:fill="F8FAFB" w:val="clear"/>
          </w:tcPr>
          <w:p>
            <w:pPr>
              <w:spacing w:before="0" w:after="0" w:line="259" w:lineRule="auto"/>
            </w:pPr>
            <w:r>
              <w:rPr>
                <w:rFonts w:ascii="Calibri" w:hAnsi="Calibri" w:eastAsia="Calibri"/>
                <w:b w:val="0"/>
                <w:color w:val="303840"/>
                <w:sz w:val="16"/>
              </w:rPr>
              <w:t>Worker succeeds, including valid zero-row outcome</w:t>
            </w:r>
          </w:p>
        </w:tc>
        <w:tc>
          <w:tcPr>
            <w:tcW w:type="dxa" w:w="4030"/>
            <w:shd w:fill="F8FAFB" w:val="clear"/>
          </w:tcPr>
          <w:p>
            <w:pPr>
              <w:spacing w:before="0" w:after="0" w:line="259" w:lineRule="auto"/>
            </w:pPr>
            <w:r>
              <w:rPr>
                <w:rFonts w:ascii="Calibri" w:hAnsi="Calibri" w:eastAsia="Calibri"/>
                <w:b w:val="0"/>
                <w:color w:val="303840"/>
                <w:sz w:val="16"/>
              </w:rPr>
              <w:t>`kegg_results.csv`; dot plot only when plottable</w:t>
            </w:r>
          </w:p>
        </w:tc>
      </w:tr>
      <w:tr>
        <w:tc>
          <w:tcPr>
            <w:tcW w:type="dxa" w:w="1250"/>
          </w:tcPr>
          <w:p>
            <w:pPr>
              <w:spacing w:before="0" w:after="0" w:line="259" w:lineRule="auto"/>
            </w:pPr>
            <w:r>
              <w:rPr>
                <w:rFonts w:ascii="Calibri" w:hAnsi="Calibri" w:eastAsia="Calibri"/>
                <w:b/>
                <w:color w:val="303840"/>
                <w:sz w:val="16"/>
              </w:rPr>
              <w:t>Reactome</w:t>
            </w:r>
          </w:p>
        </w:tc>
        <w:tc>
          <w:tcPr>
            <w:tcW w:type="dxa" w:w="4080"/>
          </w:tcPr>
          <w:p>
            <w:pPr>
              <w:spacing w:before="0" w:after="0" w:line="259" w:lineRule="auto"/>
            </w:pPr>
            <w:r>
              <w:rPr>
                <w:rFonts w:ascii="Calibri" w:hAnsi="Calibri" w:eastAsia="Calibri"/>
                <w:b w:val="0"/>
                <w:color w:val="303840"/>
                <w:sz w:val="16"/>
              </w:rPr>
              <w:t>Worker succeeds; table available</w:t>
            </w:r>
          </w:p>
        </w:tc>
        <w:tc>
          <w:tcPr>
            <w:tcW w:type="dxa" w:w="4030"/>
          </w:tcPr>
          <w:p>
            <w:pPr>
              <w:spacing w:before="0" w:after="0" w:line="259" w:lineRule="auto"/>
            </w:pPr>
            <w:r>
              <w:rPr>
                <w:rFonts w:ascii="Calibri" w:hAnsi="Calibri" w:eastAsia="Calibri"/>
                <w:b w:val="0"/>
                <w:color w:val="303840"/>
                <w:sz w:val="16"/>
              </w:rPr>
              <w:t>`reactome_results.csv`; pathway plot when rows exist</w:t>
            </w:r>
          </w:p>
        </w:tc>
      </w:tr>
      <w:tr>
        <w:tc>
          <w:tcPr>
            <w:tcW w:type="dxa" w:w="1250"/>
            <w:shd w:fill="F8FAFB" w:val="clear"/>
          </w:tcPr>
          <w:p>
            <w:pPr>
              <w:spacing w:before="0" w:after="0" w:line="259" w:lineRule="auto"/>
            </w:pPr>
            <w:r>
              <w:rPr>
                <w:rFonts w:ascii="Calibri" w:hAnsi="Calibri" w:eastAsia="Calibri"/>
                <w:b/>
                <w:color w:val="303840"/>
                <w:sz w:val="16"/>
              </w:rPr>
              <w:t>WikiPathways</w:t>
            </w:r>
          </w:p>
        </w:tc>
        <w:tc>
          <w:tcPr>
            <w:tcW w:type="dxa" w:w="4080"/>
            <w:shd w:fill="F8FAFB" w:val="clear"/>
          </w:tcPr>
          <w:p>
            <w:pPr>
              <w:spacing w:before="0" w:after="0" w:line="259" w:lineRule="auto"/>
            </w:pPr>
            <w:r>
              <w:rPr>
                <w:rFonts w:ascii="Calibri" w:hAnsi="Calibri" w:eastAsia="Calibri"/>
                <w:b w:val="0"/>
                <w:color w:val="303840"/>
                <w:sz w:val="16"/>
              </w:rPr>
              <w:t>Worker succeeds; table available</w:t>
            </w:r>
          </w:p>
        </w:tc>
        <w:tc>
          <w:tcPr>
            <w:tcW w:type="dxa" w:w="4030"/>
            <w:shd w:fill="F8FAFB" w:val="clear"/>
          </w:tcPr>
          <w:p>
            <w:pPr>
              <w:spacing w:before="0" w:after="0" w:line="259" w:lineRule="auto"/>
            </w:pPr>
            <w:r>
              <w:rPr>
                <w:rFonts w:ascii="Calibri" w:hAnsi="Calibri" w:eastAsia="Calibri"/>
                <w:b w:val="0"/>
                <w:color w:val="303840"/>
                <w:sz w:val="16"/>
              </w:rPr>
              <w:t>`wikipathways_results.csv`; pathway plot when rows exist</w:t>
            </w:r>
          </w:p>
        </w:tc>
      </w:tr>
      <w:tr>
        <w:tc>
          <w:tcPr>
            <w:tcW w:type="dxa" w:w="1250"/>
          </w:tcPr>
          <w:p>
            <w:pPr>
              <w:spacing w:before="0" w:after="0" w:line="259" w:lineRule="auto"/>
            </w:pPr>
            <w:r>
              <w:rPr>
                <w:rFonts w:ascii="Calibri" w:hAnsi="Calibri" w:eastAsia="Calibri"/>
                <w:b/>
                <w:color w:val="303840"/>
                <w:sz w:val="16"/>
              </w:rPr>
              <w:t>STRING</w:t>
            </w:r>
          </w:p>
        </w:tc>
        <w:tc>
          <w:tcPr>
            <w:tcW w:type="dxa" w:w="4080"/>
          </w:tcPr>
          <w:p>
            <w:pPr>
              <w:spacing w:before="0" w:after="0" w:line="259" w:lineRule="auto"/>
            </w:pPr>
            <w:r>
              <w:rPr>
                <w:rFonts w:ascii="Calibri" w:hAnsi="Calibri" w:eastAsia="Calibri"/>
                <w:b w:val="0"/>
                <w:color w:val="303840"/>
                <w:sz w:val="16"/>
              </w:rPr>
              <w:t>Mapped hubs table available</w:t>
            </w:r>
          </w:p>
        </w:tc>
        <w:tc>
          <w:tcPr>
            <w:tcW w:type="dxa" w:w="4030"/>
          </w:tcPr>
          <w:p>
            <w:pPr>
              <w:spacing w:before="0" w:after="0" w:line="259" w:lineRule="auto"/>
            </w:pPr>
            <w:r>
              <w:rPr>
                <w:rFonts w:ascii="Calibri" w:hAnsi="Calibri" w:eastAsia="Calibri"/>
                <w:b w:val="0"/>
                <w:color w:val="303840"/>
                <w:sz w:val="16"/>
              </w:rPr>
              <w:t>`string_hub_proteins.csv`; no plot</w:t>
            </w:r>
          </w:p>
        </w:tc>
      </w:tr>
      <w:tr>
        <w:tc>
          <w:tcPr>
            <w:tcW w:type="dxa" w:w="1250"/>
            <w:shd w:fill="F8FAFB" w:val="clear"/>
          </w:tcPr>
          <w:p>
            <w:pPr>
              <w:spacing w:before="0" w:after="0" w:line="259" w:lineRule="auto"/>
            </w:pPr>
            <w:r>
              <w:rPr>
                <w:rFonts w:ascii="Calibri" w:hAnsi="Calibri" w:eastAsia="Calibri"/>
                <w:b/>
                <w:color w:val="303840"/>
                <w:sz w:val="16"/>
              </w:rPr>
              <w:t>Hallmark</w:t>
            </w:r>
          </w:p>
        </w:tc>
        <w:tc>
          <w:tcPr>
            <w:tcW w:type="dxa" w:w="4080"/>
            <w:shd w:fill="F8FAFB" w:val="clear"/>
          </w:tcPr>
          <w:p>
            <w:pPr>
              <w:spacing w:before="0" w:after="0" w:line="259" w:lineRule="auto"/>
            </w:pPr>
            <w:r>
              <w:rPr>
                <w:rFonts w:ascii="Calibri" w:hAnsi="Calibri" w:eastAsia="Calibri"/>
                <w:b w:val="0"/>
                <w:color w:val="303840"/>
                <w:sz w:val="16"/>
              </w:rPr>
              <w:t>Worker succeeds; table available</w:t>
            </w:r>
          </w:p>
        </w:tc>
        <w:tc>
          <w:tcPr>
            <w:tcW w:type="dxa" w:w="4030"/>
            <w:shd w:fill="F8FAFB" w:val="clear"/>
          </w:tcPr>
          <w:p>
            <w:pPr>
              <w:spacing w:before="0" w:after="0" w:line="259" w:lineRule="auto"/>
            </w:pPr>
            <w:r>
              <w:rPr>
                <w:rFonts w:ascii="Calibri" w:hAnsi="Calibri" w:eastAsia="Calibri"/>
                <w:b w:val="0"/>
                <w:color w:val="303840"/>
                <w:sz w:val="16"/>
              </w:rPr>
              <w:t>`hallmark_results.csv`; pathway plot when rows exist</w:t>
            </w:r>
          </w:p>
        </w:tc>
      </w:tr>
      <w:tr>
        <w:tc>
          <w:tcPr>
            <w:tcW w:type="dxa" w:w="1250"/>
          </w:tcPr>
          <w:p>
            <w:pPr>
              <w:spacing w:before="0" w:after="0" w:line="259" w:lineRule="auto"/>
            </w:pPr>
            <w:r>
              <w:rPr>
                <w:rFonts w:ascii="Calibri" w:hAnsi="Calibri" w:eastAsia="Calibri"/>
                <w:b/>
                <w:color w:val="303840"/>
                <w:sz w:val="16"/>
              </w:rPr>
              <w:t>ChEA</w:t>
            </w:r>
          </w:p>
        </w:tc>
        <w:tc>
          <w:tcPr>
            <w:tcW w:type="dxa" w:w="4080"/>
          </w:tcPr>
          <w:p>
            <w:pPr>
              <w:spacing w:before="0" w:after="0" w:line="259" w:lineRule="auto"/>
            </w:pPr>
            <w:r>
              <w:rPr>
                <w:rFonts w:ascii="Calibri" w:hAnsi="Calibri" w:eastAsia="Calibri"/>
                <w:b w:val="0"/>
                <w:color w:val="303840"/>
                <w:sz w:val="16"/>
              </w:rPr>
              <w:t>Enrichr query succeeds</w:t>
            </w:r>
          </w:p>
        </w:tc>
        <w:tc>
          <w:tcPr>
            <w:tcW w:type="dxa" w:w="4030"/>
          </w:tcPr>
          <w:p>
            <w:pPr>
              <w:spacing w:before="0" w:after="0" w:line="259" w:lineRule="auto"/>
            </w:pPr>
            <w:r>
              <w:rPr>
                <w:rFonts w:ascii="Calibri" w:hAnsi="Calibri" w:eastAsia="Calibri"/>
                <w:b w:val="0"/>
                <w:color w:val="303840"/>
                <w:sz w:val="16"/>
              </w:rPr>
              <w:t>`chea_results.csv`; TF dot plot when rows exist</w:t>
            </w:r>
          </w:p>
        </w:tc>
      </w:tr>
      <w:tr>
        <w:tc>
          <w:tcPr>
            <w:tcW w:type="dxa" w:w="1250"/>
            <w:shd w:fill="F8FAFB" w:val="clear"/>
          </w:tcPr>
          <w:p>
            <w:pPr>
              <w:spacing w:before="0" w:after="0" w:line="259" w:lineRule="auto"/>
            </w:pPr>
            <w:r>
              <w:rPr>
                <w:rFonts w:ascii="Calibri" w:hAnsi="Calibri" w:eastAsia="Calibri"/>
                <w:b/>
                <w:color w:val="303840"/>
                <w:sz w:val="16"/>
              </w:rPr>
              <w:t>GSVA</w:t>
            </w:r>
          </w:p>
        </w:tc>
        <w:tc>
          <w:tcPr>
            <w:tcW w:type="dxa" w:w="4080"/>
            <w:shd w:fill="F8FAFB" w:val="clear"/>
          </w:tcPr>
          <w:p>
            <w:pPr>
              <w:spacing w:before="0" w:after="0" w:line="259" w:lineRule="auto"/>
            </w:pPr>
            <w:r>
              <w:rPr>
                <w:rFonts w:ascii="Calibri" w:hAnsi="Calibri" w:eastAsia="Calibri"/>
                <w:b w:val="0"/>
                <w:color w:val="303840"/>
                <w:sz w:val="16"/>
              </w:rPr>
              <w:t>Hallmark scores returned across samples</w:t>
            </w:r>
          </w:p>
        </w:tc>
        <w:tc>
          <w:tcPr>
            <w:tcW w:type="dxa" w:w="4030"/>
            <w:shd w:fill="F8FAFB" w:val="clear"/>
          </w:tcPr>
          <w:p>
            <w:pPr>
              <w:spacing w:before="0" w:after="0" w:line="259" w:lineRule="auto"/>
            </w:pPr>
            <w:r>
              <w:rPr>
                <w:rFonts w:ascii="Calibri" w:hAnsi="Calibri" w:eastAsia="Calibri"/>
                <w:b w:val="0"/>
                <w:color w:val="303840"/>
                <w:sz w:val="16"/>
              </w:rPr>
              <w:t>`gsva_hallmark_scores.csv`; top-variable heatmap</w:t>
            </w:r>
          </w:p>
        </w:tc>
      </w:tr>
      <w:tr>
        <w:tc>
          <w:tcPr>
            <w:tcW w:type="dxa" w:w="1250"/>
          </w:tcPr>
          <w:p>
            <w:pPr>
              <w:spacing w:before="0" w:after="0" w:line="259" w:lineRule="auto"/>
            </w:pPr>
            <w:r>
              <w:rPr>
                <w:rFonts w:ascii="Calibri" w:hAnsi="Calibri" w:eastAsia="Calibri"/>
                <w:b/>
                <w:color w:val="303840"/>
                <w:sz w:val="16"/>
              </w:rPr>
              <w:t>Immune</w:t>
            </w:r>
          </w:p>
        </w:tc>
        <w:tc>
          <w:tcPr>
            <w:tcW w:type="dxa" w:w="4080"/>
          </w:tcPr>
          <w:p>
            <w:pPr>
              <w:spacing w:before="0" w:after="0" w:line="259" w:lineRule="auto"/>
            </w:pPr>
            <w:r>
              <w:rPr>
                <w:rFonts w:ascii="Calibri" w:hAnsi="Calibri" w:eastAsia="Calibri"/>
                <w:b w:val="0"/>
                <w:color w:val="303840"/>
                <w:sz w:val="16"/>
              </w:rPr>
              <w:t>`quantiseq` returns cell estimates</w:t>
            </w:r>
          </w:p>
        </w:tc>
        <w:tc>
          <w:tcPr>
            <w:tcW w:type="dxa" w:w="4030"/>
          </w:tcPr>
          <w:p>
            <w:pPr>
              <w:spacing w:before="0" w:after="0" w:line="259" w:lineRule="auto"/>
            </w:pPr>
            <w:r>
              <w:rPr>
                <w:rFonts w:ascii="Calibri" w:hAnsi="Calibri" w:eastAsia="Calibri"/>
                <w:b w:val="0"/>
                <w:color w:val="303840"/>
                <w:sz w:val="16"/>
              </w:rPr>
              <w:t>`immune_cell_composition.csv`; no plot</w:t>
            </w:r>
          </w:p>
        </w:tc>
      </w:tr>
      <w:tr>
        <w:tc>
          <w:tcPr>
            <w:tcW w:type="dxa" w:w="1250"/>
            <w:shd w:fill="F8FAFB" w:val="clear"/>
          </w:tcPr>
          <w:p>
            <w:pPr>
              <w:spacing w:before="0" w:after="0" w:line="259" w:lineRule="auto"/>
            </w:pPr>
            <w:r>
              <w:rPr>
                <w:rFonts w:ascii="Calibri" w:hAnsi="Calibri" w:eastAsia="Calibri"/>
                <w:b/>
                <w:color w:val="303840"/>
                <w:sz w:val="16"/>
              </w:rPr>
              <w:t>Drug</w:t>
            </w:r>
          </w:p>
        </w:tc>
        <w:tc>
          <w:tcPr>
            <w:tcW w:type="dxa" w:w="4080"/>
            <w:shd w:fill="F8FAFB" w:val="clear"/>
          </w:tcPr>
          <w:p>
            <w:pPr>
              <w:spacing w:before="0" w:after="0" w:line="259" w:lineRule="auto"/>
            </w:pPr>
            <w:r>
              <w:rPr>
                <w:rFonts w:ascii="Calibri" w:hAnsi="Calibri" w:eastAsia="Calibri"/>
                <w:b w:val="0"/>
                <w:color w:val="303840"/>
                <w:sz w:val="16"/>
              </w:rPr>
              <w:t>Compounds ranked with mean and measurement count</w:t>
            </w:r>
          </w:p>
        </w:tc>
        <w:tc>
          <w:tcPr>
            <w:tcW w:type="dxa" w:w="4030"/>
            <w:shd w:fill="F8FAFB" w:val="clear"/>
          </w:tcPr>
          <w:p>
            <w:pPr>
              <w:spacing w:before="0" w:after="0" w:line="259" w:lineRule="auto"/>
            </w:pPr>
            <w:r>
              <w:rPr>
                <w:rFonts w:ascii="Calibri" w:hAnsi="Calibri" w:eastAsia="Calibri"/>
                <w:b w:val="0"/>
                <w:color w:val="303840"/>
                <w:sz w:val="16"/>
              </w:rPr>
              <w:t>`drug_sensitivity_results.csv`; no plot</w:t>
            </w:r>
          </w:p>
        </w:tc>
      </w:tr>
    </w:tbl>
    <w:p>
      <w:pPr>
        <w:pStyle w:val="Heading2"/>
      </w:pPr>
      <w:r>
        <w:t>Results Center checks</w:t>
      </w:r>
    </w:p>
    <w:p>
      <w:pPr>
        <w:numPr>
          <w:ilvl w:val="0"/>
          <w:numId w:val="10"/>
        </w:numPr>
      </w:pPr>
      <w:r>
        <w:rPr>
          <w:rFonts w:ascii="Calibri" w:hAnsi="Calibri" w:eastAsia="Calibri"/>
        </w:rPr>
        <w:t>Only selected modules appear as tabs.</w:t>
      </w:r>
    </w:p>
    <w:p>
      <w:pPr>
        <w:numPr>
          <w:ilvl w:val="0"/>
          <w:numId w:val="10"/>
        </w:numPr>
      </w:pPr>
      <w:r>
        <w:rPr>
          <w:rFonts w:ascii="Calibri" w:hAnsi="Calibri" w:eastAsia="Calibri"/>
        </w:rPr>
        <w:t>Each generated CSV shows a row-status badge and searchable/paged table.</w:t>
      </w:r>
    </w:p>
    <w:p>
      <w:pPr>
        <w:numPr>
          <w:ilvl w:val="0"/>
          <w:numId w:val="10"/>
        </w:numPr>
      </w:pPr>
      <w:r>
        <w:rPr>
          <w:rFonts w:ascii="Calibri" w:hAnsi="Calibri" w:eastAsia="Calibri"/>
        </w:rPr>
        <w:t>Plot-producing modules show an inline image and open it in a full-screen modal.</w:t>
      </w:r>
    </w:p>
    <w:p>
      <w:pPr>
        <w:numPr>
          <w:ilvl w:val="0"/>
          <w:numId w:val="10"/>
        </w:numPr>
      </w:pPr>
      <w:r>
        <w:rPr>
          <w:rFonts w:ascii="Calibri" w:hAnsi="Calibri" w:eastAsia="Calibri"/>
        </w:rPr>
        <w:t>STRING, Immune, and Drug show a no-visualization state rather than a plot.</w:t>
      </w:r>
    </w:p>
    <w:p>
      <w:pPr>
        <w:numPr>
          <w:ilvl w:val="0"/>
          <w:numId w:val="10"/>
        </w:numPr>
      </w:pPr>
      <w:r>
        <w:rPr>
          <w:rFonts w:ascii="Calibri" w:hAnsi="Calibri" w:eastAsia="Calibri"/>
        </w:rPr>
        <w:t>Per-module CSV download names use `OncoProfiling_&lt;MODULE&gt;_results.csv`.</w:t>
      </w:r>
    </w:p>
    <w:p>
      <w:pPr>
        <w:numPr>
          <w:ilvl w:val="0"/>
          <w:numId w:val="10"/>
        </w:numPr>
      </w:pPr>
      <w:r>
        <w:rPr>
          <w:rFonts w:ascii="Calibri" w:hAnsi="Calibri" w:eastAsia="Calibri"/>
        </w:rPr>
        <w:t>Final summary marks every module Completed, Failed, or Not executed.</w:t>
      </w:r>
    </w:p>
    <w:p>
      <w:pPr>
        <w:pStyle w:val="Heading2"/>
      </w:pPr>
      <w:r>
        <w:t>Known combined-download defect</w:t>
      </w:r>
    </w:p>
    <w:p>
      <w:pPr>
        <w:keepLines/>
        <w:spacing w:before="80" w:after="160"/>
        <w:ind w:left="202" w:right="144"/>
        <w:shd w:fill="FDEEEE" w:val="clear"/>
        <w:pBdr>
          <w:left w:val="single" w:sz="18" w:space="7" w:color="9B1C1C"/>
        </w:pBdr>
      </w:pPr>
      <w:r>
        <w:rPr>
          <w:rFonts w:ascii="Calibri" w:hAnsi="Calibri" w:eastAsia="Calibri"/>
          <w:b/>
          <w:color w:val="9B1C1C"/>
          <w:sz w:val="21"/>
        </w:rPr>
        <w:t xml:space="preserve">Expected current failure  </w:t>
      </w:r>
      <w:r>
        <w:rPr>
          <w:rFonts w:ascii="Calibri" w:hAnsi="Calibri" w:eastAsia="Calibri"/>
          <w:color w:val="303840"/>
          <w:sz w:val="21"/>
        </w:rPr>
        <w:t>The combined HTML builder’s internal title map omits WikiPathways and Hallmark. A direct smoke check produced `subscript out of bounds`. Treat the combined HTML and ZIP actions as failing validation until that map and four-agent introductory copy are repaired.</w:t>
      </w:r>
    </w:p>
    <w:p>
      <w:pPr>
        <w:spacing w:after="0"/>
      </w:pPr>
      <w:r>
        <w:br w:type="page"/>
      </w:r>
    </w:p>
    <w:p>
      <w:pPr>
        <w:spacing w:after="100"/>
        <w:jc w:val="left"/>
      </w:pPr>
      <w:r>
        <w:rPr>
          <w:rFonts w:ascii="Calibri" w:hAnsi="Calibri" w:eastAsia="Calibri"/>
          <w:b/>
          <w:caps/>
          <w:color w:val="167A72"/>
          <w:sz w:val="19"/>
        </w:rPr>
        <w:t>TROUBLESHOOTING AND SIGN-OFF</w:t>
      </w:r>
    </w:p>
    <w:p>
      <w:pPr>
        <w:pStyle w:val="Heading1"/>
      </w:pPr>
      <w:r>
        <w:t>Troubleshooting</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bottom w:w="80" w:type="dxa"/>
              <w:start w:w="120" w:type="dxa"/>
              <w:end w:w="120" w:type="dxa"/>
            </w:tcMar>
            <w:vAlign w:val="center"/>
            <w:shd w:fill="F2F4F7" w:val="clear"/>
          </w:tcPr>
          <w:p>
            <w:pPr>
              <w:spacing w:before="0" w:after="0" w:line="252" w:lineRule="auto"/>
            </w:pPr>
            <w:r>
              <w:rPr>
                <w:rFonts w:ascii="Calibri" w:hAnsi="Calibri" w:eastAsia="Calibri"/>
                <w:b/>
                <w:color w:val="15324B"/>
                <w:sz w:val="17"/>
              </w:rPr>
              <w:t>Symptom</w:t>
            </w:r>
          </w:p>
        </w:tc>
        <w:tc>
          <w:tcPr>
            <w:tcW w:type="dxa" w:w="7060"/>
            <w:tcMar>
              <w:top w:w="80" w:type="dxa"/>
              <w:bottom w:w="80" w:type="dxa"/>
              <w:start w:w="120" w:type="dxa"/>
              <w:end w:w="120" w:type="dxa"/>
            </w:tcMar>
            <w:vAlign w:val="center"/>
            <w:shd w:fill="F2F4F7" w:val="clear"/>
          </w:tcPr>
          <w:p>
            <w:pPr>
              <w:spacing w:before="0" w:after="0" w:line="252" w:lineRule="auto"/>
            </w:pPr>
            <w:r>
              <w:rPr>
                <w:rFonts w:ascii="Calibri" w:hAnsi="Calibri" w:eastAsia="Calibri"/>
                <w:b/>
                <w:color w:val="15324B"/>
                <w:sz w:val="17"/>
              </w:rPr>
              <w:t>Source-grounded check</w:t>
            </w:r>
          </w:p>
        </w:tc>
      </w:tr>
      <w:tr>
        <w:tc>
          <w:tcPr>
            <w:tcW w:type="dxa" w:w="2300"/>
          </w:tcPr>
          <w:p>
            <w:pPr>
              <w:spacing w:before="0" w:after="0" w:line="259" w:lineRule="auto"/>
            </w:pPr>
            <w:r>
              <w:rPr>
                <w:rFonts w:ascii="Calibri" w:hAnsi="Calibri" w:eastAsia="Calibri"/>
                <w:b/>
                <w:color w:val="303840"/>
                <w:sz w:val="17"/>
              </w:rPr>
              <w:t>No modules enable</w:t>
            </w:r>
          </w:p>
        </w:tc>
        <w:tc>
          <w:tcPr>
            <w:tcW w:type="dxa" w:w="7060"/>
          </w:tcPr>
          <w:p>
            <w:pPr>
              <w:spacing w:before="0" w:after="0" w:line="259" w:lineRule="auto"/>
            </w:pPr>
            <w:r>
              <w:rPr>
                <w:rFonts w:ascii="Calibri" w:hAnsi="Calibri" w:eastAsia="Calibri"/>
                <w:b w:val="0"/>
                <w:color w:val="303840"/>
                <w:sz w:val="17"/>
              </w:rPr>
              <w:t>Confirm a recognized gene header, the expression-width threshold, or accepted drug headers.</w:t>
            </w:r>
          </w:p>
        </w:tc>
      </w:tr>
      <w:tr>
        <w:tc>
          <w:tcPr>
            <w:tcW w:type="dxa" w:w="2300"/>
            <w:shd w:fill="F8FAFB" w:val="clear"/>
          </w:tcPr>
          <w:p>
            <w:pPr>
              <w:spacing w:before="0" w:after="0" w:line="259" w:lineRule="auto"/>
            </w:pPr>
            <w:r>
              <w:rPr>
                <w:rFonts w:ascii="Calibri" w:hAnsi="Calibri" w:eastAsia="Calibri"/>
                <w:b/>
                <w:color w:val="303840"/>
                <w:sz w:val="17"/>
              </w:rPr>
              <w:t>GSVA/Immune disabled</w:t>
            </w:r>
          </w:p>
        </w:tc>
        <w:tc>
          <w:tcPr>
            <w:tcW w:type="dxa" w:w="7060"/>
            <w:shd w:fill="F8FAFB" w:val="clear"/>
          </w:tcPr>
          <w:p>
            <w:pPr>
              <w:spacing w:before="0" w:after="0" w:line="259" w:lineRule="auto"/>
            </w:pPr>
            <w:r>
              <w:rPr>
                <w:rFonts w:ascii="Calibri" w:hAnsi="Calibri" w:eastAsia="Calibri"/>
                <w:b w:val="0"/>
                <w:color w:val="303840"/>
                <w:sz w:val="17"/>
              </w:rPr>
              <w:t>Use genes in rows with a recognized gene column and at least ten total columns.</w:t>
            </w:r>
          </w:p>
        </w:tc>
      </w:tr>
      <w:tr>
        <w:tc>
          <w:tcPr>
            <w:tcW w:type="dxa" w:w="2300"/>
          </w:tcPr>
          <w:p>
            <w:pPr>
              <w:spacing w:before="0" w:after="0" w:line="259" w:lineRule="auto"/>
            </w:pPr>
            <w:r>
              <w:rPr>
                <w:rFonts w:ascii="Calibri" w:hAnsi="Calibri" w:eastAsia="Calibri"/>
                <w:b/>
                <w:color w:val="303840"/>
                <w:sz w:val="17"/>
              </w:rPr>
              <w:t>Module fails immediately</w:t>
            </w:r>
          </w:p>
        </w:tc>
        <w:tc>
          <w:tcPr>
            <w:tcW w:type="dxa" w:w="7060"/>
          </w:tcPr>
          <w:p>
            <w:pPr>
              <w:spacing w:before="0" w:after="0" w:line="259" w:lineRule="auto"/>
            </w:pPr>
            <w:r>
              <w:rPr>
                <w:rFonts w:ascii="Calibri" w:hAnsi="Calibri" w:eastAsia="Calibri"/>
                <w:b w:val="0"/>
                <w:color w:val="303840"/>
                <w:sz w:val="17"/>
              </w:rPr>
              <w:t>Read `shiny-app/runtime/&lt;run-id&gt;/&lt;module&gt;.log`; verify the module’s package and network dependency.</w:t>
            </w:r>
          </w:p>
        </w:tc>
      </w:tr>
      <w:tr>
        <w:tc>
          <w:tcPr>
            <w:tcW w:type="dxa" w:w="2300"/>
            <w:shd w:fill="F8FAFB" w:val="clear"/>
          </w:tcPr>
          <w:p>
            <w:pPr>
              <w:spacing w:before="0" w:after="0" w:line="259" w:lineRule="auto"/>
            </w:pPr>
            <w:r>
              <w:rPr>
                <w:rFonts w:ascii="Calibri" w:hAnsi="Calibri" w:eastAsia="Calibri"/>
                <w:b/>
                <w:color w:val="303840"/>
                <w:sz w:val="17"/>
              </w:rPr>
              <w:t>Completed with zero rows</w:t>
            </w:r>
          </w:p>
        </w:tc>
        <w:tc>
          <w:tcPr>
            <w:tcW w:type="dxa" w:w="7060"/>
            <w:shd w:fill="F8FAFB" w:val="clear"/>
          </w:tcPr>
          <w:p>
            <w:pPr>
              <w:spacing w:before="0" w:after="0" w:line="259" w:lineRule="auto"/>
            </w:pPr>
            <w:r>
              <w:rPr>
                <w:rFonts w:ascii="Calibri" w:hAnsi="Calibri" w:eastAsia="Calibri"/>
                <w:b w:val="0"/>
                <w:color w:val="303840"/>
                <w:sz w:val="17"/>
              </w:rPr>
              <w:t>This is valid for thresholded enrichment; the Results Center should show zero significant results.</w:t>
            </w:r>
          </w:p>
        </w:tc>
      </w:tr>
      <w:tr>
        <w:tc>
          <w:tcPr>
            <w:tcW w:type="dxa" w:w="2300"/>
          </w:tcPr>
          <w:p>
            <w:pPr>
              <w:spacing w:before="0" w:after="0" w:line="259" w:lineRule="auto"/>
            </w:pPr>
            <w:r>
              <w:rPr>
                <w:rFonts w:ascii="Calibri" w:hAnsi="Calibri" w:eastAsia="Calibri"/>
                <w:b/>
                <w:color w:val="303840"/>
                <w:sz w:val="17"/>
              </w:rPr>
              <w:t>Old results appear</w:t>
            </w:r>
          </w:p>
        </w:tc>
        <w:tc>
          <w:tcPr>
            <w:tcW w:type="dxa" w:w="7060"/>
          </w:tcPr>
          <w:p>
            <w:pPr>
              <w:spacing w:before="0" w:after="0" w:line="259" w:lineRule="auto"/>
            </w:pPr>
            <w:r>
              <w:rPr>
                <w:rFonts w:ascii="Calibri" w:hAnsi="Calibri" w:eastAsia="Calibri"/>
                <w:b w:val="0"/>
                <w:color w:val="303840"/>
                <w:sz w:val="17"/>
              </w:rPr>
              <w:t>Upload the dataset again or restart the app; both trigger known-file cleanup.</w:t>
            </w:r>
          </w:p>
        </w:tc>
      </w:tr>
      <w:tr>
        <w:tc>
          <w:tcPr>
            <w:tcW w:type="dxa" w:w="2300"/>
            <w:shd w:fill="F8FAFB" w:val="clear"/>
          </w:tcPr>
          <w:p>
            <w:pPr>
              <w:spacing w:before="0" w:after="0" w:line="259" w:lineRule="auto"/>
            </w:pPr>
            <w:r>
              <w:rPr>
                <w:rFonts w:ascii="Calibri" w:hAnsi="Calibri" w:eastAsia="Calibri"/>
                <w:b/>
                <w:color w:val="303840"/>
                <w:sz w:val="17"/>
              </w:rPr>
              <w:t>STRING edges remain</w:t>
            </w:r>
          </w:p>
        </w:tc>
        <w:tc>
          <w:tcPr>
            <w:tcW w:type="dxa" w:w="7060"/>
            <w:shd w:fill="F8FAFB" w:val="clear"/>
          </w:tcPr>
          <w:p>
            <w:pPr>
              <w:spacing w:before="0" w:after="0" w:line="259" w:lineRule="auto"/>
            </w:pPr>
            <w:r>
              <w:rPr>
                <w:rFonts w:ascii="Calibri" w:hAnsi="Calibri" w:eastAsia="Calibri"/>
                <w:b w:val="0"/>
                <w:color w:val="303840"/>
                <w:sz w:val="17"/>
              </w:rPr>
              <w:t>`string_interactions.csv` is not covered by the current cleanup map; remove it before a strict clean-run check.</w:t>
            </w:r>
          </w:p>
        </w:tc>
      </w:tr>
      <w:tr>
        <w:tc>
          <w:tcPr>
            <w:tcW w:type="dxa" w:w="2300"/>
          </w:tcPr>
          <w:p>
            <w:pPr>
              <w:spacing w:before="0" w:after="0" w:line="259" w:lineRule="auto"/>
            </w:pPr>
            <w:r>
              <w:rPr>
                <w:rFonts w:ascii="Calibri" w:hAnsi="Calibri" w:eastAsia="Calibri"/>
                <w:b/>
                <w:color w:val="303840"/>
                <w:sz w:val="17"/>
              </w:rPr>
              <w:t>Four-worker test will not start</w:t>
            </w:r>
          </w:p>
        </w:tc>
        <w:tc>
          <w:tcPr>
            <w:tcW w:type="dxa" w:w="7060"/>
          </w:tcPr>
          <w:p>
            <w:pPr>
              <w:spacing w:before="0" w:after="0" w:line="259" w:lineRule="auto"/>
            </w:pPr>
            <w:r>
              <w:rPr>
                <w:rFonts w:ascii="Calibri" w:hAnsi="Calibri" w:eastAsia="Calibri"/>
                <w:b w:val="0"/>
                <w:color w:val="303840"/>
                <w:sz w:val="17"/>
              </w:rPr>
              <w:t>Its input `output/cms4_fc2/cms4_fc2_degs.csv` is absent in the current working repository.</w:t>
            </w:r>
          </w:p>
        </w:tc>
      </w:tr>
      <w:tr>
        <w:tc>
          <w:tcPr>
            <w:tcW w:type="dxa" w:w="2300"/>
            <w:shd w:fill="F8FAFB" w:val="clear"/>
          </w:tcPr>
          <w:p>
            <w:pPr>
              <w:spacing w:before="0" w:after="0" w:line="259" w:lineRule="auto"/>
            </w:pPr>
            <w:r>
              <w:rPr>
                <w:rFonts w:ascii="Calibri" w:hAnsi="Calibri" w:eastAsia="Calibri"/>
                <w:b/>
                <w:color w:val="303840"/>
                <w:sz w:val="17"/>
              </w:rPr>
              <w:t>Combined report fails</w:t>
            </w:r>
          </w:p>
        </w:tc>
        <w:tc>
          <w:tcPr>
            <w:tcW w:type="dxa" w:w="7060"/>
            <w:shd w:fill="F8FAFB" w:val="clear"/>
          </w:tcPr>
          <w:p>
            <w:pPr>
              <w:spacing w:before="0" w:after="0" w:line="259" w:lineRule="auto"/>
            </w:pPr>
            <w:r>
              <w:rPr>
                <w:rFonts w:ascii="Calibri" w:hAnsi="Calibri" w:eastAsia="Calibri"/>
                <w:b w:val="0"/>
                <w:color w:val="303840"/>
                <w:sz w:val="17"/>
              </w:rPr>
              <w:t>Known title-map defect for WikiPathways/Hallmark; test individual CSV/plot downloads instead.</w:t>
            </w:r>
          </w:p>
        </w:tc>
      </w:tr>
    </w:tbl>
    <w:p>
      <w:pPr>
        <w:pStyle w:val="Heading1"/>
      </w:pPr>
      <w:r>
        <w:t>Validation checklist</w:t>
      </w:r>
    </w:p>
    <w:p>
      <w:pPr>
        <w:numPr>
          <w:ilvl w:val="0"/>
          <w:numId w:val="10"/>
        </w:numPr>
      </w:pPr>
      <w:r>
        <w:rPr>
          <w:rFonts w:ascii="Calibri" w:hAnsi="Calibri" w:eastAsia="Calibri"/>
        </w:rPr>
        <w:t>☐ Application sources without error and opens in a browser.</w:t>
      </w:r>
    </w:p>
    <w:p>
      <w:pPr>
        <w:numPr>
          <w:ilvl w:val="0"/>
          <w:numId w:val="10"/>
        </w:numPr>
      </w:pPr>
      <w:r>
        <w:rPr>
          <w:rFonts w:ascii="Calibri" w:hAnsi="Calibri" w:eastAsia="Calibri"/>
        </w:rPr>
        <w:t>☐ Dataset metrics match the uploaded file.</w:t>
      </w:r>
    </w:p>
    <w:p>
      <w:pPr>
        <w:numPr>
          <w:ilvl w:val="0"/>
          <w:numId w:val="10"/>
        </w:numPr>
      </w:pPr>
      <w:r>
        <w:rPr>
          <w:rFonts w:ascii="Calibri" w:hAnsi="Calibri" w:eastAsia="Calibri"/>
        </w:rPr>
        <w:t>☐ Compatibility badges match the three active input contracts.</w:t>
      </w:r>
    </w:p>
    <w:p>
      <w:pPr>
        <w:numPr>
          <w:ilvl w:val="0"/>
          <w:numId w:val="10"/>
        </w:numPr>
      </w:pPr>
      <w:r>
        <w:rPr>
          <w:rFonts w:ascii="Calibri" w:hAnsi="Calibri" w:eastAsia="Calibri"/>
        </w:rPr>
        <w:t>☐ A new upload clears progress, Results Center, final summary, and known old output files.</w:t>
      </w:r>
    </w:p>
    <w:p>
      <w:pPr>
        <w:numPr>
          <w:ilvl w:val="0"/>
          <w:numId w:val="10"/>
        </w:numPr>
      </w:pPr>
      <w:r>
        <w:rPr>
          <w:rFonts w:ascii="Calibri" w:hAnsi="Calibri" w:eastAsia="Calibri"/>
        </w:rPr>
        <w:t>☐ Selected modules launch independently and report terminal states.</w:t>
      </w:r>
    </w:p>
    <w:p>
      <w:pPr>
        <w:numPr>
          <w:ilvl w:val="0"/>
          <w:numId w:val="10"/>
        </w:numPr>
      </w:pPr>
      <w:r>
        <w:rPr>
          <w:rFonts w:ascii="Calibri" w:hAnsi="Calibri" w:eastAsia="Calibri"/>
        </w:rPr>
        <w:t>☐ Every selected module returns a table or a clear zero-row/failure message.</w:t>
      </w:r>
    </w:p>
    <w:p>
      <w:pPr>
        <w:numPr>
          <w:ilvl w:val="0"/>
          <w:numId w:val="10"/>
        </w:numPr>
      </w:pPr>
      <w:r>
        <w:rPr>
          <w:rFonts w:ascii="Calibri" w:hAnsi="Calibri" w:eastAsia="Calibri"/>
        </w:rPr>
        <w:t>☐ Expected plots appear only for modules that implement plots.</w:t>
      </w:r>
    </w:p>
    <w:p>
      <w:pPr>
        <w:numPr>
          <w:ilvl w:val="0"/>
          <w:numId w:val="10"/>
        </w:numPr>
      </w:pPr>
      <w:r>
        <w:rPr>
          <w:rFonts w:ascii="Calibri" w:hAnsi="Calibri" w:eastAsia="Calibri"/>
        </w:rPr>
        <w:t>☐ Per-module CSV downloads open and contain the displayed records.</w:t>
      </w:r>
    </w:p>
    <w:p>
      <w:pPr>
        <w:numPr>
          <w:ilvl w:val="0"/>
          <w:numId w:val="10"/>
        </w:numPr>
      </w:pPr>
      <w:r>
        <w:rPr>
          <w:rFonts w:ascii="Calibri" w:hAnsi="Calibri" w:eastAsia="Calibri"/>
        </w:rPr>
        <w:t>☐ Session closure terminates active workers.</w:t>
      </w:r>
    </w:p>
    <w:p>
      <w:pPr>
        <w:numPr>
          <w:ilvl w:val="0"/>
          <w:numId w:val="10"/>
        </w:numPr>
      </w:pPr>
      <w:r>
        <w:rPr>
          <w:rFonts w:ascii="Calibri" w:hAnsi="Calibri" w:eastAsia="Calibri"/>
        </w:rPr>
        <w:t>☐ Biological findings receive expert review before use.</w:t>
      </w:r>
    </w:p>
    <w:p>
      <w:pPr>
        <w:keepLines/>
        <w:spacing w:before="80" w:after="160"/>
        <w:ind w:left="202" w:right="144"/>
        <w:shd w:fill="E8F3F1" w:val="clear"/>
        <w:pBdr>
          <w:left w:val="single" w:sz="18" w:space="7" w:color="167A72"/>
        </w:pBdr>
      </w:pPr>
      <w:r>
        <w:rPr>
          <w:rFonts w:ascii="Calibri" w:hAnsi="Calibri" w:eastAsia="Calibri"/>
          <w:b/>
          <w:color w:val="167A72"/>
          <w:sz w:val="21"/>
        </w:rPr>
        <w:t xml:space="preserve">Verification boundary  </w:t>
      </w:r>
      <w:r>
        <w:rPr>
          <w:rFonts w:ascii="Calibri" w:hAnsi="Calibri" w:eastAsia="Calibri"/>
          <w:color w:val="303840"/>
          <w:sz w:val="21"/>
        </w:rPr>
        <w:t>Stored worker artifacts verify historical GO, KEGG, GSVA, and ChEA success. A reproducible ten-module end-to-end pass is Not verified from repository.</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C7782"/>
        <w:sz w:val="18"/>
      </w:rPr>
      <w:t xml:space="preserve">Page </w:t>
    </w:r>
    <w:r>
      <w:rPr>
        <w:rFonts w:ascii="Calibri" w:hAnsi="Calibri" w:eastAsia="Calibri"/>
        <w:color w:val="6C7782"/>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C7782"/>
        <w:sz w:val="18"/>
      </w:rPr>
      <w:t xml:space="preserve">Page </w:t>
    </w:r>
    <w:r>
      <w:rPr>
        <w:rFonts w:ascii="Calibri" w:hAnsi="Calibri" w:eastAsia="Calibri"/>
        <w:color w:val="6C7782"/>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3" w:color="D8E0E7"/>
      </w:pBdr>
    </w:pPr>
    <w:r>
      <w:rPr>
        <w:rFonts w:ascii="Calibri" w:hAnsi="Calibri" w:eastAsia="Calibri"/>
        <w:b/>
        <w:color w:val="6C7782"/>
        <w:sz w:val="17"/>
      </w:rPr>
      <w:t>OncoProfilingTools</w:t>
    </w:r>
    <w:r>
      <w:rPr>
        <w:rFonts w:ascii="Calibri" w:hAnsi="Calibri" w:eastAsia="Calibri"/>
        <w:color w:val="6C7782"/>
        <w:sz w:val="17"/>
      </w:rPr>
      <w:t xml:space="preserve">    Testing Guide · 28 July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3" w:color="D8E0E7"/>
      </w:pBdr>
    </w:pPr>
    <w:r>
      <w:rPr>
        <w:rFonts w:ascii="Calibri" w:hAnsi="Calibri" w:eastAsia="Calibri"/>
        <w:b/>
        <w:color w:val="6C7782"/>
        <w:sz w:val="17"/>
      </w:rPr>
      <w:t>OncoProfilingTools</w:t>
    </w:r>
    <w:r>
      <w:rPr>
        <w:rFonts w:ascii="Calibri" w:hAnsi="Calibri" w:eastAsia="Calibri"/>
        <w:color w:val="6C7782"/>
        <w:sz w:val="17"/>
      </w:rPr>
      <w:t xml:space="preserve">    Testing Guide · 28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lvl>
  </w:abstract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20" w:line="300" w:lineRule="auto"/>
    </w:pPr>
    <w:rPr>
      <w:rFonts w:ascii="Calibri" w:hAnsi="Calibri"/>
      <w:color w:val="3038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6C77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6C778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OncoProfilingTools Testing Guide</dc:title>
  <dc:subject>Repository-grounded local installation and ten-module application testing guide.</dc:subject>
  <dc:creator>OncoProfilingTools repository documentation</dc:creator>
  <cp:keywords>OncoProfilingTools, Shiny, oncology profiling, research software</cp:keywords>
  <dc:description>Generated from repository evidence at commit 70b5cfb.</dc:description>
  <cp:lastModifiedBy/>
  <cp:revision>1</cp:revision>
  <dcterms:created xsi:type="dcterms:W3CDTF">2013-12-23T23:15:00Z</dcterms:created>
  <dcterms:modified xsi:type="dcterms:W3CDTF">2013-12-23T23:15:00Z</dcterms:modified>
  <cp:category/>
</cp:coreProperties>
</file>