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SYNTHETIC DEMO DRAFT - NOT A REAL DOCUMENT</w:t>
      </w:r>
    </w:p>
    <w:p>
      <w:pPr>
        <w:pStyle w:val="Heading1"/>
      </w:pPr>
      <w:r>
        <w:t>DCM SHRIRAM LTD - DRAFT AGENDA AND RESOLUTIONS FOR THE BOARD MEETING</w:t>
      </w:r>
    </w:p>
    <w:p>
      <w:r>
        <w:t>Draft for the Secretarial team's review before circulation to the Board.</w:t>
      </w:r>
    </w:p>
    <w:p>
      <w:pPr>
        <w:pStyle w:val="Heading2"/>
      </w:pPr>
      <w:r>
        <w:t>Item 1. Investment of surplus funds - fixed deposit with a bank</w:t>
      </w:r>
    </w:p>
    <w:p>
      <w:r>
        <w:t>RESOLVED THAT the consent of the Board be and is hereby accorded to place a fixed deposit of Rs. 350 crores with State Bank of India, a Scheduled Commercial Bank, for a period of 12 months.</w:t>
      </w:r>
    </w:p>
    <w:p>
      <w:pPr>
        <w:pStyle w:val="Heading2"/>
      </w:pPr>
      <w:r>
        <w:t>Item 2. Investment of surplus funds - fixed deposit with an NBFC</w:t>
      </w:r>
    </w:p>
    <w:p>
      <w:r>
        <w:t>RESOLVED THAT the consent of the Board be and is hereby accorded to place a fixed deposit of Rs. 200 crores with LIC Housing Finance Ltd.</w:t>
      </w:r>
    </w:p>
    <w:p>
      <w:pPr>
        <w:pStyle w:val="Heading2"/>
      </w:pPr>
      <w:r>
        <w:t>Item 3. Contribution to an Electoral Trust</w:t>
      </w:r>
    </w:p>
    <w:p>
      <w:r>
        <w:t>RESOLVED THAT approval be and is hereby accorded for a contribution of Rs. 30 crores to an Electoral Trust during the financial year 2025-26.</w:t>
      </w:r>
    </w:p>
    <w:p>
      <w:pPr>
        <w:pStyle w:val="Heading2"/>
      </w:pPr>
      <w:r>
        <w:t>Item 4. Currency derivatives with a dealer bank</w:t>
      </w:r>
    </w:p>
    <w:p>
      <w:r>
        <w:t>RESOLVED THAT the Company be and is hereby permitted to take a notional exposure of USD 450 million with a single dealer bank for currency derivative transactions.</w:t>
      </w:r>
    </w:p>
    <w:p>
      <w:pPr>
        <w:pStyle w:val="Heading2"/>
      </w:pPr>
      <w:r>
        <w:t>Item 5. Remuneration of a relative of Directors holding an office or place of profit</w:t>
      </w:r>
    </w:p>
    <w:p>
      <w:r>
        <w:t>RESOLVED THAT, subject to the approval of the shareholders, the remuneration of Mr. Varun A. Shriram be paid at Rs. 12 lakhs per month with effect from April 1, 2026.</w:t>
      </w:r>
    </w:p>
    <w:p>
      <w:pPr>
        <w:pStyle w:val="Heading2"/>
      </w:pPr>
      <w:r>
        <w:t>Item 6. Revision of the limit for investment of surplus funds</w:t>
      </w:r>
    </w:p>
    <w:p>
      <w:r>
        <w:t>RESOLVED THAT the overall limit for investment of short-term surplus funds of the Company be and is hereby increased to an aggregate amount not exceeding Rs. 3,000 crores at any point of time.</w:t>
      </w:r>
    </w:p>
    <w:p>
      <w:pPr>
        <w:pStyle w:val="Heading2"/>
      </w:pPr>
      <w:r>
        <w:t>Item 7. Issue of Non-Convertible Debentures</w:t>
      </w:r>
    </w:p>
    <w:p>
      <w:r>
        <w:t>RESOLVED THAT approval be and is hereby accorded for the issue of secured redeemable Non-Convertible Debentures on a private placement basis up to an aggregate amount of Rs. 600 crores.</w:t>
      </w:r>
    </w:p>
    <w:p>
      <w:pPr>
        <w:pStyle w:val="Heading2"/>
      </w:pPr>
      <w:r>
        <w:t>Item 8. Final dividend</w:t>
      </w:r>
    </w:p>
    <w:p>
      <w:r>
        <w:t>RESOLVED THAT a final dividend of 200% i.e. Rs. 4.00 per equity share of Rs. 2 each be recommended to the shareholders for the financial year 2025-26.</w:t>
      </w:r>
    </w:p>
    <w:p>
      <w:pPr>
        <w:pStyle w:val="Heading2"/>
      </w:pPr>
      <w:r>
        <w:t>Item 9. Opening of a liaison office</w:t>
      </w:r>
    </w:p>
    <w:p>
      <w:r>
        <w:t>RESOLVED THAT approval be and is hereby accorded for opening a liaison office of the Company in Dubai, UAE.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