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A9D6D">
      <w:pPr>
        <w:widowControl/>
        <w:wordWrap/>
        <w:ind w:left="0" w:leftChars="0" w:firstLine="0" w:firstLineChars="0"/>
        <w:jc w:val="center"/>
        <w:rPr>
          <w:rFonts w:hint="eastAsia"/>
          <w:b/>
          <w:bCs/>
          <w:sz w:val="24"/>
          <w:szCs w:val="24"/>
        </w:rPr>
      </w:pPr>
      <w:r>
        <w:rPr>
          <w:rFonts w:hint="eastAsia"/>
          <w:b/>
          <w:bCs/>
          <w:sz w:val="24"/>
          <w:szCs w:val="24"/>
        </w:rPr>
        <w:t>选择性预测与结构准入协同的长江流域中共党史时空知识图谱构建</w:t>
      </w:r>
    </w:p>
    <w:p w14:paraId="5543E143">
      <w:pPr>
        <w:widowControl/>
        <w:wordWrap/>
        <w:bidi w:val="0"/>
        <w:ind w:left="0" w:leftChars="0" w:firstLine="0" w:firstLineChars="0"/>
        <w:jc w:val="center"/>
        <w:rPr>
          <w:rFonts w:hint="eastAsia" w:asciiTheme="majorEastAsia" w:hAnsiTheme="majorEastAsia" w:eastAsiaTheme="majorEastAsia" w:cstheme="majorEastAsia"/>
          <w:b w:val="0"/>
          <w:bCs w:val="0"/>
          <w:sz w:val="20"/>
          <w:szCs w:val="20"/>
          <w:vertAlign w:val="superscript"/>
          <w:lang w:val="en-US" w:eastAsia="zh-CN"/>
        </w:rPr>
      </w:pPr>
      <w:r>
        <w:rPr>
          <w:rFonts w:hint="eastAsia" w:asciiTheme="majorEastAsia" w:hAnsiTheme="majorEastAsia" w:eastAsiaTheme="majorEastAsia" w:cstheme="majorEastAsia"/>
          <w:b w:val="0"/>
          <w:bCs w:val="0"/>
          <w:sz w:val="20"/>
          <w:szCs w:val="20"/>
          <w:lang w:val="en-US" w:eastAsia="zh-CN"/>
        </w:rPr>
        <w:t>刘俊琦</w:t>
      </w:r>
      <w:r>
        <w:rPr>
          <w:rFonts w:hint="eastAsia" w:asciiTheme="majorEastAsia" w:hAnsiTheme="majorEastAsia" w:eastAsiaTheme="majorEastAsia" w:cstheme="majorEastAsia"/>
          <w:b w:val="0"/>
          <w:bCs w:val="0"/>
          <w:sz w:val="20"/>
          <w:szCs w:val="20"/>
          <w:vertAlign w:val="superscript"/>
          <w:lang w:val="en-US" w:eastAsia="zh-CN"/>
        </w:rPr>
        <w:t>1</w:t>
      </w:r>
      <w:r>
        <w:rPr>
          <w:rFonts w:hint="eastAsia" w:asciiTheme="majorEastAsia" w:hAnsiTheme="majorEastAsia" w:eastAsiaTheme="majorEastAsia" w:cstheme="majorEastAsia"/>
          <w:b w:val="0"/>
          <w:bCs w:val="0"/>
          <w:sz w:val="20"/>
          <w:szCs w:val="20"/>
          <w:lang w:val="en-US" w:eastAsia="zh-CN"/>
        </w:rPr>
        <w:t>，孙德忠</w:t>
      </w:r>
      <w:r>
        <w:rPr>
          <w:rFonts w:hint="eastAsia" w:asciiTheme="majorEastAsia" w:hAnsiTheme="majorEastAsia" w:eastAsiaTheme="majorEastAsia" w:cstheme="majorEastAsia"/>
          <w:b w:val="0"/>
          <w:bCs w:val="0"/>
          <w:sz w:val="20"/>
          <w:szCs w:val="20"/>
          <w:vertAlign w:val="superscript"/>
          <w:lang w:val="en-US" w:eastAsia="zh-CN"/>
        </w:rPr>
        <w:t>1</w:t>
      </w:r>
      <w:r>
        <w:rPr>
          <w:rFonts w:hint="eastAsia" w:asciiTheme="majorEastAsia" w:hAnsiTheme="majorEastAsia" w:eastAsiaTheme="majorEastAsia" w:cstheme="majorEastAsia"/>
          <w:b w:val="0"/>
          <w:bCs w:val="0"/>
          <w:sz w:val="20"/>
          <w:szCs w:val="20"/>
          <w:lang w:val="en-US" w:eastAsia="zh-CN"/>
        </w:rPr>
        <w:t>，张忠家</w:t>
      </w:r>
      <w:r>
        <w:rPr>
          <w:rFonts w:hint="eastAsia" w:asciiTheme="majorEastAsia" w:hAnsiTheme="majorEastAsia" w:eastAsiaTheme="majorEastAsia" w:cstheme="majorEastAsia"/>
          <w:b w:val="0"/>
          <w:bCs w:val="0"/>
          <w:sz w:val="20"/>
          <w:szCs w:val="20"/>
          <w:vertAlign w:val="superscript"/>
          <w:lang w:val="en-US" w:eastAsia="zh-CN"/>
        </w:rPr>
        <w:t>2,*</w:t>
      </w:r>
    </w:p>
    <w:p w14:paraId="53CB6651">
      <w:pPr>
        <w:widowControl/>
        <w:wordWrap/>
        <w:bidi w:val="0"/>
        <w:ind w:left="0" w:leftChars="0" w:firstLine="0" w:firstLineChars="0"/>
        <w:jc w:val="center"/>
        <w:rPr>
          <w:rFonts w:hint="default" w:asciiTheme="majorEastAsia" w:hAnsiTheme="majorEastAsia" w:eastAsiaTheme="majorEastAsia" w:cstheme="majorEastAsia"/>
          <w:b w:val="0"/>
          <w:bCs w:val="0"/>
          <w:sz w:val="20"/>
          <w:szCs w:val="20"/>
          <w:vertAlign w:val="baseline"/>
          <w:lang w:val="en-US" w:eastAsia="zh-CN"/>
        </w:rPr>
      </w:pPr>
      <w:r>
        <w:rPr>
          <w:rFonts w:hint="eastAsia" w:asciiTheme="majorEastAsia" w:hAnsiTheme="majorEastAsia" w:eastAsiaTheme="majorEastAsia" w:cstheme="majorEastAsia"/>
          <w:b w:val="0"/>
          <w:bCs w:val="0"/>
          <w:sz w:val="20"/>
          <w:szCs w:val="20"/>
          <w:vertAlign w:val="baseline"/>
          <w:lang w:val="en-US" w:eastAsia="zh-CN"/>
        </w:rPr>
        <w:t>（1. 武汉理工大学马克思主义学院，湖北 武汉 430070；2.湖北省社会科学院马克思主义研究所， 湖北 武汉 430077）</w:t>
      </w:r>
    </w:p>
    <w:p w14:paraId="769E1834">
      <w:pPr>
        <w:widowControl/>
        <w:wordWrap/>
        <w:bidi w:val="0"/>
        <w:spacing w:before="0" w:after="0" w:line="240" w:lineRule="auto"/>
        <w:ind w:left="0" w:leftChars="0" w:firstLine="0" w:firstLineChars="0"/>
        <w:rPr>
          <w:rFonts w:hint="eastAsia" w:ascii="黑体" w:hAnsi="黑体" w:eastAsia="黑体" w:cs="黑体"/>
          <w:sz w:val="20"/>
          <w:szCs w:val="22"/>
          <w:lang w:val="en-US" w:eastAsia="zh-CN"/>
        </w:rPr>
      </w:pPr>
      <w:r>
        <w:rPr>
          <w:sz w:val="18"/>
        </w:rPr>
        <w:t>摘要：[目的] 面向大规模中共党史叙事文献中语义判定、结构发布与来源回溯相互割裂的问题，构建可审计的时空知识图谱质量控制方法。[方法] 以长江流域13个省级行政区域的983册文献为对象，融合规则、本地分类器与Qwen-3.5-122B-A10B证据，通过选择性预测确定自动接受边界，再以实体规范投影、关系契约、时空角色—归属约束和来源校验实施分层结构准入。[结果] 图谱包含152,979个规范实体、424,150条知识陈述和466,312条来源关联，其中112,158条进入严格语义层。在152条核心评价样本上，规则—Qwen一致性选择覆盖116条，其中115条与集成参考标注一致，接受覆盖率为0.7632，接受样本一致率为0.9914，选择性风险为0.0086；结构准入后，当前冻结规范定义的关系契约和强时空归属违例均未进入严格语义层。[局限] 当前评价以冻结参考标注、结构规范和已保存模型输出为边界，后续可通过扩大跨来源专家标注和模型版本比较进一步检验迁移能力。[结论] 选择性预测与结构准入协同把语义接受、结构发布和来源追溯衔接为连续质量控制链，为大规模党史文献的高可信组织、分层利用和史料复核提供可复用的方法基础。</w:t>
      </w:r>
    </w:p>
    <w:p w14:paraId="2F95157A">
      <w:pPr>
        <w:widowControl/>
        <w:wordWrap/>
        <w:bidi w:val="0"/>
        <w:ind w:left="0" w:leftChars="0" w:firstLine="0" w:firstLineChars="0"/>
        <w:rPr>
          <w:rFonts w:hint="eastAsia" w:ascii="黑体" w:hAnsi="黑体" w:eastAsia="黑体" w:cs="黑体"/>
          <w:sz w:val="20"/>
          <w:szCs w:val="22"/>
          <w:lang w:val="en-US" w:eastAsia="zh-CN"/>
        </w:rPr>
      </w:pPr>
      <w:r>
        <w:rPr>
          <w:rFonts w:hint="eastAsia" w:ascii="黑体" w:hAnsi="黑体" w:eastAsia="黑体" w:cs="黑体"/>
          <w:b/>
          <w:bCs/>
          <w:sz w:val="20"/>
          <w:szCs w:val="22"/>
          <w:lang w:val="en-US" w:eastAsia="zh-CN"/>
        </w:rPr>
        <w:t>关键词：</w:t>
      </w:r>
      <w:r>
        <w:rPr>
          <w:rFonts w:hint="eastAsia" w:ascii="黑体" w:hAnsi="黑体" w:eastAsia="黑体" w:cs="黑体"/>
          <w:b w:val="0"/>
          <w:sz w:val="20"/>
          <w:szCs w:val="22"/>
          <w:lang w:val="en-US" w:eastAsia="zh-CN"/>
        </w:rPr>
        <w:t>长江流域；中共党史；时空知识图谱；选择性预测；结构准入</w:t>
      </w:r>
    </w:p>
    <w:p w14:paraId="038B7E76">
      <w:pPr>
        <w:widowControl/>
        <w:wordWrap/>
        <w:bidi w:val="0"/>
        <w:snapToGrid w:val="0"/>
        <w:ind w:left="0" w:leftChars="0" w:firstLine="0" w:firstLineChars="0"/>
        <w:jc w:val="center"/>
        <w:rPr>
          <w:rFonts w:hint="eastAsia"/>
          <w:b/>
          <w:bCs/>
          <w:sz w:val="24"/>
          <w:szCs w:val="24"/>
          <w:lang w:val="en-US" w:eastAsia="zh-CN"/>
        </w:rPr>
      </w:pPr>
      <w:r>
        <w:rPr>
          <w:rFonts w:hint="default" w:ascii="Times New Roman" w:hAnsi="Times New Roman" w:eastAsia="Times New Roman"/>
          <w:b/>
          <w:bCs/>
          <w:sz w:val="24"/>
          <w:szCs w:val="24"/>
          <w:lang w:val="en-US" w:eastAsia="en-US"/>
        </w:rPr>
        <w:t>Constructing a Spatiotemporal Knowledge Graph of CPC History in the Yangtze River Basin through Selective Prediction and Structural Admission</w:t>
      </w:r>
    </w:p>
    <w:p w14:paraId="73A7F113">
      <w:pPr>
        <w:widowControl/>
        <w:wordWrap/>
        <w:bidi w:val="0"/>
        <w:snapToGrid w:val="0"/>
        <w:ind w:left="0" w:leftChars="0" w:firstLine="0" w:firstLineChars="0"/>
        <w:jc w:val="center"/>
        <w:rPr>
          <w:rFonts w:hint="eastAsia"/>
          <w:sz w:val="20"/>
          <w:szCs w:val="20"/>
          <w:lang w:val="en-US" w:eastAsia="zh-CN"/>
        </w:rPr>
      </w:pPr>
      <w:r>
        <w:rPr>
          <w:rFonts w:hint="default" w:ascii="Times New Roman" w:hAnsi="Times New Roman" w:eastAsia="Times New Roman"/>
          <w:sz w:val="20"/>
          <w:szCs w:val="20"/>
          <w:lang w:val="en-US" w:eastAsia="en-US"/>
        </w:rPr>
        <w:t>LIU Junqi¹, SUN Dezhong¹, ZHANG Zhongjia</w:t>
      </w:r>
      <w:r>
        <w:rPr>
          <w:rFonts w:hint="default" w:ascii="Times New Roman" w:hAnsi="Times New Roman" w:eastAsia="Times New Roman"/>
          <w:sz w:val="20"/>
          <w:szCs w:val="20"/>
          <w:vertAlign w:val="superscript"/>
          <w:lang w:val="en-US" w:eastAsia="en-US"/>
        </w:rPr>
        <w:t>2,*</w:t>
      </w:r>
    </w:p>
    <w:p w14:paraId="264317A5">
      <w:pPr>
        <w:widowControl/>
        <w:wordWrap/>
        <w:bidi w:val="0"/>
        <w:snapToGrid w:val="0"/>
        <w:ind w:left="0" w:leftChars="0" w:firstLine="0" w:firstLineChars="0"/>
        <w:jc w:val="center"/>
        <w:rPr>
          <w:rFonts w:hint="eastAsia"/>
          <w:sz w:val="20"/>
          <w:szCs w:val="20"/>
          <w:lang w:val="en-US" w:eastAsia="zh-CN"/>
        </w:rPr>
      </w:pPr>
      <w:r>
        <w:rPr>
          <w:rFonts w:hint="default" w:ascii="Times New Roman" w:hAnsi="Times New Roman" w:eastAsia="Times New Roman"/>
          <w:sz w:val="20"/>
          <w:szCs w:val="20"/>
          <w:lang w:val="en-US" w:eastAsia="en-US"/>
        </w:rPr>
        <w:t>(1. School of Marxism, Wuhan University of Technology, Wuhan 430070, Hubei, China; 2. Institute of Marxism, Hubei Academy of Social Sciences, Wuhan 430077, Hubei, China)</w:t>
      </w:r>
    </w:p>
    <w:p w14:paraId="6E03DF3E">
      <w:pPr>
        <w:widowControl/>
        <w:wordWrap/>
        <w:bidi w:val="0"/>
        <w:snapToGrid w:val="0"/>
        <w:spacing w:before="0" w:after="0" w:line="240" w:lineRule="auto"/>
        <w:jc w:val="left"/>
        <w:rPr>
          <w:rFonts w:hint="eastAsia"/>
          <w:sz w:val="20"/>
          <w:szCs w:val="22"/>
          <w:lang w:val="en-US" w:eastAsia="zh-CN"/>
        </w:rPr>
      </w:pPr>
      <w:r>
        <w:rPr>
          <w:sz w:val="18"/>
        </w:rPr>
        <w:t>Abstract: [Purpose] To establish an auditable quality-control method for spatiotemporal knowledge graphs from large-scale narrative CPC history documents, addressing the separation of semantic judgment, structural publication and provenance tracing. [Methods] Using 983 volumes from 13 provincial-level regions in the Yangtze River Basin, the method combines rules, a local classifier and Qwen-3.5-122B-A10B evidence to determine the automatic acceptance boundary, followed by canonical entity projection, relation contracts, spatiotemporal role–owner constraints and provenance validation for layered structural admission. [Results] The graph contains 152,979 canonical entities, 424,150 knowledge statements and 466,312 provenance links, including 112,158 statements in the strict semantic layer. On 152 core evaluation items, rule–Qwen agreement selection accepted 116 items, 115 of which agreed with the integrated reference annotations, yielding 0.7632 accepted coverage, 0.9914 accepted-item agreement and 0.0086 selective risk; no relation-contract or strong spatiotemporal attribution violations defined by the frozen specification entered the strict layer after admission. [Limitations] The evaluation is bounded by the frozen reference annotations, structural specification and saved model outputs; broader cross-source expert annotation and model-version comparisons remain valuable extensions. [Conclusions] Coordinating selective prediction with structural admission links semantic acceptance, structural publication and provenance tracing into a continuous quality-control chain, providing a reusable basis for high-confidence organization, layered use and source-based review of large-scale CPC history documents.</w:t>
      </w:r>
    </w:p>
    <w:p w14:paraId="41566BA3">
      <w:pPr>
        <w:widowControl/>
        <w:wordWrap/>
        <w:bidi w:val="0"/>
        <w:snapToGrid w:val="0"/>
        <w:ind w:left="0" w:leftChars="0" w:firstLine="0" w:firstLineChars="0"/>
        <w:jc w:val="left"/>
        <w:rPr>
          <w:rFonts w:hint="eastAsia"/>
          <w:sz w:val="20"/>
          <w:szCs w:val="22"/>
          <w:lang w:val="en-US" w:eastAsia="zh-CN"/>
        </w:rPr>
      </w:pPr>
      <w:r>
        <w:rPr>
          <w:rFonts w:hint="default" w:ascii="Times New Roman" w:hAnsi="Times New Roman" w:eastAsia="Times New Roman"/>
          <w:b/>
          <w:bCs/>
          <w:sz w:val="20"/>
          <w:szCs w:val="22"/>
          <w:lang w:val="en-US" w:eastAsia="en-US"/>
        </w:rPr>
        <w:t xml:space="preserve">Keywords: </w:t>
      </w:r>
      <w:r>
        <w:rPr>
          <w:rFonts w:hint="default" w:ascii="Times New Roman" w:hAnsi="Times New Roman" w:eastAsia="Times New Roman"/>
          <w:b w:val="0"/>
          <w:sz w:val="20"/>
          <w:szCs w:val="22"/>
          <w:lang w:val="en-US" w:eastAsia="en-US"/>
        </w:rPr>
        <w:t>Yangtze River Basin; CPC history; spatiotemporal knowledge graph; selective prediction; structural admission</w:t>
      </w:r>
    </w:p>
    <w:p w14:paraId="11FBE709">
      <w:pPr>
        <w:pStyle w:val="2"/>
        <w:keepNext/>
        <w:keepLines/>
        <w:pageBreakBefore/>
        <w:widowControl/>
        <w:wordWrap/>
        <w:bidi w:val="0"/>
        <w:rPr>
          <w:rFonts w:hint="eastAsia"/>
          <w:lang w:val="en-US" w:eastAsia="zh-CN"/>
        </w:rPr>
      </w:pPr>
      <w:r>
        <w:rPr>
          <w:rFonts w:hint="eastAsia"/>
          <w:lang w:val="en-US" w:eastAsia="zh-CN"/>
        </w:rPr>
        <w:t>1 引言</w:t>
      </w:r>
    </w:p>
    <w:p w14:paraId="36193326">
      <w:pPr>
        <w:widowControl/>
        <w:wordWrap/>
        <w:rPr>
          <w:rFonts w:hint="default"/>
          <w:lang w:val="en-US" w:eastAsia="zh-CN"/>
        </w:rPr>
      </w:pPr>
      <w:r>
        <w:rPr>
          <w:rFonts w:hint="default"/>
          <w:lang w:val="en-US" w:eastAsia="zh-CN"/>
        </w:rPr>
        <w:t>长江流域横贯我国东中西部，党史文献记录了跨地区、跨时期的人物活动、组织演变和事件过程。相关信息长期依附于线性叙事，同一历史对象可能分散在不同文献和章节中，名称、身份、时间与地点还会随时代和语境变化。传统目录与全文检索能够定位文献或词语，却难以同时呈现跨文本对象及其关系。知识图谱可将人物、组织、事件和时空信息组织为可查询的关系网络，并由关键词检索扩展到实体与关系层面[1]。对于长江流域党史资料，真正的难点不仅是从文本中抽取结构化信息，还包括判断候选知识何时可以被自动接受、何时具备正式发布资格，以及如何保留返回原文的证据路径。</w:t>
      </w:r>
    </w:p>
    <w:p w14:paraId="48C2876D">
      <w:pPr>
        <w:widowControl/>
        <w:wordWrap/>
        <w:rPr>
          <w:rFonts w:hint="default"/>
          <w:lang w:val="en-US" w:eastAsia="zh-CN"/>
        </w:rPr>
      </w:pPr>
      <w:r>
        <w:rPr>
          <w:rFonts w:hint="default"/>
          <w:lang w:val="en-US" w:eastAsia="zh-CN"/>
        </w:rPr>
        <w:t>大语言模型与本体工程的结合扩展了历史文献实体、关系和时空信息的自动获取能力[2]，大语言模型与知识图谱的协同也覆盖知识获取、补全和组织等环节[3]。但模型输出、规则结果和本地分类器预测都只是证据通道：它们分别受到生成波动、规则覆盖和样本分布的限制。选择性预测允许系统在证据不足时弃权，以覆盖率的下降换取较低的错误暴露[4]。即使候选语义已被接受，实体身份不稳定、关系端点类型不相容、时空归属错误或来源链缺失仍会使记录不具备发布资格。知识图谱质量管理因此贯穿获取、融合、验证与发布[5]，来源谱系则记录知识与原始材料及处理过程的联系[6]。现有流程的缺口不是再增加一种抽取器，而是把“语义上是否接受”与“结构上能否发布”组织为可追踪的连续决策。</w:t>
      </w:r>
    </w:p>
    <w:p w14:paraId="4BD80156">
      <w:pPr>
        <w:widowControl/>
        <w:wordWrap/>
        <w:rPr>
          <w:rFonts w:hint="default"/>
          <w:lang w:val="en-US" w:eastAsia="zh-CN"/>
        </w:rPr>
      </w:pPr>
      <w:r>
        <w:rPr>
          <w:rFonts w:hint="default"/>
          <w:lang w:val="en-US" w:eastAsia="zh-CN"/>
        </w:rPr>
        <w:t>本文依据《长江国家文化公园建设保护规划》界定研究范围[7]，覆盖上海、江苏、浙江、安徽、江西、湖北、湖南、重庆、四川、贵州、云南、西藏和青海13个省级行政区域，以983册中共党史文献为语料。本文关注如何在明确区分参考标注一致性、结构合规与来源证据功能的基础上，将语义风险、结构发布条件和来源定位连接为同一条可审计的构建链。为此，本文先以规则、本地分类器和大语言模型开展风险路由与选择性判定，再以实体身份投影、关系契约、时空角色—归属约束和来源校验决定严格语义层、上下文层与未决集合的发布状态，研究流程如图1所示。</w:t>
      </w:r>
    </w:p>
    <w:p w14:paraId="533DA759">
      <w:pPr>
        <w:wordWrap/>
        <w:ind w:left="0" w:leftChars="0" w:firstLine="0" w:firstLineChars="0"/>
      </w:pPr>
      <w:r>
        <w:drawing>
          <wp:inline distT="0" distB="0" distL="114300" distR="114300">
            <wp:extent cx="5867400" cy="2707005"/>
            <wp:effectExtent l="0" t="0" r="0" b="1714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8"/>
                    <a:stretch>
                      <a:fillRect/>
                    </a:stretch>
                  </pic:blipFill>
                  <pic:spPr>
                    <a:xfrm>
                      <a:off x="0" y="0"/>
                      <a:ext cx="5867400" cy="2707005"/>
                    </a:xfrm>
                    <a:prstGeom prst="rect">
                      <a:avLst/>
                    </a:prstGeom>
                    <a:noFill/>
                    <a:ln>
                      <a:noFill/>
                    </a:ln>
                  </pic:spPr>
                </pic:pic>
              </a:graphicData>
            </a:graphic>
          </wp:inline>
        </w:drawing>
      </w:r>
    </w:p>
    <w:p w14:paraId="3E130007">
      <w:pPr>
        <w:pStyle w:val="6"/>
        <w:widowControl/>
        <w:wordWrap/>
        <w:spacing w:before="40" w:after="40" w:line="240" w:lineRule="auto"/>
        <w:ind w:left="0" w:leftChars="0" w:firstLine="0" w:firstLineChars="0"/>
        <w:rPr>
          <w:rFonts w:hint="default"/>
          <w:lang w:val="en-US" w:eastAsia="zh-CN"/>
        </w:rPr>
      </w:pPr>
      <w:r>
        <w:rPr>
          <w:sz w:val="17"/>
        </w:rPr>
        <w:t>图 1 研究框架；English: Figure 1 Research framework</w:t>
      </w:r>
    </w:p>
    <w:p w14:paraId="0DE0C7C6">
      <w:pPr>
        <w:widowControl/>
        <w:wordWrap/>
        <w:bidi w:val="0"/>
        <w:rPr>
          <w:rFonts w:hint="default"/>
          <w:lang w:val="en-US" w:eastAsia="zh-CN"/>
        </w:rPr>
      </w:pPr>
      <w:r>
        <w:rPr>
          <w:rFonts w:hint="default"/>
          <w:lang w:val="en-US" w:eastAsia="zh-CN"/>
        </w:rPr>
        <w:t>本文的贡献集中在三个方面：（1）将选择性预测与结构准入区分为前后相接的两级质量控制，使语义接受不再自动等同于图谱发布；（2）以“取值—语义角色—归属对象”表示时间和地点，并在实体规范投影后重新校验归属对象，降低人物生平、事件发生、作品形成和来源年代等语境被混写的风险；（3）建立保留来源、证据通道和决策状态的三层发布与分级评价协议，明确区分实际运行、缓存模型输出和确定性回放，使结果能够在其证据等级内解释。</w:t>
      </w:r>
    </w:p>
    <w:p w14:paraId="48F08112">
      <w:pPr>
        <w:pStyle w:val="2"/>
        <w:keepNext/>
        <w:keepLines/>
        <w:widowControl/>
        <w:wordWrap/>
        <w:bidi w:val="0"/>
        <w:rPr>
          <w:rFonts w:hint="eastAsia"/>
          <w:lang w:val="en-US" w:eastAsia="zh-CN"/>
        </w:rPr>
      </w:pPr>
      <w:r>
        <w:rPr>
          <w:rFonts w:hint="eastAsia"/>
          <w:lang w:val="en-US" w:eastAsia="zh-CN"/>
        </w:rPr>
        <w:t>2 相关研究</w:t>
      </w:r>
    </w:p>
    <w:p w14:paraId="5BF92DC2">
      <w:pPr>
        <w:widowControl/>
        <w:wordWrap/>
        <w:rPr>
          <w:rFonts w:hint="default"/>
          <w:lang w:val="en-US" w:eastAsia="zh-CN"/>
        </w:rPr>
      </w:pPr>
      <w:r>
        <w:rPr>
          <w:rFonts w:hint="default"/>
          <w:lang w:val="en-US" w:eastAsia="zh-CN"/>
        </w:rPr>
        <w:t>红色数字人文研究已从资源采集与展示扩展到语义组织、关联分析和知识服务[8]。知识图谱为历史文献中的人物、组织、地点和事件提供关系化表达[9]，并已用于党史知识索引[10]、红色文化资源组织[11]、历史人物问答[12]和区域革命人物本体构建[13]。跨区域红色档案研究同时强调资源整合、标准衔接和平台协同[14,15]。这些工作证明了图谱化组织的可行性，但研究重心多在本体、实例、存储或应用，对候选结果何时可以自动接受、何时具备正式发布资格的论证仍相对有限。</w:t>
      </w:r>
    </w:p>
    <w:p w14:paraId="08D243DF">
      <w:pPr>
        <w:widowControl/>
        <w:wordWrap/>
        <w:rPr>
          <w:rFonts w:hint="default"/>
          <w:lang w:val="en-US" w:eastAsia="zh-CN"/>
        </w:rPr>
      </w:pPr>
      <w:r>
        <w:rPr>
          <w:rFonts w:hint="default"/>
          <w:lang w:val="en-US" w:eastAsia="zh-CN"/>
        </w:rPr>
        <w:t>历史文献知识获取正在由词典、规则和传统机器学习转向大语言模型辅助构建。现有研究分别探索了大语言模型驱动的古籍档案图谱构建[16]、参数高效微调的红色人物实体关系抽取[17]、多源文献消歧与注释[18]、档案语义标注[19]、红色出版知识组织[20]，以及面向历史叙事[21]和领域图谱[22]的抽取—检索—纠错流程。共同结论是，大语言模型扩大了可处理的语境范围，却没有消除实体边界、类型判断、关系方向和跨来源对齐中的不确定性；因此，多通道输出仍需要明确的接受、升级和弃权边界。</w:t>
      </w:r>
    </w:p>
    <w:p w14:paraId="3DB92983">
      <w:pPr>
        <w:widowControl/>
        <w:wordWrap/>
        <w:rPr>
          <w:rFonts w:hint="default"/>
          <w:lang w:val="en-US" w:eastAsia="zh-CN"/>
        </w:rPr>
      </w:pPr>
      <w:r>
        <w:rPr>
          <w:rFonts w:hint="default"/>
          <w:lang w:val="en-US" w:eastAsia="zh-CN"/>
        </w:rPr>
        <w:t>关系抽取在跨句依赖、长尾关系和领域迁移下仍不稳定[23]；弱监督能够缓解标注不足，但也会引入不完整、不精确或错误的训练信号[24]。不确定性量化为识别低可靠样本提供了基础[25,26]，实体解析研究则表明，大规模异构数据中的候选阻断、匹配、聚类和人工复核仍然不可相互替代[27,28]。这意味着候选知识的质量至少包含两个不同问题：标签或关系是否有充分语义证据，以及多个文本记录是否对应同一历史对象。最高模型分数或单一相似度阈值都不足以同时约束二者。</w:t>
      </w:r>
    </w:p>
    <w:p w14:paraId="4DF1325C">
      <w:pPr>
        <w:widowControl/>
        <w:wordWrap/>
        <w:rPr>
          <w:rFonts w:hint="default"/>
          <w:lang w:val="en-US" w:eastAsia="zh-CN"/>
        </w:rPr>
      </w:pPr>
      <w:r>
        <w:rPr>
          <w:rFonts w:hint="default"/>
          <w:lang w:val="en-US" w:eastAsia="zh-CN"/>
        </w:rPr>
        <w:t>语义接受和实体归一之后，记录还需满足知识图谱的数据模型、身份管理、验证和上下文表达要求[29]。领域图谱研究指出，抽取准确率不能替代本体、结构和迁移能力的综合质量评价[30]；场景化知识图谱强调事实的适用条件[31]，时空知识图谱与时序图谱则分别从空间单元、时空关联和事实有效期组织动态知识[32–34]。对历史文献而言，时间和地点还必须区分事件发生、人物生平、组织存续、作品形成和来源年代等语义角色。来源模型进一步要求知识能够返回制品、过程和主体[35]，文化遗产中的解释性陈述也需要把描述对象、解释内容和证据依据分开[36]。因此，结构条件和来源条件不能被压缩为抽取准确率的附属指标。</w:t>
      </w:r>
    </w:p>
    <w:p w14:paraId="4BC0C8AD">
      <w:pPr>
        <w:widowControl/>
        <w:wordWrap/>
        <w:bidi w:val="0"/>
      </w:pPr>
      <w:r>
        <w:rPr>
          <w:rFonts w:hint="default"/>
          <w:lang w:val="en-US" w:eastAsia="zh-CN"/>
        </w:rPr>
        <w:t>综上，相关研究已分别提供信息抽取、实体融合、时空建模、结构验证和来源记录工具，但三处接口仍需打通：多通道证据缺少统一的接受—升级—弃权边界；语义上已接受的候选仍可能不满足身份、关系、时空和来源条件；语义评价、结构审计与效率测试的证据等级和分母并不相同。本文据此把选择性预测与结构准入串联为连续质量控制链，并在结果报告中分别标注实际运行、缓存输出和确定性回放。</w:t>
      </w:r>
    </w:p>
    <w:p w14:paraId="462ACE3C">
      <w:pPr>
        <w:pStyle w:val="2"/>
        <w:keepNext/>
        <w:keepLines/>
        <w:widowControl/>
        <w:wordWrap/>
      </w:pPr>
      <w:r>
        <w:rPr>
          <w:b/>
        </w:rPr>
        <w:t>3 选择性预测与结构准入协同的图谱构建方法</w:t>
      </w:r>
    </w:p>
    <w:p w14:paraId="54A91683">
      <w:pPr>
        <w:pStyle w:val="4"/>
        <w:keepNext/>
        <w:keepLines/>
        <w:widowControl/>
        <w:wordWrap/>
        <w:bidi w:val="0"/>
        <w:rPr>
          <w:rFonts w:hint="eastAsia"/>
        </w:rPr>
      </w:pPr>
      <w:bookmarkStart w:id="0" w:name="分层发布与可复算构建"/>
      <w:r>
        <w:rPr>
          <w:rFonts w:hint="eastAsia"/>
        </w:rPr>
        <w:t>3.1 问题形式化与两级控制框架</w:t>
      </w:r>
    </w:p>
    <w:p w14:paraId="3F0F5EF6">
      <w:pPr>
        <w:widowControl/>
        <w:wordWrap/>
        <w:bidi w:val="0"/>
        <w:rPr>
          <w:rFonts w:hint="eastAsia"/>
        </w:rPr>
      </w:pPr>
      <w:r>
        <w:rPr>
          <w:rFonts w:hint="eastAsia"/>
        </w:rPr>
        <w:t>长江流域中共党史文献中的人物、组织、事件、地点和时间依附于连续叙事，自动抽取得到的结构化结果首先形成候选知识。本文把后续控制拆成两道门：第一道门回答候选是否具有足够的语义证据，允许自动接受、升级裁决或弃权；第二道门回答已接受候选是否满足实体身份、关系类型、时空归属和来源条件，决定其发布层级。前者控制相对于集成参考标注的错误暴露，后者控制相对于冻结结构规范的发布合规，二者共同构成从候选判定到结构发布的连续质量控制链。</w:t>
      </w:r>
    </w:p>
    <w:p w14:paraId="6D1BE59E">
      <w:pPr>
        <w:widowControl/>
        <w:wordWrap/>
        <w:bidi w:val="0"/>
        <w:rPr>
          <w:rFonts w:hint="eastAsia"/>
        </w:rPr>
      </w:pPr>
      <w:r>
        <w:rPr>
          <w:rFonts w:hint="eastAsia"/>
        </w:rPr>
        <w:t>设来源记录集合为</w:t>
      </w:r>
      <m:oMath>
        <m:r>
          <m:rPr>
            <m:nor/>
            <m:sty m:val="p"/>
          </m:rPr>
          <w:rPr>
            <w:rFonts w:hint="default" w:ascii="Times New Roman" w:hAnsi="Times New Roman" w:cs="Times New Roman"/>
            <w:b w:val="0"/>
            <w:i w:val="0"/>
            <w:kern w:val="2"/>
            <w:sz w:val="21"/>
            <w:szCs w:val="24"/>
            <w:lang w:val="en-US" w:bidi="ar-SA"/>
          </w:rPr>
          <m:t>D</m:t>
        </m:r>
      </m:oMath>
      <w:r>
        <w:rPr>
          <w:rFonts w:hint="eastAsia"/>
        </w:rPr>
        <w:t xml:space="preserve">，候选抽取算子 </w:t>
      </w:r>
      <m:oMath>
        <m:r>
          <m:rPr>
            <m:nor/>
            <m:sty m:val="p"/>
          </m:rPr>
          <w:rPr>
            <w:rFonts w:hint="default" w:ascii="Times New Roman" w:hAnsi="Times New Roman" w:cs="Times New Roman"/>
            <w:b w:val="0"/>
            <w:i w:val="0"/>
            <w:sz w:val="21"/>
          </w:rPr>
          <m:t>Φ</m:t>
        </m:r>
      </m:oMath>
      <w:r>
        <w:rPr>
          <w:rFonts w:hint="eastAsia"/>
        </w:rPr>
        <w:t xml:space="preserve"> 从来源记录中生成候选知识陈述集合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A</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0</m:t>
            </m:r>
            <m:ctrlPr>
              <w:rPr>
                <w:rFonts w:hint="default" w:ascii="Cambria Math" w:hAnsi="Cambria Math" w:cs="Times New Roman"/>
                <w:sz w:val="21"/>
              </w:rPr>
            </m:ctrlPr>
          </m:sub>
        </m:sSub>
      </m:oMath>
      <w:r>
        <w:rPr>
          <w:rFonts w:hint="eastAsia"/>
        </w:rPr>
        <w:t>。为使语义判定、实体规范化、结构校验和来源追溯作用于同一基本对象，每条候选知识陈述统一表示为主体、谓词、客体、时间单元、空间单元和来源记录集合的组合，具体表示如式（1）所示：</w:t>
      </w:r>
    </w:p>
    <w:p w14:paraId="04A41922">
      <w:pPr>
        <w:wordWrap/>
        <w:bidi w:val="0"/>
        <w:rPr>
          <w:rFonts w:hint="eastAsia"/>
        </w:rPr>
      </w:pPr>
      <m:oMathPara>
        <m:oMathParaPr>
          <m:jc m:val="center"/>
        </m:oMathParaPr>
        <m:oMath>
          <m:eqArr>
            <m:eqArrPr>
              <m:maxDist m:val="1"/>
              <m:ctrlPr>
                <w:rPr>
                  <w:i w:val="0"/>
                </w:rPr>
              </m:ctrlPr>
            </m:eqArrPr>
            <m:e>
              <m:sSub>
                <m:sSubPr/>
                <m:e>
                  <m:r>
                    <m:rPr/>
                    <m:t>A</m:t>
                  </m:r>
                </m:e>
                <m:sub>
                  <m:r>
                    <m:rPr/>
                    <m:t>0</m:t>
                  </m:r>
                </m:sub>
              </m:sSub>
              <m:r>
                <m:rPr>
                  <m:sty m:val="p"/>
                </m:rPr>
                <m:t>=</m:t>
              </m:r>
              <m:r>
                <m:rPr/>
                <m:t>Φ</m:t>
              </m:r>
              <m:d>
                <m:dPr>
                  <m:sepChr m:val=""/>
                </m:dPr>
                <m:e>
                  <m:r>
                    <m:rPr/>
                    <m:t>D</m:t>
                  </m:r>
                </m:e>
              </m:d>
              <m:r>
                <m:rPr>
                  <m:sty m:val="p"/>
                </m:rPr>
                <m:t>,</m:t>
              </m:r>
              <m:r>
                <m:rPr/>
                <m:t>  a</m:t>
              </m:r>
              <m:r>
                <m:rPr>
                  <m:sty m:val="p"/>
                </m:rPr>
                <m:t>=</m:t>
              </m:r>
              <m:d>
                <m:dPr>
                  <m:sepChr m:val=""/>
                </m:dPr>
                <m:e>
                  <m:r>
                    <m:rPr/>
                    <m:t>s</m:t>
                  </m:r>
                  <m:r>
                    <m:rPr>
                      <m:sty m:val="p"/>
                    </m:rPr>
                    <m:t>,</m:t>
                  </m:r>
                  <m:r>
                    <m:rPr/>
                    <m:t>p</m:t>
                  </m:r>
                  <m:r>
                    <m:rPr>
                      <m:sty m:val="p"/>
                    </m:rPr>
                    <m:t>,</m:t>
                  </m:r>
                  <m:r>
                    <m:rPr/>
                    <m:t>o</m:t>
                  </m:r>
                  <m:r>
                    <m:rPr>
                      <m:sty m:val="p"/>
                    </m:rPr>
                    <m:t>,</m:t>
                  </m:r>
                  <m:r>
                    <m:rPr/>
                    <m:t>τ</m:t>
                  </m:r>
                  <m:r>
                    <m:rPr>
                      <m:sty m:val="p"/>
                    </m:rPr>
                    <m:t>,</m:t>
                  </m:r>
                  <m:r>
                    <m:rPr/>
                    <m:t>λ</m:t>
                  </m:r>
                  <m:r>
                    <m:rPr>
                      <m:sty m:val="p"/>
                    </m:rPr>
                    <m:t>,</m:t>
                  </m:r>
                  <m:sSub>
                    <m:sSubPr/>
                    <m:e>
                      <m:r>
                        <m:rPr/>
                        <m:t>Π</m:t>
                      </m:r>
                    </m:e>
                    <m:sub>
                      <m:r>
                        <m:rPr/>
                        <m:t>a</m:t>
                      </m:r>
                    </m:sub>
                  </m:sSub>
                </m:e>
              </m:d>
              <m:r>
                <m:rPr>
                  <m:sty m:val="p"/>
                </m:rPr>
                <m:t>,</m:t>
              </m:r>
              <m:r>
                <m:rPr/>
                <m:t>  </m:t>
              </m:r>
              <m:sSub>
                <m:sSubPr/>
                <m:e>
                  <m:r>
                    <m:rPr/>
                    <m:t>Π</m:t>
                  </m:r>
                </m:e>
                <m:sub>
                  <m:r>
                    <m:rPr/>
                    <m:t>a</m:t>
                  </m:r>
                </m:sub>
              </m:sSub>
              <m:r>
                <m:rPr>
                  <m:sty m:val="p"/>
                </m:rPr>
                <m:t>⊆</m:t>
              </m:r>
              <m:r>
                <m:rPr/>
                <m:t>D</m:t>
              </m:r>
              <m:r>
                <m:rPr>
                  <m:sty m:val="p"/>
                </m:rPr>
                <w:rPr>
                  <w:rFonts w:ascii="Times New Roman" w:hAnsi="Times New Roman"/>
                </w:rPr>
                <m:t>#</m:t>
              </m:r>
              <m:r>
                <m:rPr>
                  <m:sty m:val="p"/>
                </m:rPr>
                <w:rPr>
                  <w:rFonts w:hint="default" w:ascii="Times New Roman" w:hAnsi="Times New Roman"/>
                  <w:lang w:val="en-US" w:eastAsia="zh-CN"/>
                </w:rPr>
                <m:t>(1)</m:t>
              </m:r>
              <m:ctrlPr>
                <w:rPr>
                  <w:i w:val="0"/>
                </w:rPr>
              </m:ctrlPr>
            </m:e>
          </m:eqArr>
        </m:oMath>
      </m:oMathPara>
    </w:p>
    <w:p w14:paraId="64AD88B3">
      <w:pPr>
        <w:widowControl/>
        <w:wordWrap/>
        <w:bidi w:val="0"/>
        <w:rPr>
          <w:rFonts w:hint="eastAsia"/>
        </w:rPr>
      </w:pPr>
      <w:r>
        <w:rPr>
          <w:rFonts w:hint="eastAsia"/>
        </w:rPr>
        <w:t>其中，</w:t>
      </w:r>
      <m:oMath>
        <m:r>
          <m:rPr>
            <m:nor/>
          </m:rPr>
          <w:rPr>
            <w:rFonts w:hint="default" w:ascii="Times New Roman" w:hAnsi="Times New Roman" w:cs="Times New Roman"/>
            <w:i/>
            <w:sz w:val="21"/>
          </w:rPr>
          <m:t>s</m:t>
        </m:r>
      </m:oMath>
      <w:r>
        <w:rPr>
          <w:rFonts w:hint="eastAsia"/>
        </w:rPr>
        <w:t>、</w:t>
      </w:r>
      <m:oMath>
        <m:r>
          <m:rPr>
            <m:nor/>
          </m:rPr>
          <w:rPr>
            <w:rFonts w:hint="default" w:ascii="Times New Roman" w:hAnsi="Times New Roman" w:cs="Times New Roman"/>
            <w:i/>
            <w:sz w:val="21"/>
          </w:rPr>
          <m:t>p</m:t>
        </m:r>
      </m:oMath>
      <w:r>
        <w:rPr>
          <w:rFonts w:hint="eastAsia"/>
        </w:rPr>
        <w:t>、</w:t>
      </w:r>
      <m:oMath>
        <m:r>
          <m:rPr>
            <m:nor/>
          </m:rPr>
          <w:rPr>
            <w:rFonts w:hint="default" w:ascii="Times New Roman" w:hAnsi="Times New Roman" w:cs="Times New Roman"/>
            <w:i/>
            <w:sz w:val="21"/>
          </w:rPr>
          <m:t>o</m:t>
        </m:r>
      </m:oMath>
      <w:r>
        <w:rPr>
          <w:rFonts w:hint="eastAsia"/>
        </w:rPr>
        <w:t>分别表示主体、谓词和客体，</w:t>
      </w:r>
      <m:oMath>
        <m:r>
          <m:rPr>
            <m:nor/>
          </m:rPr>
          <w:rPr>
            <w:rFonts w:hint="default" w:ascii="Times New Roman" w:hAnsi="Times New Roman" w:cs="Times New Roman"/>
            <w:i/>
            <w:sz w:val="21"/>
          </w:rPr>
          <m:t>τ</m:t>
        </m:r>
      </m:oMath>
      <w:r>
        <w:rPr>
          <w:rFonts w:hint="eastAsia"/>
        </w:rPr>
        <w:t xml:space="preserve"> 与 </w:t>
      </w:r>
      <m:oMath>
        <m:r>
          <m:rPr>
            <m:nor/>
          </m:rPr>
          <w:rPr>
            <w:rFonts w:hint="default" w:ascii="Times New Roman" w:hAnsi="Times New Roman" w:cs="Times New Roman"/>
            <w:i/>
            <w:sz w:val="21"/>
          </w:rPr>
          <m:t>λ</m:t>
        </m:r>
      </m:oMath>
      <w:r>
        <w:rPr>
          <w:rFonts w:hint="eastAsia"/>
        </w:rPr>
        <w:t xml:space="preserve"> 分别表示时间单元和空间单元，</w:t>
      </w:r>
      <m:oMath>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Π</m:t>
            </m:r>
            <m:ctrlPr>
              <w:rPr>
                <w:rFonts w:hint="default" w:ascii="Cambria Math" w:hAnsi="Cambria Math" w:cs="Times New Roman"/>
                <w:sz w:val="21"/>
              </w:rPr>
            </m:ctrlPr>
          </m:e>
          <m:sub>
            <m:r>
              <m:rPr>
                <m:nor/>
              </m:rPr>
              <w:rPr>
                <w:rFonts w:hint="default" w:ascii="Times New Roman" w:hAnsi="Times New Roman" w:cs="Times New Roman"/>
                <w:i/>
                <w:sz w:val="21"/>
              </w:rPr>
              <m:t>a</m:t>
            </m:r>
            <m:ctrlPr>
              <w:rPr>
                <w:rFonts w:hint="default" w:ascii="Cambria Math" w:hAnsi="Cambria Math" w:cs="Times New Roman"/>
                <w:sz w:val="21"/>
              </w:rPr>
            </m:ctrlPr>
          </m:sub>
        </m:sSub>
      </m:oMath>
      <w:r>
        <w:rPr>
          <w:rFonts w:hint="eastAsia"/>
        </w:rPr>
        <w:t xml:space="preserve"> 为支持知识陈述 </w:t>
      </w:r>
      <m:oMath>
        <m:r>
          <m:rPr>
            <m:nor/>
            <m:sty m:val="p"/>
          </m:rPr>
          <w:rPr>
            <w:rFonts w:hint="default" w:ascii="Times New Roman" w:hAnsi="Times New Roman" w:cs="Times New Roman"/>
            <w:b w:val="0"/>
            <w:i w:val="0"/>
            <w:kern w:val="2"/>
            <w:sz w:val="21"/>
            <w:szCs w:val="24"/>
            <w:lang w:val="en-US" w:bidi="ar-SA"/>
          </w:rPr>
          <m:t>a</m:t>
        </m:r>
      </m:oMath>
      <w:r>
        <w:rPr>
          <w:rFonts w:hint="eastAsia"/>
        </w:rPr>
        <w:t xml:space="preserve"> 的来源记录集合。来源关系在候选生成阶段即完成绑定，后续规则判定、本地分类、升级裁决、实体规范化和结构校验仅追加决策状态与规范映射，不覆盖原始来源。该表示使同一知识陈述在整个构建过程中保持稳定标识，为结构审计、来源回溯和增量复算提供统一载体。</w:t>
      </w:r>
    </w:p>
    <w:p w14:paraId="2BDBC092">
      <w:pPr>
        <w:widowControl/>
        <w:wordWrap/>
        <w:bidi w:val="0"/>
        <w:rPr>
          <w:rFonts w:hint="eastAsia"/>
        </w:rPr>
      </w:pPr>
      <w:r>
        <w:rPr>
          <w:rFonts w:hint="eastAsia"/>
        </w:rPr>
        <w:t>一级控制首先判断候选知识的语义证据是否充分。规则、本地分类器和</w:t>
      </w:r>
      <w:r>
        <w:rPr>
          <w:rFonts w:hint="eastAsia"/>
          <w:lang w:val="en-US" w:eastAsia="zh-CN"/>
        </w:rPr>
        <w:t>大语言模型</w:t>
      </w:r>
      <w:r>
        <w:rPr>
          <w:rFonts w:hint="eastAsia"/>
        </w:rPr>
        <w:t xml:space="preserve">形成异质证据，选择性预测将候选分配至自动接受、升级裁决或显式弃权通道。升级裁决完成后，最终语义状态收敛为接受或未决。二级控制只作用于语义上已经接受的知识，并进一步检查实体身份投影、受控谓词、端点类型、关系契约、时空归属和来源校验六项条件。令结构条件索引集合为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R</m:t>
            </m:r>
            <m:ctrlPr>
              <w:rPr>
                <w:rFonts w:hint="default" w:ascii="Cambria Math" w:hAnsi="Cambria Math" w:cs="Times New Roman"/>
                <w:sz w:val="21"/>
              </w:rPr>
            </m:ctrlPr>
          </m:e>
          <m:sub>
            <m:r>
              <m:rPr>
                <m:nor/>
              </m:rPr>
              <w:rPr>
                <w:rFonts w:hint="default" w:ascii="Times New Roman" w:hAnsi="Times New Roman" w:cs="Times New Roman"/>
                <w:i/>
                <w:sz w:val="21"/>
              </w:rPr>
              <m:t>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={id,ctl,type,con,st,prov}</m:t>
        </m:r>
      </m:oMath>
      <w:r>
        <w:rPr>
          <w:rFonts w:hint="eastAsia"/>
        </w:rPr>
        <w:t xml:space="preserve">，每一项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I</m:t>
            </m:r>
            <m:ctrlPr>
              <w:rPr>
                <w:rFonts w:hint="default" w:ascii="Cambria Math" w:hAnsi="Cambria Math" w:cs="Times New Roman"/>
                <w:sz w:val="21"/>
              </w:rPr>
            </m:ctrlPr>
          </m:e>
          <m:sub>
            <m:r>
              <m:rPr>
                <m:nor/>
              </m:rPr>
              <w:rPr>
                <w:rFonts w:hint="default" w:ascii="Times New Roman" w:hAnsi="Times New Roman" w:cs="Times New Roman"/>
                <w:i/>
                <w:sz w:val="21"/>
              </w:rPr>
              <m:t>r</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)∈{0,1}</m:t>
        </m:r>
      </m:oMath>
      <w:r>
        <w:rPr>
          <w:rFonts w:hint="eastAsia"/>
        </w:rPr>
        <w:t xml:space="preserve"> 表示对应条件是否通过，则结构准入函数如式（2）所示：</w:t>
      </w:r>
    </w:p>
    <w:p w14:paraId="2B526B9A">
      <w:pPr>
        <w:wordWrap/>
        <w:bidi w:val="0"/>
        <w:rPr>
          <w:rFonts w:hint="eastAsia"/>
        </w:rPr>
      </w:pPr>
      <m:oMathPara>
        <m:oMathParaPr>
          <m:jc m:val="center"/>
        </m:oMathParaPr>
        <m:oMath>
          <m:eqArr>
            <m:eqArrPr>
              <m:maxDist m:val="1"/>
              <m:ctrlPr>
                <w:rPr>
                  <w:b w:val="0"/>
                  <w:i w:val="0"/>
                </w:rPr>
              </m:ctrlPr>
            </m:eqArrPr>
            <m:e>
              <m:r>
                <m:rPr>
                  <m:sty m:val="p"/>
                </m:rPr>
                <m:t>Admit</m:t>
              </m:r>
              <m:d>
                <m:dPr>
                  <m:sepChr m:val=""/>
                </m:dPr>
                <m:e>
                  <m:r>
                    <m:rPr/>
                    <m:t>a</m:t>
                  </m:r>
                </m:e>
              </m:d>
              <m:r>
                <m:rPr>
                  <m:sty m:val="p"/>
                </m:rPr>
                <m:t>=</m:t>
              </m:r>
              <m:nary>
                <m:naryPr>
                  <m:chr m:val="∏"/>
                  <m:limLoc m:val="undOvr"/>
                  <m:supHide m:val="1"/>
                </m:naryPr>
                <m:sub>
                  <m:r>
                    <m:rPr/>
                    <m:t>r</m:t>
                  </m:r>
                  <m:r>
                    <m:rPr>
                      <m:sty m:val="p"/>
                    </m:rPr>
                    <m:t>∈</m:t>
                  </m:r>
                  <m:sSub>
                    <m:sSubPr/>
                    <m:e>
                      <m:r>
                        <m:rPr>
                          <m:sty m:val="p"/>
                          <m:scr m:val="script"/>
                        </m:rPr>
                        <m:t>ℛ</m:t>
                      </m:r>
                    </m:e>
                    <m:sub>
                      <m:r>
                        <m:rPr/>
                        <m:t>s</m:t>
                      </m:r>
                    </m:sub>
                  </m:sSub>
                </m:sub>
                <m:sup>
                  <m:r>
                    <m:rPr/>
                    <m:t>​</m:t>
                  </m:r>
                </m:sup>
                <m:e>
                  <m:sSub>
                    <m:sSubPr/>
                    <m:e>
                      <m:r>
                        <m:rPr/>
                        <m:t>I</m:t>
                      </m:r>
                    </m:e>
                    <m:sub>
                      <m:r>
                        <m:rPr/>
                        <m:t>r</m:t>
                      </m:r>
                    </m:sub>
                  </m:sSub>
                </m:e>
              </m:nary>
              <m:d>
                <m:dPr>
                  <m:sepChr m:val=""/>
                </m:dPr>
                <m:e>
                  <m:r>
                    <m:rPr/>
                    <m:t>a</m:t>
                  </m:r>
                </m:e>
              </m:d>
              <m:r>
                <m:rPr>
                  <m:sty m:val="p"/>
                </m:rPr>
                <w:rPr>
                  <w:rFonts w:ascii="Cambria Math" w:hAnsi="Cambria Math"/>
                </w:rPr>
                <m:t>#</m:t>
              </m:r>
              <m:r>
                <m:rPr>
                  <m:sty m:val="p"/>
                </m:rPr>
                <w:rPr>
                  <w:rFonts w:hint="default" w:ascii="Times New Roman" w:hAnsi="Times New Roman"/>
                  <w:lang w:val="en-US" w:eastAsia="zh-CN"/>
                </w:rPr>
                <m:t>(2)</m:t>
              </m:r>
              <m:ctrlPr>
                <w:rPr>
                  <w:b w:val="0"/>
                  <w:i w:val="0"/>
                </w:rPr>
              </m:ctrlPr>
            </m:e>
          </m:eqArr>
        </m:oMath>
      </m:oMathPara>
    </w:p>
    <w:p w14:paraId="5C3684B1">
      <w:pPr>
        <w:widowControl/>
        <w:wordWrap/>
        <w:bidi w:val="0"/>
        <w:rPr>
          <w:rFonts w:hint="eastAsia"/>
        </w:rPr>
      </w:pPr>
      <w:r>
        <w:rPr>
          <w:rFonts w:hint="eastAsia"/>
        </w:rPr>
        <w:t xml:space="preserve">六项结构条件采用合取逻辑，任一条件失败都不能进入严格语义层。语义接受且 </w:t>
      </w:r>
      <m:oMath>
        <m:r>
          <m:rPr>
            <m:nor/>
          </m:rPr>
          <w:rPr>
            <w:rFonts w:hint="default" w:ascii="Times New Roman" w:hAnsi="Times New Roman" w:cs="Times New Roman"/>
            <w:i/>
            <w:sz w:val="21"/>
          </w:rPr>
          <m:t>Admit</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)=1</m:t>
        </m:r>
      </m:oMath>
      <w:r>
        <w:rPr>
          <w:rFonts w:hint="eastAsia"/>
        </w:rPr>
        <w:t xml:space="preserve"> 的知识进入严格语义层；语义接受但 </w:t>
      </w:r>
      <m:oMath>
        <m:r>
          <m:rPr>
            <m:nor/>
          </m:rPr>
          <w:rPr>
            <w:rFonts w:hint="default" w:ascii="Times New Roman" w:hAnsi="Times New Roman" w:cs="Times New Roman"/>
            <w:i/>
            <w:sz w:val="21"/>
          </w:rPr>
          <m:t>Admit</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)=0</m:t>
        </m:r>
      </m:oMath>
      <w:r>
        <w:rPr>
          <w:rFonts w:hint="eastAsia"/>
        </w:rPr>
        <w:t xml:space="preserve"> 的知识进入上下文层；显式弃权或升级裁决后仍无法形成稳定语义判断的候选进入未决集合。由此，模型置信度只决定语义路由和自动处理边界，严格发布资格仍由冻结结构规范和当前检查器独立限定。</w:t>
      </w:r>
    </w:p>
    <w:p w14:paraId="72E5F645">
      <w:pPr>
        <w:pStyle w:val="4"/>
        <w:keepNext/>
        <w:keepLines/>
        <w:widowControl/>
        <w:wordWrap/>
        <w:bidi w:val="0"/>
        <w:rPr>
          <w:rFonts w:hint="eastAsia"/>
        </w:rPr>
      </w:pPr>
      <w:r>
        <w:rPr>
          <w:rFonts w:hint="eastAsia"/>
        </w:rPr>
        <w:t>3.2 多通道证据融合与选择性预测</w:t>
      </w:r>
    </w:p>
    <w:p w14:paraId="680E7110">
      <w:pPr>
        <w:widowControl/>
        <w:wordWrap/>
        <w:bidi w:val="0"/>
        <w:rPr>
          <w:rFonts w:hint="eastAsia"/>
        </w:rPr>
      </w:pPr>
      <w:r>
        <w:t>候选知识的语义误差首先表现在实体识别层面，实体边界偏移、类别混淆和上下文依赖会直接影响后续关系组织[37]。关系抽取还受到跨句语义、远程监督噪声和长尾关系等因素影响[38]；实体识别与关系抽取的联合研究显示，两类误差会在端到端知识获取中传递[39]，嵌套实体又增加了边界与类型判定难度[40]。模型不确定性还受数据噪声、分布变化和知识不足影响[41]。规则、本地分类器和大语言模型各有不同优势与限制，本文因此将三者组织为互补证据通道，而不是相互替代的单一分类器。</w:t>
      </w:r>
    </w:p>
    <w:p w14:paraId="314FCF81">
      <w:pPr>
        <w:widowControl/>
        <w:wordWrap/>
        <w:bidi w:val="0"/>
        <w:rPr>
          <w:rFonts w:hint="eastAsia"/>
        </w:rPr>
      </w:pPr>
      <w:r>
        <w:t>规则通道处理名称后缀、纪年格式、受控词表、固定关系方向和确定性类型提示。本地分类器采用一对其余（one-vs-rest）弹性网络逻辑回归，以实体名称及别名的字符1—4元组TF-IDF和“方向—谓词—邻居类型”关系上下文TF-IDF构成稀疏特征。设 φ(x_i) 为候选 x_i 的特征向量，y_ik 为样本 i 关于类别 k 的二元标签，α_i 为类别平衡权重，并将加权逻辑损失记为 L_k(β_k)。第 k 个一对其余分类器通过弹性网络正则化估计参数如式（3）所示：</w:t>
      </w:r>
    </w:p>
    <w:p w14:paraId="5D5356E0">
      <w:pPr>
        <w:wordWrap/>
        <w:bidi w:val="0"/>
        <w:rPr>
          <w:rFonts w:hint="eastAsia"/>
        </w:rPr>
      </w:pPr>
      <m:oMathPara>
        <m:oMathParaPr>
          <m:jc m:val="center"/>
        </m:oMathParaPr>
        <m:oMath>
          <m:eqArr>
            <m:eqArrPr>
              <m:maxDist m:val="1"/>
              <m:ctrlPr>
                <w:rPr>
                  <w:b/>
                </w:rPr>
              </m:ctrlPr>
            </m:eqArrPr>
            <m:e>
              <m:sSub>
                <m:sSubPr/>
                <m:e>
                  <m:acc>
                    <m:accPr/>
                    <m:e>
                      <m:r>
                        <m:rPr>
                          <m:sty m:val="b"/>
                        </m:rPr>
                        <m:t>β</m:t>
                      </m:r>
                    </m:e>
                  </m:acc>
                </m:e>
                <m:sub>
                  <m:r>
                    <m:rPr/>
                    <m:t>k</m:t>
                  </m:r>
                </m:sub>
              </m:sSub>
              <m:r>
                <m:rPr>
                  <m:sty m:val="p"/>
                </m:rPr>
                <m:t>=arg</m:t>
              </m:r>
              <m:limLow>
                <m:limLowPr/>
                <m:e>
                  <m:r>
                    <m:rPr>
                      <m:sty m:val="p"/>
                    </m:rPr>
                    <m:t>min</m:t>
                  </m:r>
                </m:e>
                <m:lim>
                  <m:sSub>
                    <m:sSubPr/>
                    <m:e>
                      <m:r>
                        <m:rPr>
                          <m:sty m:val="b"/>
                        </m:rPr>
                        <m:t>β</m:t>
                      </m:r>
                    </m:e>
                    <m:sub>
                      <m:r>
                        <m:rPr/>
                        <m:t>k</m:t>
                      </m:r>
                    </m:sub>
                  </m:sSub>
                </m:lim>
              </m:limLow>
              <m:d>
                <m:dPr>
                  <m:begChr m:val="{"/>
                  <m:sepChr m:val=""/>
                  <m:endChr m:val="}"/>
                </m:dPr>
                <m:e>
                  <m:sSub>
                    <m:sSubPr/>
                    <m:e>
                      <m:r>
                        <m:rPr/>
                        <m:t>L</m:t>
                      </m:r>
                    </m:e>
                    <m:sub>
                      <m:r>
                        <m:rPr/>
                        <m:t>k</m:t>
                      </m:r>
                    </m:sub>
                  </m:sSub>
                  <m:d>
                    <m:dPr>
                      <m:sepChr m:val=""/>
                    </m:dPr>
                    <m:e>
                      <m:sSub>
                        <m:sSubPr/>
                        <m:e>
                          <m:r>
                            <m:rPr>
                              <m:sty m:val="b"/>
                            </m:rPr>
                            <m:t>β</m:t>
                          </m:r>
                        </m:e>
                        <m:sub>
                          <m:r>
                            <m:rPr/>
                            <m:t>k</m:t>
                          </m:r>
                        </m:sub>
                      </m:sSub>
                    </m:e>
                  </m:d>
                  <m:r>
                    <m:rPr>
                      <m:sty m:val="p"/>
                    </m:rPr>
                    <m:t>+</m:t>
                  </m:r>
                  <m:sSub>
                    <m:sSubPr/>
                    <m:e>
                      <m:r>
                        <m:rPr/>
                        <m:t>λ</m:t>
                      </m:r>
                    </m:e>
                    <m:sub>
                      <m:r>
                        <m:rPr/>
                        <m:t>1</m:t>
                      </m:r>
                    </m:sub>
                  </m:sSub>
                  <m:r>
                    <m:rPr>
                      <m:sty m:val="p"/>
                    </m:rPr>
                    <m:t>∥</m:t>
                  </m:r>
                  <m:sSub>
                    <m:sSubPr/>
                    <m:e>
                      <m:r>
                        <m:rPr>
                          <m:sty m:val="b"/>
                        </m:rPr>
                        <m:t>β</m:t>
                      </m:r>
                    </m:e>
                    <m:sub>
                      <m:r>
                        <m:rPr/>
                        <m:t>k</m:t>
                      </m:r>
                    </m:sub>
                  </m:sSub>
                  <m:sSub>
                    <m:sSubPr/>
                    <m:e>
                      <m:r>
                        <m:rPr>
                          <m:sty m:val="p"/>
                        </m:rPr>
                        <m:t>∥</m:t>
                      </m:r>
                    </m:e>
                    <m:sub>
                      <m:r>
                        <m:rPr/>
                        <m:t>1</m:t>
                      </m:r>
                    </m:sub>
                  </m:sSub>
                  <m:r>
                    <m:rPr>
                      <m:sty m:val="p"/>
                    </m:rPr>
                    <m:t>+</m:t>
                  </m:r>
                  <m:sSub>
                    <m:sSubPr/>
                    <m:e>
                      <m:r>
                        <m:rPr/>
                        <m:t>λ</m:t>
                      </m:r>
                    </m:e>
                    <m:sub>
                      <m:r>
                        <m:rPr/>
                        <m:t>2</m:t>
                      </m:r>
                    </m:sub>
                  </m:sSub>
                  <m:r>
                    <m:rPr>
                      <m:sty m:val="p"/>
                    </m:rPr>
                    <m:t>∥</m:t>
                  </m:r>
                  <m:sSub>
                    <m:sSubPr/>
                    <m:e>
                      <m:r>
                        <m:rPr>
                          <m:sty m:val="b"/>
                        </m:rPr>
                        <m:t>β</m:t>
                      </m:r>
                    </m:e>
                    <m:sub>
                      <m:r>
                        <m:rPr/>
                        <m:t>k</m:t>
                      </m:r>
                    </m:sub>
                  </m:sSub>
                  <m:sSubSup>
                    <m:sSubSupPr/>
                    <m:e>
                      <m:r>
                        <m:rPr>
                          <m:sty m:val="p"/>
                        </m:rPr>
                        <m:t>∥</m:t>
                      </m:r>
                    </m:e>
                    <m:sub>
                      <m:r>
                        <m:rPr/>
                        <m:t>2</m:t>
                      </m:r>
                    </m:sub>
                    <m:sup>
                      <m:r>
                        <m:rPr/>
                        <m:t>2</m:t>
                      </m:r>
                    </m:sup>
                  </m:sSubSup>
                </m:e>
              </m:d>
              <m:r>
                <m:rPr>
                  <m:sty m:val="p"/>
                </m:rPr>
                <w:rPr>
                  <w:rFonts w:ascii="Cambria Math" w:hAnsi="Cambria Math"/>
                </w:rPr>
                <m:t>#</m:t>
              </m:r>
              <m:r>
                <m:rPr>
                  <m:sty m:val="p"/>
                </m:rPr>
                <w:rPr>
                  <w:rFonts w:hint="default" w:ascii="Times New Roman" w:hAnsi="Times New Roman"/>
                  <w:lang w:val="en-US" w:eastAsia="zh-CN"/>
                </w:rPr>
                <m:t>(3)</m:t>
              </m:r>
              <m:ctrlPr>
                <w:rPr>
                  <w:b/>
                </w:rPr>
              </m:ctrlPr>
            </m:e>
          </m:eqArr>
        </m:oMath>
      </m:oMathPara>
    </w:p>
    <w:p w14:paraId="75F03775">
      <w:pPr>
        <w:widowControl/>
        <w:wordWrap/>
        <w:bidi w:val="0"/>
        <w:rPr>
          <w:rFonts w:hint="eastAsia"/>
        </w:rPr>
      </w:pPr>
      <w:r>
        <w:rPr>
          <w:rFonts w:hint="eastAsia"/>
        </w:rPr>
        <w:t xml:space="preserve">式（3）中的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L</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1</m:t>
            </m:r>
            <m:ctrlPr>
              <w:rPr>
                <w:rFonts w:hint="default" w:ascii="Cambria Math" w:hAnsi="Cambria Math" w:cs="Times New Roman"/>
                <w:sz w:val="21"/>
              </w:rPr>
            </m:ctrlPr>
          </m:sub>
        </m:sSub>
      </m:oMath>
      <w:r>
        <w:rPr>
          <w:rFonts w:hint="eastAsia"/>
        </w:rPr>
        <w:t xml:space="preserve"> 项压缩无效高维特征，</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L</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2</m:t>
            </m:r>
            <m:ctrlPr>
              <w:rPr>
                <w:rFonts w:hint="default" w:ascii="Cambria Math" w:hAnsi="Cambria Math" w:cs="Times New Roman"/>
                <w:sz w:val="21"/>
              </w:rPr>
            </m:ctrlPr>
          </m:sub>
        </m:sSub>
      </m:oMath>
      <w:r>
        <w:rPr>
          <w:rFonts w:hint="eastAsia"/>
        </w:rPr>
        <w:t xml:space="preserve"> 项抑制参数过度增长，二者共同提高字符和关系上下文稀疏特征下的稳定性。该模型承担高频实体类型的本地判定，不处理需要跨句语境、历史称谓演变或多来源冲突解释的难例。</w:t>
      </w:r>
    </w:p>
    <w:p w14:paraId="7FA1A146">
      <w:pPr>
        <w:widowControl/>
        <w:wordWrap/>
        <w:bidi w:val="0"/>
        <w:rPr>
          <w:rFonts w:hint="eastAsia"/>
        </w:rPr>
      </w:pPr>
      <w:r>
        <w:rPr>
          <w:rFonts w:hint="eastAsia"/>
          <w:lang w:val="en-US" w:eastAsia="zh-CN"/>
        </w:rPr>
        <w:t>大语言模型</w:t>
      </w:r>
      <w:r>
        <w:rPr>
          <w:rFonts w:hint="eastAsia"/>
        </w:rPr>
        <w:t>承担高风险候选的升级裁决。其输入包括候选知识、相关文本片段、来源定位、已知实体类型和关系约束，以及规则与本地分类器产生的判定信息；输出包括结构化类别、裁决依据以及接受或保持未决的结果。复杂实体类型、事件时间冲突、关系语义冲突和同名实体聚类复核优先进入该通道。大语言模型裁决结果写入统一知识记录，仍需通过结构准入后才能进入严格语义层。</w:t>
      </w:r>
    </w:p>
    <w:p w14:paraId="2026ECD4">
      <w:pPr>
        <w:wordWrap/>
        <w:bidi w:val="0"/>
        <w:rPr>
          <w:rFonts w:hint="eastAsia"/>
        </w:rPr>
      </w:pPr>
    </w:p>
    <w:p w14:paraId="72327B7E">
      <w:pPr>
        <w:widowControl/>
        <w:wordWrap/>
        <w:bidi w:val="0"/>
        <w:rPr>
          <w:rFonts w:hint="eastAsia"/>
        </w:rPr>
      </w:pPr>
      <w:r>
        <w:t>对于候选 x，记当前可用证据通道集合为 J(x)，第 j 个通道的输出为 y_j(x)，可靠性权重为 w_j。不同通道对类别 k 的支持采用带权一致性聚合如式（4）所示：</w:t>
      </w:r>
    </w:p>
    <w:p w14:paraId="799DD0CE">
      <w:pPr>
        <w:wordWrap/>
        <w:bidi w:val="0"/>
        <w:rPr>
          <w:rFonts w:hint="eastAsia"/>
        </w:rPr>
      </w:pPr>
      <m:oMathPara>
        <m:oMathParaPr>
          <m:jc m:val="center"/>
        </m:oMathParaPr>
        <m:oMath>
          <m:eqArr>
            <m:eqArrPr>
              <m:maxDist m:val="1"/>
              <m:ctrlPr>
                <w:rPr>
                  <w:i/>
                </w:rPr>
              </m:ctrlPr>
            </m:eqArrPr>
            <m:e>
              <m:sSub>
                <m:sSubPr/>
                <m:e>
                  <m:r>
                    <m:rPr/>
                    <m:t>V</m:t>
                  </m:r>
                </m:e>
                <m:sub>
                  <m:r>
                    <m:rPr/>
                    <m:t>k</m:t>
                  </m:r>
                </m:sub>
              </m:sSub>
              <m:d>
                <m:dPr>
                  <m:sepChr m:val=""/>
                </m:dPr>
                <m:e>
                  <m:r>
                    <m:rPr/>
                    <m:t>x</m:t>
                  </m:r>
                </m:e>
              </m:d>
              <m:r>
                <m:rPr>
                  <m:sty m:val="p"/>
                </m:rPr>
                <m:t>=</m:t>
              </m:r>
              <m:nary>
                <m:naryPr>
                  <m:chr m:val="∑"/>
                  <m:limLoc m:val="undOvr"/>
                  <m:supHide m:val="1"/>
                </m:naryPr>
                <m:sub>
                  <m:r>
                    <m:rPr/>
                    <m:t>j</m:t>
                  </m:r>
                  <m:r>
                    <m:rPr>
                      <m:sty m:val="p"/>
                    </m:rPr>
                    <m:t>∈</m:t>
                  </m:r>
                  <m:r>
                    <m:rPr>
                      <m:sty m:val="p"/>
                      <m:scr m:val="script"/>
                    </m:rPr>
                    <m:t>J</m:t>
                  </m:r>
                  <m:d>
                    <m:dPr>
                      <m:sepChr m:val=""/>
                    </m:dPr>
                    <m:e>
                      <m:r>
                        <m:rPr/>
                        <m:t>x</m:t>
                      </m:r>
                    </m:e>
                  </m:d>
                </m:sub>
                <m:sup>
                  <m:r>
                    <m:rPr/>
                    <m:t>​</m:t>
                  </m:r>
                </m:sup>
                <m:e>
                  <m:sSub>
                    <m:sSubPr/>
                    <m:e>
                      <m:r>
                        <m:rPr/>
                        <m:t>w</m:t>
                      </m:r>
                    </m:e>
                    <m:sub>
                      <m:r>
                        <m:rPr/>
                        <m:t>j</m:t>
                      </m:r>
                    </m:sub>
                  </m:sSub>
                </m:e>
              </m:nary>
              <m:r>
                <m:rPr/>
                <m:t> </m:t>
              </m:r>
              <m:r>
                <m:rPr>
                  <m:sty m:val="p"/>
                </m:rPr>
                <m:t>I</m:t>
              </m:r>
              <m:d>
                <m:dPr>
                  <m:begChr m:val="["/>
                  <m:sepChr m:val=""/>
                  <m:endChr m:val="]"/>
                </m:dPr>
                <m:e>
                  <m:sSub>
                    <m:sSubPr/>
                    <m:e>
                      <m:r>
                        <m:rPr/>
                        <m:t>y</m:t>
                      </m:r>
                    </m:e>
                    <m:sub>
                      <m:r>
                        <m:rPr/>
                        <m:t>j</m:t>
                      </m:r>
                    </m:sub>
                  </m:sSub>
                  <m:d>
                    <m:dPr>
                      <m:sepChr m:val=""/>
                    </m:dPr>
                    <m:e>
                      <m:r>
                        <m:rPr/>
                        <m:t>x</m:t>
                      </m:r>
                    </m:e>
                  </m:d>
                  <m:r>
                    <m:rPr>
                      <m:sty m:val="p"/>
                    </m:rPr>
                    <m:t>=</m:t>
                  </m:r>
                  <m:r>
                    <m:rPr/>
                    <m:t>k</m:t>
                  </m:r>
                </m:e>
              </m:d>
              <m:r>
                <m:rPr>
                  <m:sty m:val="p"/>
                </m:rPr>
                <w:rPr>
                  <w:rFonts w:ascii="Cambria Math" w:hAnsi="Cambria Math"/>
                </w:rPr>
                <m:t>#</m:t>
              </m:r>
              <m:r>
                <m:rPr>
                  <m:sty m:val="p"/>
                </m:rPr>
                <w:rPr>
                  <w:rFonts w:hint="default" w:ascii="Cambria Math" w:hAnsi="Cambria Math"/>
                  <w:lang w:val="en-US" w:eastAsia="zh-CN"/>
                </w:rPr>
                <m:t>(4)</m:t>
              </m:r>
              <m:ctrlPr>
                <w:rPr>
                  <w:i/>
                </w:rPr>
              </m:ctrlPr>
            </m:e>
          </m:eqArr>
        </m:oMath>
      </m:oMathPara>
    </w:p>
    <w:p w14:paraId="46C6FCA8">
      <w:pPr>
        <w:wordWrap/>
        <w:bidi w:val="0"/>
        <w:rPr>
          <w:rFonts w:hint="eastAsia" w:eastAsia="宋体"/>
          <w:lang w:eastAsia="zh-CN"/>
        </w:rPr>
      </w:pPr>
    </w:p>
    <w:p w14:paraId="53AAC0C7">
      <w:pPr>
        <w:widowControl/>
        <w:wordWrap/>
        <w:bidi w:val="0"/>
        <w:rPr>
          <w:rFonts w:hint="eastAsia"/>
        </w:rPr>
      </w:pPr>
      <w:r>
        <w:t>由 c(x)=argmax_k V_k(x) 得到最高支持类别，但最高支持仅形成候选方向，并不直接触发自动接受。自动接受还需同时检查类别可靠性、概率间隔、独立信号一致和强反证。设 L_c(x) 为预测类别在验证集上的Wilson 95%精确率下限，θ_c(x) 为类别可靠性阈值；最高与次高预测概率分别为 p_(1)(x) 和 p_(2)(x)，令 Δ(x)=p_(1)(x)-p_(2)(x)，δ_c(x) 为类别相关间隔阈值；C(x) 表示是否获得严格词法、关系端点提示或其他独立信号支持，H(x) 表示是否存在跨类型同名、词法—关系冲突、端点未决或年份冲突等强反证。自动接受门如式（5）所示：</w:t>
      </w:r>
    </w:p>
    <w:p w14:paraId="501E5BA5">
      <w:pPr>
        <w:wordWrap/>
        <w:bidi w:val="0"/>
        <w:rPr>
          <w:rFonts w:hint="eastAsia"/>
        </w:rPr>
      </w:pPr>
      <m:oMathPara>
        <m:oMathParaPr>
          <m:jc m:val="center"/>
        </m:oMathParaPr>
        <m:oMath>
          <m:eqArr>
            <m:eqArrPr>
              <m:maxDist m:val="1"/>
              <m:ctrlPr>
                <w:rPr>
                  <w:i/>
                </w:rPr>
              </m:ctrlPr>
            </m:eqArrPr>
            <m:e>
              <m:r>
                <m:rPr/>
                <m:t>g</m:t>
              </m:r>
              <m:d>
                <m:dPr>
                  <m:sepChr m:val=""/>
                </m:dPr>
                <m:e>
                  <m:r>
                    <m:rPr/>
                    <m:t>x</m:t>
                  </m:r>
                </m:e>
              </m:d>
              <m:r>
                <m:rPr>
                  <m:sty m:val="p"/>
                </m:rPr>
                <m:t>=I</m:t>
              </m:r>
              <m:d>
                <m:dPr>
                  <m:begChr m:val="["/>
                  <m:sepChr m:val=""/>
                  <m:endChr m:val="]"/>
                </m:dPr>
                <m:e>
                  <m:sSub>
                    <m:sSubPr/>
                    <m:e>
                      <m:r>
                        <m:rPr/>
                        <m:t>L</m:t>
                      </m:r>
                    </m:e>
                    <m:sub>
                      <m:r>
                        <m:rPr/>
                        <m:t>c</m:t>
                      </m:r>
                    </m:sub>
                  </m:sSub>
                  <m:r>
                    <m:rPr>
                      <m:sty m:val="p"/>
                    </m:rPr>
                    <m:t>≥</m:t>
                  </m:r>
                  <m:sSub>
                    <m:sSubPr/>
                    <m:e>
                      <m:r>
                        <m:rPr/>
                        <m:t>θ</m:t>
                      </m:r>
                    </m:e>
                    <m:sub>
                      <m:r>
                        <m:rPr/>
                        <m:t>c</m:t>
                      </m:r>
                    </m:sub>
                  </m:sSub>
                </m:e>
              </m:d>
              <m:r>
                <m:rPr/>
                <m:t> </m:t>
              </m:r>
              <m:r>
                <m:rPr>
                  <m:sty m:val="p"/>
                </m:rPr>
                <m:t>I</m:t>
              </m:r>
              <m:d>
                <m:dPr>
                  <m:begChr m:val="["/>
                  <m:sepChr m:val=""/>
                  <m:endChr m:val="]"/>
                </m:dPr>
                <m:e>
                  <m:r>
                    <m:rPr/>
                    <m:t>Δ</m:t>
                  </m:r>
                  <m:d>
                    <m:dPr>
                      <m:sepChr m:val=""/>
                    </m:dPr>
                    <m:e>
                      <m:r>
                        <m:rPr/>
                        <m:t>x</m:t>
                      </m:r>
                    </m:e>
                  </m:d>
                  <m:r>
                    <m:rPr>
                      <m:sty m:val="p"/>
                    </m:rPr>
                    <m:t>≥</m:t>
                  </m:r>
                  <m:sSub>
                    <m:sSubPr/>
                    <m:e>
                      <m:r>
                        <m:rPr/>
                        <m:t>δ</m:t>
                      </m:r>
                    </m:e>
                    <m:sub>
                      <m:r>
                        <m:rPr/>
                        <m:t>c</m:t>
                      </m:r>
                    </m:sub>
                  </m:sSub>
                </m:e>
              </m:d>
              <m:r>
                <m:rPr/>
                <m:t> C</m:t>
              </m:r>
              <m:d>
                <m:dPr>
                  <m:sepChr m:val=""/>
                </m:dPr>
                <m:e>
                  <m:r>
                    <m:rPr/>
                    <m:t>x</m:t>
                  </m:r>
                </m:e>
              </m:d>
              <m:d>
                <m:dPr>
                  <m:begChr m:val="["/>
                  <m:sepChr m:val=""/>
                  <m:endChr m:val="]"/>
                </m:dPr>
                <m:e>
                  <m:r>
                    <m:rPr/>
                    <m:t>1</m:t>
                  </m:r>
                  <m:r>
                    <m:rPr>
                      <m:sty m:val="p"/>
                    </m:rPr>
                    <m:t>−</m:t>
                  </m:r>
                  <m:r>
                    <m:rPr/>
                    <m:t>H</m:t>
                  </m:r>
                  <m:d>
                    <m:dPr>
                      <m:sepChr m:val=""/>
                    </m:dPr>
                    <m:e>
                      <m:r>
                        <m:rPr/>
                        <m:t>x</m:t>
                      </m:r>
                    </m:e>
                  </m:d>
                </m:e>
              </m:d>
              <m:r>
                <m:rPr>
                  <m:sty m:val="p"/>
                </m:rPr>
                <w:rPr>
                  <w:rFonts w:ascii="Cambria Math" w:hAnsi="Cambria Math"/>
                </w:rPr>
                <m:t>#</m:t>
              </m:r>
              <m:r>
                <m:rPr>
                  <m:sty m:val="p"/>
                </m:rPr>
                <w:rPr>
                  <w:rFonts w:hint="default" w:ascii="Cambria Math" w:hAnsi="Cambria Math"/>
                  <w:lang w:val="en-US" w:eastAsia="zh-CN"/>
                </w:rPr>
                <m:t>(5)</m:t>
              </m:r>
              <m:ctrlPr>
                <w:rPr>
                  <w:i/>
                </w:rPr>
              </m:ctrlPr>
            </m:e>
          </m:eqArr>
        </m:oMath>
      </m:oMathPara>
    </w:p>
    <w:p w14:paraId="7CB4C87B">
      <w:pPr>
        <w:wordWrap/>
        <w:bidi w:val="0"/>
        <w:rPr>
          <w:rFonts w:hint="eastAsia" w:eastAsia="宋体"/>
          <w:lang w:eastAsia="zh-CN"/>
        </w:rPr>
      </w:pPr>
    </w:p>
    <w:p w14:paraId="12B9B858">
      <w:pPr>
        <w:widowControl/>
        <w:wordWrap/>
        <w:bidi w:val="0"/>
        <w:rPr>
          <w:rFonts w:hint="eastAsia"/>
        </w:rPr>
      </w:pPr>
      <w:r>
        <w:t>只有类别可靠性和概率间隔同时达到阈值、至少获得一个独立证据信号支持且不存在强反证时，g(x)=1，候选才具备自动接受资格。g(x)=0时，系统进一步判断其上下文完整性、来源可定位性和冲突可解释性；信息充分度达到阈值 η 的候选进入大语言模型升级裁决，其余候选显式弃权。升级裁决返回接受时重新进入结构准入，仍不确定或证据不足时转入未决集合。该机制将“是否必须给出标签”转化为“是否具备自动处理资格”，通过适度降低覆盖率控制低可靠候选的错误暴露。</w:t>
      </w:r>
    </w:p>
    <w:p w14:paraId="2E13F05F">
      <w:pPr>
        <w:pStyle w:val="4"/>
        <w:keepNext/>
        <w:keepLines/>
        <w:widowControl/>
        <w:wordWrap/>
        <w:bidi w:val="0"/>
        <w:rPr>
          <w:rFonts w:hint="eastAsia"/>
        </w:rPr>
      </w:pPr>
      <w:r>
        <w:rPr>
          <w:rFonts w:hint="eastAsia"/>
          <w:b/>
        </w:rPr>
        <w:t>3.3 实体规范化与结构准入</w:t>
      </w:r>
    </w:p>
    <w:p w14:paraId="41779812">
      <w:pPr>
        <w:widowControl/>
        <w:wordWrap/>
        <w:bidi w:val="0"/>
        <w:rPr>
          <w:rFonts w:hint="eastAsia"/>
        </w:rPr>
      </w:pPr>
      <w:r>
        <w:t>通过选择性预测获得语义接受状态后，知识仍可能因实体身份不稳定、端点类型不兼容、关系方向错误或时空归属不合法而失去严格发布资格。第二级控制以实体规范投影为起点，将关系契约、时空角色—归属约束和来源校验作用于同一规范端点。跨文献融合首先区分异名同实体与同名异实体；人物字名、别名、化名，组织简称、旧称和改组名称，以及历史地名与现代行政名称均可能形成多个来源实体。可扩展记录链接通常先以候选阻断缩小匹配空间，再结合多维证据完成合并[42]。本文依据类型、词法和地域信息阻断候选，再以关系上下文实施保守聚类；证据不足时保持自映射，不以提高合并率为目标。</w:t>
      </w:r>
    </w:p>
    <w:p w14:paraId="2C9EE35F">
      <w:pPr>
        <w:wordWrap/>
        <w:bidi w:val="0"/>
        <w:rPr>
          <w:rFonts w:hint="eastAsia"/>
        </w:rPr>
      </w:pPr>
    </w:p>
    <w:p w14:paraId="13C3866B">
      <w:pPr>
        <w:widowControl/>
        <w:wordWrap/>
        <w:bidi w:val="0"/>
        <w:rPr>
          <w:rFonts w:hint="eastAsia"/>
        </w:rPr>
      </w:pPr>
      <w:r>
        <w:t>设来源实体集合为 E0，规范实体集合为 E，规范投影 q 把来源实体及其代表元统一映射到规范实体空间，并要求代表元自映射、重复投影不再改变结果，其定义和幂等性约束如式（6）所示：</w:t>
      </w:r>
    </w:p>
    <w:p w14:paraId="08FF9E6D">
      <w:pPr>
        <w:wordWrap/>
        <w:bidi w:val="0"/>
        <w:rPr>
          <w:rFonts w:hint="eastAsia"/>
        </w:rPr>
      </w:pPr>
      <m:oMathPara>
        <m:oMathParaPr>
          <m:jc m:val="center"/>
        </m:oMathParaPr>
        <m:oMath>
          <m:eqArr>
            <m:eqArrPr>
              <m:maxDist m:val="1"/>
              <m:ctrlPr>
                <w:rPr>
                  <w:i w:val="0"/>
                </w:rPr>
              </m:ctrlPr>
            </m:eqArrPr>
            <m:e>
              <m:r>
                <m:rPr/>
                <m:t>q</m:t>
              </m:r>
              <m:r>
                <m:rPr>
                  <m:sty m:val="p"/>
                </m:rPr>
                <m:t>:</m:t>
              </m:r>
              <m:sSub>
                <m:sSubPr/>
                <m:e>
                  <m:r>
                    <m:rPr/>
                    <m:t>E</m:t>
                  </m:r>
                </m:e>
                <m:sub>
                  <m:r>
                    <m:rPr/>
                    <m:t>0</m:t>
                  </m:r>
                </m:sub>
              </m:sSub>
              <m:r>
                <m:rPr>
                  <m:sty m:val="p"/>
                </m:rPr>
                <m:t>∪</m:t>
              </m:r>
              <m:r>
                <m:rPr/>
                <m:t>E</m:t>
              </m:r>
              <m:r>
                <m:rPr>
                  <m:sty m:val="p"/>
                </m:rPr>
                <m:t>→</m:t>
              </m:r>
              <m:r>
                <m:rPr/>
                <m:t>E</m:t>
              </m:r>
              <m:r>
                <m:rPr>
                  <m:sty m:val="p"/>
                </m:rPr>
                <m:t>,</m:t>
              </m:r>
              <m:r>
                <m:rPr/>
                <m:t>  q</m:t>
              </m:r>
              <m:d>
                <m:dPr>
                  <m:sepChr m:val=""/>
                </m:dPr>
                <m:e>
                  <m:r>
                    <m:rPr/>
                    <m:t>q</m:t>
                  </m:r>
                  <m:d>
                    <m:dPr>
                      <m:sepChr m:val=""/>
                    </m:dPr>
                    <m:e>
                      <m:r>
                        <m:rPr/>
                        <m:t>e</m:t>
                      </m:r>
                    </m:e>
                  </m:d>
                </m:e>
              </m:d>
              <m:r>
                <m:rPr>
                  <m:sty m:val="p"/>
                </m:rPr>
                <m:t>=</m:t>
              </m:r>
              <m:r>
                <m:rPr/>
                <m:t>q</m:t>
              </m:r>
              <m:d>
                <m:dPr>
                  <m:sepChr m:val=""/>
                </m:dPr>
                <m:e>
                  <m:r>
                    <m:rPr/>
                    <m:t>e</m:t>
                  </m:r>
                </m:e>
              </m:d>
              <m:r>
                <m:rPr>
                  <m:sty m:val="p"/>
                </m:rPr>
                <m:t>,</m:t>
              </m:r>
              <m:r>
                <m:rPr/>
                <m:t>  E</m:t>
              </m:r>
              <m:r>
                <m:rPr>
                  <m:sty m:val="p"/>
                </m:rPr>
                <m:t>=</m:t>
              </m:r>
              <m:r>
                <m:rPr/>
                <m:t>q</m:t>
              </m:r>
              <m:d>
                <m:dPr>
                  <m:sepChr m:val=""/>
                </m:dPr>
                <m:e>
                  <m:sSub>
                    <m:sSubPr/>
                    <m:e>
                      <m:r>
                        <m:rPr/>
                        <m:t>E</m:t>
                      </m:r>
                    </m:e>
                    <m:sub>
                      <m:r>
                        <m:rPr/>
                        <m:t>0</m:t>
                      </m:r>
                    </m:sub>
                  </m:sSub>
                </m:e>
              </m:d>
              <m:r>
                <m:rPr>
                  <m:sty m:val="p"/>
                </m:rPr>
                <w:rPr>
                  <w:rFonts w:ascii="Cambria Math" w:hAnsi="Cambria Math"/>
                </w:rPr>
                <m:t>#</m:t>
              </m:r>
              <m:r>
                <m:rPr>
                  <m:sty m:val="p"/>
                </m:rPr>
                <w:rPr>
                  <w:rFonts w:hint="default" w:ascii="Cambria Math" w:hAnsi="Cambria Math"/>
                  <w:lang w:val="en-US" w:eastAsia="zh-CN"/>
                </w:rPr>
                <m:t>(6)</m:t>
              </m:r>
              <m:ctrlPr>
                <w:rPr>
                  <w:i w:val="0"/>
                </w:rPr>
              </m:ctrlPr>
            </m:e>
          </m:eqArr>
        </m:oMath>
      </m:oMathPara>
    </w:p>
    <w:p w14:paraId="1B52CEFA">
      <w:pPr>
        <w:widowControl/>
        <w:wordWrap/>
        <w:bidi w:val="0"/>
        <w:rPr>
          <w:rFonts w:hint="eastAsia"/>
        </w:rPr>
      </w:pPr>
      <w:r>
        <w:rPr>
          <w:rFonts w:hint="eastAsia"/>
        </w:rPr>
        <w:t>式（6）的幂等性用于描述规范投影的闭包稳定性。实体映射完成后，知识陈述中的主体、客体以及时空归属对象同步替换为规范实体，所有依赖端点类型的结构检查随之重新执行。来源实体、规范实体及其身份决议依据同步保留，使每项实体合并决议均可沿证据链复核。</w:t>
      </w:r>
    </w:p>
    <w:p w14:paraId="714A4A1B">
      <w:pPr>
        <w:widowControl/>
        <w:wordWrap/>
        <w:bidi w:val="0"/>
        <w:rPr>
          <w:rFonts w:hint="eastAsia"/>
        </w:rPr>
      </w:pPr>
      <w:r>
        <w:t>对每个受控谓词 p，关系契约记为 C_p=(D_p,R_p)，其中 D_p 和 R_p 分别为允许的主体类型集合和客体类型集合。考虑本体层级继承后，将与 D_p、R_p 兼容的类型闭包分别记为 𝒟_p 和 ℛ_p，并简记 t_e=type(e)。对于知识陈述 a=(s,p,o,·)，契约合法性如式（7）所示：</w:t>
      </w:r>
    </w:p>
    <w:p w14:paraId="2A265DCC">
      <w:pPr>
        <w:wordWrap/>
        <w:bidi w:val="0"/>
        <w:rPr>
          <w:rFonts w:hint="eastAsia"/>
        </w:rPr>
      </w:pPr>
      <m:oMathPara>
        <m:oMathParaPr>
          <m:jc m:val="center"/>
        </m:oMathParaPr>
        <m:oMath>
          <m:eqArr>
            <m:eqArrPr>
              <m:maxDist m:val="1"/>
              <m:ctrlPr>
                <w:rPr>
                  <w:b w:val="0"/>
                  <w:i w:val="0"/>
                </w:rPr>
              </m:ctrlPr>
            </m:eqArrPr>
            <m:e>
              <m:sSub>
                <m:sSubPr/>
                <m:e>
                  <m:r>
                    <m:rPr/>
                    <m:t>I</m:t>
                  </m:r>
                </m:e>
                <m:sub>
                  <m:r>
                    <m:rPr>
                      <m:sty m:val="p"/>
                    </m:rPr>
                    <m:t>con</m:t>
                  </m:r>
                </m:sub>
              </m:sSub>
              <m:d>
                <m:dPr>
                  <m:sepChr m:val=""/>
                </m:dPr>
                <m:e>
                  <m:r>
                    <m:rPr/>
                    <m:t>a</m:t>
                  </m:r>
                </m:e>
              </m:d>
              <m:r>
                <m:rPr>
                  <m:sty m:val="p"/>
                </m:rPr>
                <m:t>=I</m:t>
              </m:r>
              <m:d>
                <m:dPr>
                  <m:begChr m:val="["/>
                  <m:sepChr m:val=""/>
                  <m:endChr m:val="]"/>
                </m:dPr>
                <m:e>
                  <m:sSub>
                    <m:sSubPr/>
                    <m:e>
                      <m:r>
                        <m:rPr/>
                        <m:t>t</m:t>
                      </m:r>
                    </m:e>
                    <m:sub>
                      <m:r>
                        <m:rPr/>
                        <m:t>q</m:t>
                      </m:r>
                      <m:d>
                        <m:dPr>
                          <m:sepChr m:val=""/>
                        </m:dPr>
                        <m:e>
                          <m:r>
                            <m:rPr/>
                            <m:t>s</m:t>
                          </m:r>
                        </m:e>
                      </m:d>
                    </m:sub>
                  </m:sSub>
                  <m:r>
                    <m:rPr>
                      <m:sty m:val="p"/>
                    </m:rPr>
                    <m:t>∈</m:t>
                  </m:r>
                  <m:sSub>
                    <m:sSubPr/>
                    <m:e>
                      <m:r>
                        <m:rPr>
                          <m:sty m:val="p"/>
                          <m:scr m:val="script"/>
                        </m:rPr>
                        <m:t>D</m:t>
                      </m:r>
                    </m:e>
                    <m:sub>
                      <m:r>
                        <m:rPr/>
                        <m:t>p</m:t>
                      </m:r>
                    </m:sub>
                  </m:sSub>
                </m:e>
              </m:d>
              <m:r>
                <m:rPr/>
                <m:t> </m:t>
              </m:r>
              <m:r>
                <m:rPr>
                  <m:sty m:val="p"/>
                </m:rPr>
                <m:t>I</m:t>
              </m:r>
              <m:d>
                <m:dPr>
                  <m:begChr m:val="["/>
                  <m:sepChr m:val=""/>
                  <m:endChr m:val="]"/>
                </m:dPr>
                <m:e>
                  <m:sSub>
                    <m:sSubPr/>
                    <m:e>
                      <m:r>
                        <m:rPr/>
                        <m:t>t</m:t>
                      </m:r>
                    </m:e>
                    <m:sub>
                      <m:r>
                        <m:rPr/>
                        <m:t>q</m:t>
                      </m:r>
                      <m:d>
                        <m:dPr>
                          <m:sepChr m:val=""/>
                        </m:dPr>
                        <m:e>
                          <m:r>
                            <m:rPr/>
                            <m:t>o</m:t>
                          </m:r>
                        </m:e>
                      </m:d>
                    </m:sub>
                  </m:sSub>
                  <m:r>
                    <m:rPr>
                      <m:sty m:val="p"/>
                    </m:rPr>
                    <m:t>∈</m:t>
                  </m:r>
                  <m:sSub>
                    <m:sSubPr/>
                    <m:e>
                      <m:r>
                        <m:rPr>
                          <m:sty m:val="p"/>
                          <m:scr m:val="script"/>
                        </m:rPr>
                        <m:t>ℛ</m:t>
                      </m:r>
                    </m:e>
                    <m:sub>
                      <m:r>
                        <m:rPr/>
                        <m:t>p</m:t>
                      </m:r>
                    </m:sub>
                  </m:sSub>
                </m:e>
              </m:d>
              <m:r>
                <m:rPr>
                  <m:sty m:val="p"/>
                </m:rPr>
                <w:rPr>
                  <w:rFonts w:ascii="Cambria Math" w:hAnsi="Cambria Math"/>
                </w:rPr>
                <m:t>#</m:t>
              </m:r>
              <m:r>
                <m:rPr>
                  <m:sty m:val="p"/>
                </m:rPr>
                <w:rPr>
                  <w:rFonts w:hint="default" w:ascii="Cambria Math" w:hAnsi="Cambria Math"/>
                  <w:lang w:val="en-US" w:eastAsia="zh-CN"/>
                </w:rPr>
                <m:t>(7)</m:t>
              </m:r>
              <m:ctrlPr>
                <w:rPr>
                  <w:b w:val="0"/>
                  <w:i w:val="0"/>
                </w:rPr>
              </m:ctrlPr>
            </m:e>
          </m:eqArr>
        </m:oMath>
      </m:oMathPara>
    </w:p>
    <w:p w14:paraId="414E5B48">
      <w:pPr>
        <w:wordWrap/>
        <w:bidi w:val="0"/>
        <w:rPr>
          <w:rFonts w:hint="eastAsia" w:eastAsia="宋体"/>
          <w:lang w:eastAsia="zh-CN"/>
        </w:rPr>
      </w:pPr>
    </w:p>
    <w:p w14:paraId="362C5F52">
      <w:pPr>
        <w:widowControl/>
        <w:wordWrap/>
        <w:bidi w:val="0"/>
        <w:rPr>
          <w:rFonts w:hint="eastAsia"/>
        </w:rPr>
      </w:pPr>
      <w:r>
        <w:rPr>
          <w:rFonts w:hint="eastAsia"/>
        </w:rPr>
        <w:t>式（7）同时约束主体类型、客体类型和关系方向。规范投影后，只要主体或客体类型与谓词的定义域—值域（domain-range）约束不兼容，知识即不能进入依赖该关系的严格计算。少量经领域知识确认的兼容类型直接纳入类型闭包，而不是以临时程序分支绕过模式约束。未通过关系契约的知识仍保留原始来源与规范映射，并降至上下文层。</w:t>
      </w:r>
    </w:p>
    <w:p w14:paraId="50B82CC8">
      <w:pPr>
        <w:widowControl/>
        <w:wordWrap/>
        <w:bidi w:val="0"/>
        <w:rPr>
          <w:rFonts w:hint="eastAsia"/>
        </w:rPr>
      </w:pPr>
      <w:r>
        <w:t>历史文献中的时间和地点具有多重语义作用。同一日期可能描述事件发生、人物生平、关系有效期、作品形成或来源文献年代；同一地点也可能分别对应事件发生地、人物活动地、组织所在地、作品形成地或一般叙述背景。多时空条件约束研究表明，时间、空间与实体类型之间需要保持明确的结构一致性[43]。准确表达这类时空语义需要同时保存取值、语义角色及其修饰对象。本文据此将时间与空间信息统一表示为“取值—语义角色—归属对象”，形式化表示如式（8）所示：</w:t>
      </w:r>
    </w:p>
    <w:p w14:paraId="35E114BC">
      <w:pPr>
        <w:wordWrap/>
        <w:bidi w:val="0"/>
        <w:rPr>
          <w:rFonts w:hint="eastAsia"/>
        </w:rPr>
      </w:pPr>
      <m:oMathPara>
        <m:oMathParaPr>
          <m:jc m:val="center"/>
        </m:oMathParaPr>
        <m:oMath>
          <m:eqArr>
            <m:eqArrPr>
              <m:maxDist m:val="1"/>
              <m:ctrlPr>
                <w:rPr>
                  <w:b w:val="0"/>
                  <w:i w:val="0"/>
                </w:rPr>
              </m:ctrlPr>
            </m:eqArrPr>
            <m:e>
              <m:r>
                <m:rPr/>
                <m:t>τ</m:t>
              </m:r>
              <m:r>
                <m:rPr>
                  <m:sty m:val="p"/>
                </m:rPr>
                <m:t>=</m:t>
              </m:r>
              <m:d>
                <m:dPr>
                  <m:sepChr m:val=""/>
                </m:dPr>
                <m:e>
                  <m:sSub>
                    <m:sSubPr/>
                    <m:e>
                      <m:r>
                        <m:rPr/>
                        <m:t>v</m:t>
                      </m:r>
                    </m:e>
                    <m:sub>
                      <m:r>
                        <m:rPr/>
                        <m:t>τ</m:t>
                      </m:r>
                    </m:sub>
                  </m:sSub>
                  <m:r>
                    <m:rPr>
                      <m:sty m:val="p"/>
                    </m:rPr>
                    <m:t>,</m:t>
                  </m:r>
                  <m:sSub>
                    <m:sSubPr/>
                    <m:e>
                      <m:r>
                        <m:rPr/>
                        <m:t>r</m:t>
                      </m:r>
                    </m:e>
                    <m:sub>
                      <m:r>
                        <m:rPr/>
                        <m:t>τ</m:t>
                      </m:r>
                    </m:sub>
                  </m:sSub>
                  <m:r>
                    <m:rPr>
                      <m:sty m:val="p"/>
                    </m:rPr>
                    <m:t>,</m:t>
                  </m:r>
                  <m:sSub>
                    <m:sSubPr/>
                    <m:e>
                      <m:r>
                        <m:rPr/>
                        <m:t>o</m:t>
                      </m:r>
                    </m:e>
                    <m:sub>
                      <m:r>
                        <m:rPr/>
                        <m:t>τ</m:t>
                      </m:r>
                    </m:sub>
                  </m:sSub>
                </m:e>
              </m:d>
              <m:r>
                <m:rPr>
                  <m:sty m:val="p"/>
                </m:rPr>
                <m:t>,</m:t>
              </m:r>
              <m:r>
                <m:rPr/>
                <m:t>  λ</m:t>
              </m:r>
              <m:r>
                <m:rPr>
                  <m:sty m:val="p"/>
                </m:rPr>
                <m:t>=</m:t>
              </m:r>
              <m:d>
                <m:dPr>
                  <m:sepChr m:val=""/>
                </m:dPr>
                <m:e>
                  <m:sSub>
                    <m:sSubPr/>
                    <m:e>
                      <m:r>
                        <m:rPr/>
                        <m:t>v</m:t>
                      </m:r>
                    </m:e>
                    <m:sub>
                      <m:r>
                        <m:rPr/>
                        <m:t>λ</m:t>
                      </m:r>
                    </m:sub>
                  </m:sSub>
                  <m:r>
                    <m:rPr>
                      <m:sty m:val="p"/>
                    </m:rPr>
                    <m:t>,</m:t>
                  </m:r>
                  <m:sSub>
                    <m:sSubPr/>
                    <m:e>
                      <m:r>
                        <m:rPr/>
                        <m:t>r</m:t>
                      </m:r>
                    </m:e>
                    <m:sub>
                      <m:r>
                        <m:rPr/>
                        <m:t>λ</m:t>
                      </m:r>
                    </m:sub>
                  </m:sSub>
                  <m:r>
                    <m:rPr>
                      <m:sty m:val="p"/>
                    </m:rPr>
                    <m:t>,</m:t>
                  </m:r>
                  <m:sSub>
                    <m:sSubPr/>
                    <m:e>
                      <m:r>
                        <m:rPr/>
                        <m:t>o</m:t>
                      </m:r>
                    </m:e>
                    <m:sub>
                      <m:r>
                        <m:rPr/>
                        <m:t>λ</m:t>
                      </m:r>
                    </m:sub>
                  </m:sSub>
                </m:e>
              </m:d>
              <m:r>
                <m:rPr>
                  <m:sty m:val="p"/>
                </m:rPr>
                <w:rPr>
                  <w:rFonts w:ascii="Cambria Math" w:hAnsi="Cambria Math"/>
                </w:rPr>
                <m:t>#</m:t>
              </m:r>
              <m:r>
                <m:rPr>
                  <m:sty m:val="p"/>
                </m:rPr>
                <w:rPr>
                  <w:rFonts w:hint="default" w:ascii="Cambria Math" w:hAnsi="Cambria Math"/>
                  <w:lang w:val="en-US" w:eastAsia="zh-CN"/>
                </w:rPr>
                <m:t>(8)</m:t>
              </m:r>
              <m:ctrlPr>
                <w:rPr>
                  <w:b w:val="0"/>
                  <w:i w:val="0"/>
                </w:rPr>
              </m:ctrlPr>
            </m:e>
          </m:eqArr>
        </m:oMath>
      </m:oMathPara>
    </w:p>
    <w:p w14:paraId="511E386A">
      <w:pPr>
        <w:widowControl/>
        <w:wordWrap/>
        <w:bidi w:val="0"/>
        <w:rPr>
          <w:rFonts w:hint="eastAsia"/>
        </w:rPr>
      </w:pPr>
      <w:r>
        <w:t>对事件发生、人物生平、作品形成等具有明确语义指向的强角色，归属对象必须存在且类型合法。记 Ω_r 为角色 r 允许的归属对象类型集合，Z_strong 为需要强归属校验的时空单元集合，则强角色约束如式（9）所示：</w:t>
      </w:r>
    </w:p>
    <w:p w14:paraId="1EFF25EE">
      <w:pPr>
        <w:wordWrap/>
        <w:bidi w:val="0"/>
        <w:rPr>
          <w:rFonts w:hint="eastAsia"/>
        </w:rPr>
      </w:pPr>
      <m:oMathPara>
        <m:oMathParaPr>
          <m:jc m:val="center"/>
        </m:oMathParaPr>
        <m:oMath>
          <m:eqArr>
            <m:eqArrPr>
              <m:maxDist m:val="1"/>
              <m:ctrlPr>
                <w:rPr>
                  <w:i w:val="0"/>
                </w:rPr>
              </m:ctrlPr>
            </m:eqArrPr>
            <m:e>
              <m:sSub>
                <m:sSubPr/>
                <m:e>
                  <m:r>
                    <m:rPr/>
                    <m:t>I</m:t>
                  </m:r>
                </m:e>
                <m:sub>
                  <m:r>
                    <m:rPr>
                      <m:sty m:val="p"/>
                    </m:rPr>
                    <m:t>st</m:t>
                  </m:r>
                </m:sub>
              </m:sSub>
              <m:d>
                <m:dPr>
                  <m:sepChr m:val=""/>
                </m:dPr>
                <m:e>
                  <m:r>
                    <m:rPr/>
                    <m:t>z</m:t>
                  </m:r>
                </m:e>
              </m:d>
              <m:r>
                <m:rPr>
                  <m:sty m:val="p"/>
                </m:rPr>
                <m:t>=I</m:t>
              </m:r>
              <m:d>
                <m:dPr>
                  <m:begChr m:val="["/>
                  <m:sepChr m:val=""/>
                  <m:endChr m:val="]"/>
                </m:dPr>
                <m:e>
                  <m:sSub>
                    <m:sSubPr/>
                    <m:e>
                      <m:r>
                        <m:rPr/>
                        <m:t>o</m:t>
                      </m:r>
                    </m:e>
                    <m:sub>
                      <m:r>
                        <m:rPr/>
                        <m:t>z</m:t>
                      </m:r>
                    </m:sub>
                  </m:sSub>
                  <m:r>
                    <m:rPr>
                      <m:sty m:val="p"/>
                    </m:rPr>
                    <m:t>≠⌀</m:t>
                  </m:r>
                </m:e>
              </m:d>
              <m:r>
                <m:rPr/>
                <m:t> </m:t>
              </m:r>
              <m:r>
                <m:rPr>
                  <m:sty m:val="p"/>
                </m:rPr>
                <m:t>I</m:t>
              </m:r>
              <m:d>
                <m:dPr>
                  <m:begChr m:val="["/>
                  <m:sepChr m:val=""/>
                  <m:endChr m:val="]"/>
                </m:dPr>
                <m:e>
                  <m:sSub>
                    <m:sSubPr/>
                    <m:e>
                      <m:r>
                        <m:rPr/>
                        <m:t>t</m:t>
                      </m:r>
                    </m:e>
                    <m:sub>
                      <m:r>
                        <m:rPr/>
                        <m:t>q</m:t>
                      </m:r>
                      <m:d>
                        <m:dPr>
                          <m:sepChr m:val=""/>
                        </m:dPr>
                        <m:e>
                          <m:sSub>
                            <m:sSubPr/>
                            <m:e>
                              <m:r>
                                <m:rPr/>
                                <m:t>o</m:t>
                              </m:r>
                            </m:e>
                            <m:sub>
                              <m:r>
                                <m:rPr/>
                                <m:t>z</m:t>
                              </m:r>
                            </m:sub>
                          </m:sSub>
                        </m:e>
                      </m:d>
                    </m:sub>
                  </m:sSub>
                  <m:r>
                    <m:rPr>
                      <m:sty m:val="p"/>
                    </m:rPr>
                    <m:t>∈</m:t>
                  </m:r>
                  <m:sSub>
                    <m:sSubPr/>
                    <m:e>
                      <m:r>
                        <m:rPr/>
                        <m:t>Ω</m:t>
                      </m:r>
                    </m:e>
                    <m:sub>
                      <m:sSub>
                        <m:sSubPr/>
                        <m:e>
                          <m:r>
                            <m:rPr/>
                            <m:t>r</m:t>
                          </m:r>
                        </m:e>
                        <m:sub>
                          <m:r>
                            <m:rPr/>
                            <m:t>z</m:t>
                          </m:r>
                        </m:sub>
                      </m:sSub>
                    </m:sub>
                  </m:sSub>
                </m:e>
              </m:d>
              <m:r>
                <m:rPr>
                  <m:sty m:val="p"/>
                </m:rPr>
                <m:t>,</m:t>
              </m:r>
              <m:r>
                <m:rPr/>
                <m:t>  z</m:t>
              </m:r>
              <m:r>
                <m:rPr>
                  <m:sty m:val="p"/>
                </m:rPr>
                <m:t>∈</m:t>
              </m:r>
              <m:sSub>
                <m:sSubPr/>
                <m:e>
                  <m:r>
                    <m:rPr/>
                    <m:t>Z</m:t>
                  </m:r>
                </m:e>
                <m:sub>
                  <m:r>
                    <m:rPr>
                      <m:sty m:val="p"/>
                    </m:rPr>
                    <m:t>strong</m:t>
                  </m:r>
                </m:sub>
              </m:sSub>
              <m:r>
                <m:rPr>
                  <m:sty m:val="p"/>
                </m:rPr>
                <w:rPr>
                  <w:rFonts w:ascii="Cambria Math" w:hAnsi="Cambria Math"/>
                </w:rPr>
                <m:t>#</m:t>
              </m:r>
              <m:r>
                <m:rPr>
                  <m:sty m:val="p"/>
                </m:rPr>
                <w:rPr>
                  <w:rFonts w:hint="default" w:ascii="Cambria Math" w:hAnsi="Cambria Math"/>
                  <w:lang w:val="en-US" w:eastAsia="zh-CN"/>
                </w:rPr>
                <m:t>(9)</m:t>
              </m:r>
              <m:ctrlPr>
                <w:rPr>
                  <w:i w:val="0"/>
                </w:rPr>
              </m:ctrlPr>
            </m:e>
          </m:eqArr>
        </m:oMath>
      </m:oMathPara>
    </w:p>
    <w:p w14:paraId="6533C755">
      <w:pPr>
        <w:wordWrap/>
        <w:bidi w:val="0"/>
        <w:rPr>
          <w:rFonts w:hint="eastAsia" w:eastAsia="宋体"/>
          <w:lang w:eastAsia="zh-CN"/>
        </w:rPr>
      </w:pPr>
    </w:p>
    <w:p w14:paraId="27FDB6F5">
      <w:pPr>
        <w:widowControl/>
        <w:wordWrap/>
        <w:bidi w:val="0"/>
        <w:rPr>
          <w:rFonts w:hint="eastAsia"/>
        </w:rPr>
      </w:pPr>
      <w:r>
        <w:rPr>
          <w:rFonts w:hint="eastAsia"/>
        </w:rPr>
        <w:t>事件发生时间和发生地点的归属对象应为事件，人物生平时间应归属于人物，作品形成或出版时间可归属于作品、文献或实物，来源文献时间应归属于文献。身份投影完成后，归属对象同步替换为规范实体并重新校验；归属对象有待确认的时空信息继续保留原始文本、候选角色和来源位置，并进入上下文层等待复核。来源校验进一步要求知识至少具有一条能够定位到原始文献、页码或文本片段的来源记录，使发布结果能够返回原文，并为证据核查和解释复现提供入口。结构准入最终按照“实体身份投影—时空归属重校验—关系契约校验—来源校验”的顺序执行，并同步检查受控谓词和端点类型。</w:t>
      </w:r>
    </w:p>
    <w:p w14:paraId="6671F38C">
      <w:pPr>
        <w:pStyle w:val="4"/>
        <w:keepNext/>
        <w:keepLines/>
        <w:widowControl/>
        <w:wordWrap/>
        <w:bidi w:val="0"/>
        <w:rPr>
          <w:rFonts w:hint="eastAsia"/>
        </w:rPr>
      </w:pPr>
      <w:r>
        <w:rPr>
          <w:rFonts w:hint="eastAsia"/>
          <w:b/>
        </w:rPr>
        <w:t>3.4 分层发布与审计记录</w:t>
      </w:r>
    </w:p>
    <w:p w14:paraId="32C62541">
      <w:pPr>
        <w:widowControl/>
        <w:wordWrap/>
        <w:bidi w:val="0"/>
        <w:rPr>
          <w:rFonts w:hint="eastAsia"/>
        </w:rPr>
      </w:pPr>
      <w:r>
        <w:t>深度学习驱动的知识图谱构建仍需把模型抽取结果经过规范化、关系组织和质量控制后转化为可用图结构[44]。两级控制的输出不是简单的“通过或删除”，而是依据语义状态和结构完整度分层发布：语义接受且六项结构条件全部满足的知识进入严格语义层；语义接受、具有来源和语境价值，但受控谓词、端点类型、关系契约或时空归属尚未完整的记录进入上下文层；选择性预测弃权、升级后仍冲突或证据不足的候选进入未决集合。三类状态都保留来源、证据通道和决策记录，使规则、映射或文献更新后可以定位受影响知识。</w:t>
      </w:r>
    </w:p>
    <w:p w14:paraId="718DF541">
      <w:pPr>
        <w:wordWrap/>
        <w:bidi w:val="0"/>
        <w:rPr>
          <w:rFonts w:hint="eastAsia"/>
        </w:rPr>
      </w:pPr>
    </w:p>
    <w:p w14:paraId="48E57478">
      <w:pPr>
        <w:widowControl/>
        <w:wordWrap/>
        <w:bidi w:val="0"/>
        <w:rPr>
          <w:rFonts w:hint="eastAsia"/>
        </w:rPr>
      </w:pPr>
      <w:r>
        <w:rPr>
          <w:rFonts w:hint="eastAsia"/>
        </w:rPr>
        <w:t xml:space="preserve">严格语义层承担事件级和文化状态级知识派生。事件框架（EventFrame）以事件为中心聚合参与角色、发生时间、发生地点及来源证据；文化状态（CultureState）聚合文化主体、形态、阶段、区域及支持事件。为避免结构不完整或语义未决信息在派生过程中被放大，派生算子 </w:t>
      </w:r>
      <m:oMath>
        <m:r>
          <m:rPr>
            <m:nor/>
            <m:sty m:val="p"/>
          </m:rPr>
          <w:rPr>
            <w:rFonts w:hint="default" w:ascii="Times New Roman" w:hAnsi="Times New Roman" w:cs="Times New Roman"/>
            <w:b w:val="0"/>
            <w:i w:val="0"/>
            <w:sz w:val="21"/>
          </w:rPr>
          <m:t>Ψ</m:t>
        </m:r>
      </m:oMath>
      <w:r>
        <w:rPr>
          <w:rFonts w:hint="eastAsia"/>
        </w:rPr>
        <w:t xml:space="preserve"> 只作用于严格语义层，形式化表示如式（10）所示：</w:t>
      </w:r>
    </w:p>
    <w:p w14:paraId="0AD3C876">
      <w:pPr>
        <w:wordWrap/>
        <w:bidi w:val="0"/>
        <w:rPr>
          <w:rFonts w:hint="eastAsia"/>
        </w:rPr>
      </w:pPr>
      <m:oMathPara>
        <m:oMathParaPr>
          <m:jc m:val="center"/>
        </m:oMathParaPr>
        <m:oMath>
          <m:eqArr>
            <m:eqArrPr>
              <m:maxDist m:val="1"/>
              <m:ctrlPr>
                <w:rPr>
                  <w:i/>
                </w:rPr>
              </m:ctrlPr>
            </m:eqArrPr>
            <m:e>
              <m:d>
                <m:dPr>
                  <m:sepChr m:val=""/>
                </m:dPr>
                <m:e>
                  <m:r>
                    <m:rPr/>
                    <m:t>F</m:t>
                  </m:r>
                  <m:r>
                    <m:rPr>
                      <m:sty m:val="p"/>
                    </m:rPr>
                    <m:t>,</m:t>
                  </m:r>
                  <m:r>
                    <m:rPr/>
                    <m:t>S</m:t>
                  </m:r>
                </m:e>
              </m:d>
              <m:r>
                <m:rPr>
                  <m:sty m:val="p"/>
                </m:rPr>
                <m:t>=</m:t>
              </m:r>
              <m:r>
                <m:rPr/>
                <m:t>Ψ</m:t>
              </m:r>
              <m:d>
                <m:dPr>
                  <m:sepChr m:val=""/>
                </m:dPr>
                <m:e>
                  <m:sSub>
                    <m:sSubPr/>
                    <m:e>
                      <m:r>
                        <m:rPr/>
                        <m:t>A</m:t>
                      </m:r>
                    </m:e>
                    <m:sub>
                      <m:r>
                        <m:rPr>
                          <m:sty m:val="p"/>
                        </m:rPr>
                        <m:t>strict</m:t>
                      </m:r>
                    </m:sub>
                  </m:sSub>
                </m:e>
              </m:d>
              <m:r>
                <m:rPr>
                  <m:sty m:val="p"/>
                </m:rPr>
                <w:rPr>
                  <w:rFonts w:ascii="Cambria Math" w:hAnsi="Cambria Math"/>
                </w:rPr>
                <m:t>#</m:t>
              </m:r>
              <m:r>
                <m:rPr>
                  <m:sty m:val="p"/>
                </m:rPr>
                <w:rPr>
                  <w:rFonts w:hint="default" w:ascii="Cambria Math" w:hAnsi="Cambria Math"/>
                  <w:lang w:val="en-US" w:eastAsia="zh-CN"/>
                </w:rPr>
                <m:t>(10)</m:t>
              </m:r>
              <m:ctrlPr>
                <w:rPr>
                  <w:i/>
                </w:rPr>
              </m:ctrlPr>
            </m:e>
          </m:eqArr>
        </m:oMath>
      </m:oMathPara>
    </w:p>
    <w:p w14:paraId="6EC4BEFA">
      <w:pPr>
        <w:widowControl/>
        <w:wordWrap/>
        <w:bidi w:val="0"/>
        <w:rPr>
          <w:rFonts w:hint="eastAsia"/>
        </w:rPr>
      </w:pPr>
      <w:r>
        <w:rPr>
          <w:rFonts w:hint="eastAsia"/>
        </w:rPr>
        <w:t>式（10）中，F和S分别表示事件框架集合与文化状态集合。上下文层和未决集合不参与二者生成。派生结果保留到严格语义知识及其来源记录的反向连接，使事件、时空单元和文化状态能够沿知识链返回原始文献。统一记录持续保存来源成员、规则证据、本地分类器输出、升级裁决结果、规范实体映射、关系契约、时空归属校验和最终发布状态，由此形成可审计、可追踪的知识构建链。</w:t>
      </w:r>
    </w:p>
    <w:p w14:paraId="1FB10384">
      <w:pPr>
        <w:widowControl/>
        <w:wordWrap/>
        <w:bidi w:val="0"/>
        <w:rPr>
          <w:rFonts w:hint="eastAsia"/>
        </w:rPr>
      </w:pPr>
      <w:r>
        <w:rPr>
          <w:rFonts w:hint="eastAsia"/>
        </w:rPr>
        <w:t>增量构建时，新文献先形成来源记录和候选知识，再按相同的选择性预测与结构准入机制进入既有图谱；实体映射、关系契约或时空归属变化时，只重新执行受影响的校验与发布判定。在配置、规则和输入版本均被保留时，这一路径支持确定性回放；涉及大语言模型的实时推理则仍需单独记录模型版本、输入和输出。</w:t>
      </w:r>
    </w:p>
    <w:bookmarkEnd w:id="0"/>
    <w:p w14:paraId="17DB49E5">
      <w:pPr>
        <w:pStyle w:val="2"/>
        <w:keepNext/>
        <w:keepLines/>
        <w:widowControl/>
        <w:wordWrap/>
        <w:bidi w:val="0"/>
      </w:pPr>
      <w:bookmarkStart w:id="1" w:name="实验设计与结果分析"/>
      <w:r>
        <w:t>4 实验设计与结果分析</w:t>
      </w:r>
    </w:p>
    <w:p w14:paraId="74972128">
      <w:pPr>
        <w:pStyle w:val="4"/>
        <w:keepNext/>
        <w:keepLines/>
        <w:widowControl/>
        <w:wordWrap/>
      </w:pPr>
      <w:bookmarkStart w:id="2" w:name="数据对象模型配置与评价协议"/>
      <w:r>
        <w:t>4.1 数据对象、模型配置与评价协议</w:t>
      </w:r>
    </w:p>
    <w:p w14:paraId="6F04A2E1">
      <w:pPr>
        <w:widowControl/>
        <w:wordWrap/>
        <w:bidi w:val="0"/>
        <w:rPr>
          <w:rFonts w:hint="eastAsia"/>
        </w:rPr>
      </w:pPr>
      <w:r>
        <w:rPr>
          <w:rFonts w:hint="eastAsia"/>
        </w:rPr>
        <w:t>实验语料覆盖上海、江苏、浙江、安徽、江西、湖北、湖南、重庆、四川、贵州、云南、西藏和青海13个省级行政区域，共983册中共党史文献。原始资料经OCR与页级来源绑定后形成302,230页文本、98,762条文档关键词元数据、282,165条自动抽取候选和67,791条本地证据记录；其中17,450条语义冲突较强或上下文依赖较高的候选进入Qwen-3.5-122B-A10B升级裁决。最终424,150条知识陈述与282,165条候选使用不同统计单位，本文不将二者解释为可以直接相减的单一漏斗。</w:t>
      </w:r>
    </w:p>
    <w:p w14:paraId="50BACC19">
      <w:pPr>
        <w:widowControl/>
        <w:wordWrap/>
        <w:bidi w:val="0"/>
        <w:rPr>
          <w:rFonts w:hint="default" w:eastAsia="宋体"/>
          <w:lang w:val="en-US" w:eastAsia="zh-CN"/>
        </w:rPr>
      </w:pPr>
      <w:r>
        <w:rPr>
          <w:rFonts w:hint="eastAsia"/>
        </w:rPr>
        <w:t>最终图谱包含152,979个规范实体、424,150条知识陈述和466,312条来源关联。知识陈述按照发布资格划分为112,158条严格语义层记录、268,047条上下文记录和43,945条未决记录，占比分别为26.443%、63.196%和10.361%。严格语义层进一步派生28,065个事件框架、7,067个事件时空单元和11,532个文化状态，如图2所示。</w:t>
      </w:r>
    </w:p>
    <w:p w14:paraId="5687BBBB">
      <w:pPr>
        <w:wordWrap/>
        <w:bidi w:val="0"/>
        <w:rPr>
          <w:rFonts w:hint="eastAsia"/>
        </w:rPr>
      </w:pPr>
    </w:p>
    <w:p w14:paraId="11062625">
      <w:pPr>
        <w:wordWrap/>
        <w:bidi w:val="0"/>
        <w:ind w:left="0" w:leftChars="0" w:firstLine="0" w:firstLineChars="0"/>
        <w:jc w:val="center"/>
      </w:pPr>
      <w:r>
        <w:drawing>
          <wp:inline distT="0" distB="0" distL="114300" distR="114300">
            <wp:extent cx="5579745" cy="4458970"/>
            <wp:effectExtent l="0" t="0" r="762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grayscl/>
                    </a:blip>
                    <a:stretch>
                      <a:fillRect/>
                    </a:stretch>
                  </pic:blipFill>
                  <pic:spPr>
                    <a:xfrm>
                      <a:off x="0" y="0"/>
                      <a:ext cx="5580000" cy="4459275"/>
                    </a:xfrm>
                    <a:prstGeom prst="rect">
                      <a:avLst/>
                    </a:prstGeom>
                    <a:noFill/>
                    <a:ln>
                      <a:noFill/>
                    </a:ln>
                  </pic:spPr>
                </pic:pic>
              </a:graphicData>
            </a:graphic>
          </wp:inline>
        </w:drawing>
      </w:r>
    </w:p>
    <w:p w14:paraId="3E80D531">
      <w:pPr>
        <w:pStyle w:val="6"/>
        <w:widowControl/>
        <w:wordWrap/>
        <w:bidi w:val="0"/>
        <w:spacing w:before="40" w:after="40" w:line="240" w:lineRule="auto"/>
        <w:ind w:left="0" w:leftChars="0" w:firstLine="0" w:firstLineChars="0"/>
        <w:rPr>
          <w:rFonts w:hint="eastAsia" w:eastAsia="宋体"/>
          <w:lang w:eastAsia="zh-CN"/>
        </w:rPr>
      </w:pPr>
      <w:r>
        <w:rPr>
          <w:sz w:val="17"/>
        </w:rPr>
        <w:t>图 2 图谱规模与分层发布结果；English: Figure 2 Graph scale and layered publication</w:t>
      </w:r>
    </w:p>
    <w:p w14:paraId="00CD38F9">
      <w:pPr>
        <w:widowControl/>
        <w:wordWrap/>
        <w:bidi w:val="0"/>
        <w:rPr>
          <w:rFonts w:hint="eastAsia"/>
        </w:rPr>
      </w:pPr>
      <w:r>
        <w:rPr>
          <w:rFonts w:hint="eastAsia"/>
        </w:rPr>
        <w:t>统一评价集包含712条集成参考标注（ensemble reference annotations，ERA），由规则、本地分类器与模型通道的样本级输出按统一字段整理形成，作为七类任务和各项基线比较的共同评价坐标；覆盖实体类型、关系语义、事件角色、时间角色、空间角色、时间归属对象和空间归属对象七类任务。从中选取159条记录构成固定测试集，经标签完整性和结构可比性检查后保留152条核心评价样本。集成参考标注用于计算系统输出的一致率、Macro-F1和选择性风险，并与结构合规和来源追溯指标共同构成多维评价体系。知识图谱评价需要同时考察表示、获取和应用等环节[45]，地理知识图谱质量评价还强调完整性、一致性和时空条件[46]。本研究据此并列报告语义一致性、安全覆盖和结构硬约束，从候选判定与发布质量两个层面评价完整流程。</w:t>
      </w:r>
    </w:p>
    <w:p w14:paraId="7C7E5B30">
      <w:pPr>
        <w:widowControl/>
        <w:wordWrap/>
        <w:bidi w:val="0"/>
      </w:pPr>
      <w:r>
        <w:rPr>
          <w:rFonts w:hint="eastAsia"/>
        </w:rPr>
        <w:t>本地分类器采用一对其余弹性网络逻辑回归，输入由实体名称与别名的字符1—4元组TF-IDF特征和关系上下文TF-IDF特征组成。大语言模型Qwen-3.5-122B-A10B负责复杂实体类型、事件时间冲突、关系语义冲突和同名聚类复核。五种设置采用分级证据：规则与本地分类器为当前实际运行，Qwen独立判定和规则—Qwen一致性选择使用已保存的模型输出，完整框架为冻结配置下的确定性回放。类别可靠性依据验证集精确率的Wilson 95%下限确定，概率间隔和独立信号条件在评价前固定，核心评价集独立用于结果评估。分级证据分别刻画各通道的判定能力及完整流程的风险路由效果。</w:t>
      </w:r>
    </w:p>
    <w:p w14:paraId="6F662C23">
      <w:pPr>
        <w:pStyle w:val="3"/>
        <w:keepLines w:val="0"/>
        <w:widowControl/>
        <w:wordWrap/>
        <w:spacing w:before="0" w:after="0" w:line="360" w:lineRule="auto"/>
        <w:ind w:firstLine="420"/>
        <w:jc w:val="both"/>
      </w:pPr>
      <w:r>
        <w:rPr>
          <w:rFonts w:ascii="Times New Roman" w:hAnsi="Times New Roman" w:eastAsia="宋体"/>
          <w:b w:val="0"/>
          <w:sz w:val="21"/>
        </w:rPr>
        <w:t xml:space="preserve">对核心评价样本 </w:t>
      </w:r>
      <m:oMath>
        <m:r>
          <m:rPr/>
          <m:t>i</m:t>
        </m:r>
      </m:oMath>
      <w:r>
        <w:rPr>
          <w:rFonts w:ascii="Times New Roman" w:hAnsi="Times New Roman" w:eastAsia="宋体"/>
          <w:b w:val="0"/>
          <w:sz w:val="21"/>
        </w:rPr>
        <w:t xml:space="preserve">，令 </w:t>
      </w:r>
      <m:oMath>
        <m:sSub>
          <m:sSubPr/>
          <m:e>
            <m:r>
              <m:rPr/>
              <m:t>s</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表示方法是否接受该样本，</w:t>
      </w:r>
      <m:oMath>
        <m:sSub>
          <m:sSubPr/>
          <m:e>
            <m:r>
              <m:rPr/>
              <m:t>c</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表示预测是否与参考标注一致，</w:t>
      </w:r>
      <m:oMath>
        <m:sSub>
          <m:sSubPr/>
          <m:e>
            <m:r>
              <m:rPr/>
              <m:t>h</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表示该结果是否通过任务对应的结构硬约束。接受覆盖率、接受样本一致率、选择性风险、安全覆盖率和错误暴露率分别定义如式（11）所示：</w:t>
      </w:r>
    </w:p>
    <w:p w14:paraId="10F12642">
      <w:pPr>
        <w:pStyle w:val="3"/>
        <w:wordWrap/>
        <w:spacing w:before="80" w:after="80"/>
        <w:ind w:firstLine="0"/>
        <w:jc w:val="center"/>
      </w:pPr>
      <m:oMathPara>
        <m:oMathParaPr>
          <m:jc m:val="center"/>
        </m:oMathParaPr>
        <m:oMath>
          <m:eqArr>
            <m:eqArrPr>
              <m:maxDist m:val="1"/>
              <m:ctrlPr>
                <w:rPr>
                  <w:b w:val="0"/>
                  <w:i w:val="0"/>
                </w:rPr>
              </m:ctrlPr>
            </m:eqArrPr>
            <m:e>
              <m:r>
                <m:rPr>
                  <m:sty m:val="p"/>
                </m:rPr>
                <m:t>Cov=</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r>
                <m:rPr>
                  <m:sty m:val="p"/>
                </m:rPr>
                <m:t>,</m:t>
              </m:r>
              <m:r>
                <m:rPr/>
                <m:t>  </m:t>
              </m:r>
              <m:sSub>
                <m:sSubPr/>
                <m:e>
                  <m:r>
                    <m:rPr>
                      <m:sty m:val="p"/>
                    </m:rPr>
                    <m:t>Acc</m:t>
                  </m:r>
                </m:e>
                <m:sub>
                  <m:r>
                    <m:rPr>
                      <m:sty m:val="p"/>
                    </m:rPr>
                    <m:t>sel</m:t>
                  </m:r>
                </m:sub>
              </m:sSub>
              <m:r>
                <m:rPr>
                  <m:sty m:val="p"/>
                </m:rPr>
                <m:t>=</m:t>
              </m:r>
              <m:f>
                <m:fPr/>
                <m:num>
                  <m:nary>
                    <m:naryPr>
                      <m:chr m:val="∑"/>
                      <m:limLoc m:val="undOvr"/>
                    </m:naryPr>
                    <m:sub>
                      <m:r>
                        <m:rPr/>
                        <m:t>i</m:t>
                      </m:r>
                      <m:r>
                        <m:rPr>
                          <m:sty m:val="p"/>
                        </m:rPr>
                        <m:t>=</m:t>
                      </m:r>
                      <m:r>
                        <m:rPr/>
                        <m:t>1</m:t>
                      </m:r>
                    </m:sub>
                    <m:sup>
                      <m:r>
                        <m:rPr/>
                        <m:t>n</m:t>
                      </m:r>
                    </m:sup>
                    <m:e>
                      <m:sSub>
                        <m:sSubPr/>
                        <m:e>
                          <m:r>
                            <m:rPr/>
                            <m:t>s</m:t>
                          </m:r>
                        </m:e>
                        <m:sub>
                          <m:r>
                            <m:rPr/>
                            <m:t>i</m:t>
                          </m:r>
                        </m:sub>
                      </m:sSub>
                    </m:e>
                  </m:nary>
                  <m:sSub>
                    <m:sSubPr/>
                    <m:e>
                      <m:r>
                        <m:rPr/>
                        <m:t>c</m:t>
                      </m:r>
                    </m:e>
                    <m:sub>
                      <m:r>
                        <m:rPr/>
                        <m:t>i</m:t>
                      </m:r>
                    </m:sub>
                  </m:sSub>
                </m:num>
                <m:den>
                  <m:nary>
                    <m:naryPr>
                      <m:chr m:val="∑"/>
                      <m:limLoc m:val="undOvr"/>
                    </m:naryPr>
                    <m:sub>
                      <m:r>
                        <m:rPr/>
                        <m:t>i</m:t>
                      </m:r>
                      <m:r>
                        <m:rPr>
                          <m:sty m:val="p"/>
                        </m:rPr>
                        <m:t>=</m:t>
                      </m:r>
                      <m:r>
                        <m:rPr/>
                        <m:t>1</m:t>
                      </m:r>
                    </m:sub>
                    <m:sup>
                      <m:r>
                        <m:rPr/>
                        <m:t>n</m:t>
                      </m:r>
                    </m:sup>
                    <m:e>
                      <m:sSub>
                        <m:sSubPr/>
                        <m:e>
                          <m:r>
                            <m:rPr/>
                            <m:t>s</m:t>
                          </m:r>
                        </m:e>
                        <m:sub>
                          <m:r>
                            <m:rPr/>
                            <m:t>i</m:t>
                          </m:r>
                        </m:sub>
                      </m:sSub>
                    </m:e>
                  </m:nary>
                </m:den>
              </m:f>
              <m:r>
                <m:rPr>
                  <m:sty m:val="p"/>
                </m:rPr>
                <m:t>,</m:t>
              </m:r>
              <m:r>
                <m:rPr/>
                <m:t>  </m:t>
              </m:r>
              <m:sSub>
                <m:sSubPr/>
                <m:e>
                  <m:r>
                    <m:rPr/>
                    <m:t>R</m:t>
                  </m:r>
                </m:e>
                <m:sub>
                  <m:r>
                    <m:rPr>
                      <m:sty m:val="p"/>
                    </m:rPr>
                    <m:t>sel</m:t>
                  </m:r>
                </m:sub>
              </m:sSub>
              <m:r>
                <m:rPr>
                  <m:sty m:val="p"/>
                </m:rPr>
                <m:t>=</m:t>
              </m:r>
              <m:r>
                <m:rPr/>
                <m:t>1</m:t>
              </m:r>
              <m:r>
                <m:rPr>
                  <m:sty m:val="p"/>
                </m:rPr>
                <m:t>−</m:t>
              </m:r>
              <m:sSub>
                <m:sSubPr/>
                <m:e>
                  <m:r>
                    <m:rPr>
                      <m:sty m:val="p"/>
                    </m:rPr>
                    <m:t>Acc</m:t>
                  </m:r>
                </m:e>
                <m:sub>
                  <m:r>
                    <m:rPr>
                      <m:sty m:val="p"/>
                    </m:rPr>
                    <m:t>sel</m:t>
                  </m:r>
                </m:sub>
              </m:sSub>
              <m:r>
                <m:rPr>
                  <m:sty m:val="p"/>
                </m:rPr>
                <m:t>.#</m:t>
              </m:r>
              <m:r>
                <m:rPr>
                  <m:sty m:val="p"/>
                </m:rPr>
                <w:rPr>
                  <w:rFonts w:hint="default"/>
                  <w:lang w:val="en-US" w:eastAsia="zh-CN"/>
                </w:rPr>
                <m:t>(11)</m:t>
              </m:r>
              <m:ctrlPr>
                <w:rPr>
                  <w:b w:val="0"/>
                  <w:i w:val="0"/>
                </w:rPr>
              </m:ctrlPr>
            </m:e>
          </m:eqArr>
        </m:oMath>
      </m:oMathPara>
    </w:p>
    <w:p w14:paraId="133BDB81">
      <w:pPr>
        <w:pStyle w:val="17"/>
        <w:wordWrap/>
        <w:spacing w:before="80" w:after="80"/>
        <w:ind w:firstLine="0"/>
        <w:jc w:val="center"/>
      </w:pPr>
      <m:oMathPara>
        <m:oMathParaPr>
          <m:jc m:val="center"/>
        </m:oMathParaPr>
        <m:oMath>
          <m:r>
            <m:rPr>
              <m:sty m:val="p"/>
            </m:rPr>
            <m:t>SCov=</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sSub>
            <m:sSubPr/>
            <m:e>
              <m:r>
                <m:rPr/>
                <m:t>c</m:t>
              </m:r>
            </m:e>
            <m:sub>
              <m:r>
                <m:rPr/>
                <m:t>i</m:t>
              </m:r>
            </m:sub>
          </m:sSub>
          <m:sSub>
            <m:sSubPr/>
            <m:e>
              <m:r>
                <m:rPr/>
                <m:t>h</m:t>
              </m:r>
            </m:e>
            <m:sub>
              <m:r>
                <m:rPr/>
                <m:t>i</m:t>
              </m:r>
            </m:sub>
          </m:sSub>
          <m:r>
            <m:rPr>
              <m:sty m:val="p"/>
            </m:rPr>
            <m:t>,</m:t>
          </m:r>
          <m:r>
            <m:rPr/>
            <m:t>  </m:t>
          </m:r>
          <m:r>
            <m:rPr>
              <m:sty m:val="p"/>
            </m:rPr>
            <m:t>UE=</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d>
            <m:dPr>
              <m:sepChr m:val=""/>
            </m:dPr>
            <m:e>
              <m:r>
                <m:rPr/>
                <m:t>1</m:t>
              </m:r>
              <m:r>
                <m:rPr>
                  <m:sty m:val="p"/>
                </m:rPr>
                <m:t>−</m:t>
              </m:r>
              <m:sSub>
                <m:sSubPr/>
                <m:e>
                  <m:r>
                    <m:rPr/>
                    <m:t>c</m:t>
                  </m:r>
                </m:e>
                <m:sub>
                  <m:r>
                    <m:rPr/>
                    <m:t>i</m:t>
                  </m:r>
                </m:sub>
              </m:sSub>
            </m:e>
          </m:d>
          <m:r>
            <m:rPr>
              <m:sty m:val="p"/>
            </m:rPr>
            <m:t>.</m:t>
          </m:r>
        </m:oMath>
      </m:oMathPara>
    </w:p>
    <w:p w14:paraId="7E184504">
      <w:pPr>
        <w:pStyle w:val="17"/>
        <w:keepLines w:val="0"/>
        <w:widowControl/>
        <w:wordWrap/>
        <w:spacing w:before="0" w:after="0" w:line="360" w:lineRule="auto"/>
        <w:ind w:firstLine="420"/>
        <w:jc w:val="both"/>
      </w:pPr>
      <w:r>
        <w:rPr>
          <w:rFonts w:ascii="Times New Roman" w:hAnsi="Times New Roman" w:eastAsia="宋体"/>
          <w:b w:val="0"/>
          <w:sz w:val="21"/>
        </w:rPr>
        <w:t xml:space="preserve">当 </w:t>
      </w:r>
      <m:oMath>
        <m:nary>
          <m:naryPr>
            <m:chr m:val="∑"/>
            <m:limLoc m:val="undOvr"/>
            <m:supHide m:val="1"/>
          </m:naryPr>
          <m:sub>
            <m:r>
              <m:rPr/>
              <m:t>i</m:t>
            </m:r>
          </m:sub>
          <m:sup>
            <m:r>
              <m:rPr/>
              <m:t>​</m:t>
            </m:r>
          </m:sup>
          <m:e>
            <m:sSub>
              <m:sSubPr/>
              <m:e>
                <m:r>
                  <m:rPr/>
                  <m:t>s</m:t>
                </m:r>
              </m:e>
              <m:sub>
                <m:r>
                  <m:rPr/>
                  <m:t>i</m:t>
                </m:r>
              </m:sub>
            </m:sSub>
          </m:e>
        </m:nary>
        <m:r>
          <m:rPr>
            <m:sty m:val="p"/>
          </m:rPr>
          <m:t>=</m:t>
        </m:r>
        <m:r>
          <m:rPr/>
          <m:t>0</m:t>
        </m:r>
      </m:oMath>
      <w:r>
        <w:rPr>
          <w:rFonts w:ascii="Times New Roman" w:hAnsi="Times New Roman" w:eastAsia="宋体"/>
          <w:b w:val="0"/>
          <w:sz w:val="21"/>
        </w:rPr>
        <w:t xml:space="preserve"> 时，选择性风险记为NA。风险—覆盖曲线按候选可靠性由高到低逐组加入，并在可达覆盖区间内计算AURC，如式（12）所示：</w:t>
      </w:r>
    </w:p>
    <w:p w14:paraId="0174F011">
      <w:pPr>
        <w:pStyle w:val="3"/>
        <w:wordWrap/>
        <w:spacing w:before="80" w:after="80"/>
        <w:ind w:firstLine="0"/>
        <w:jc w:val="center"/>
      </w:pPr>
      <m:oMathPara>
        <m:oMathParaPr>
          <m:jc m:val="center"/>
        </m:oMathParaPr>
        <m:oMath>
          <m:eqArr>
            <m:eqArrPr>
              <m:maxDist m:val="1"/>
              <m:ctrlPr>
                <w:rPr>
                  <w:i/>
                </w:rPr>
              </m:ctrlPr>
            </m:eqArrPr>
            <m:e>
              <m:r>
                <m:rPr>
                  <m:sty m:val="p"/>
                </m:rPr>
                <m:t>AURC=</m:t>
              </m:r>
              <m:nary>
                <m:naryPr>
                  <m:limLoc m:val="subSup"/>
                </m:naryPr>
                <m:sub>
                  <m:r>
                    <m:rPr/>
                    <m:t>0</m:t>
                  </m:r>
                </m:sub>
                <m:sup>
                  <m:sSub>
                    <m:sSubPr/>
                    <m:e>
                      <m:r>
                        <m:rPr/>
                        <m:t>C</m:t>
                      </m:r>
                    </m:e>
                    <m:sub>
                      <m:r>
                        <m:rPr>
                          <m:sty m:val="p"/>
                        </m:rPr>
                        <m:t>max</m:t>
                      </m:r>
                    </m:sub>
                  </m:sSub>
                </m:sup>
                <m:e>
                  <m:sSub>
                    <m:sSubPr/>
                    <m:e>
                      <m:r>
                        <m:rPr/>
                        <m:t>R</m:t>
                      </m:r>
                    </m:e>
                    <m:sub>
                      <m:r>
                        <m:rPr>
                          <m:sty m:val="p"/>
                        </m:rPr>
                        <m:t>sel</m:t>
                      </m:r>
                    </m:sub>
                  </m:sSub>
                </m:e>
              </m:nary>
              <m:d>
                <m:dPr>
                  <m:sepChr m:val=""/>
                </m:dPr>
                <m:e>
                  <m:r>
                    <m:rPr/>
                    <m:t>c</m:t>
                  </m:r>
                </m:e>
              </m:d>
              <m:r>
                <m:rPr/>
                <m:t> </m:t>
              </m:r>
              <m:r>
                <m:rPr>
                  <m:sty m:val="p"/>
                </m:rPr>
                <m:t>d</m:t>
              </m:r>
              <m:r>
                <m:rPr/>
                <m:t>c</m:t>
              </m:r>
              <m:r>
                <m:rPr>
                  <m:sty m:val="p"/>
                </m:rPr>
                <m:t>.#</m:t>
              </m:r>
              <m:r>
                <m:rPr>
                  <m:sty m:val="p"/>
                </m:rPr>
                <w:rPr>
                  <w:rFonts w:hint="default"/>
                  <w:lang w:val="en-US" w:eastAsia="zh-CN"/>
                </w:rPr>
                <m:t>(12)</m:t>
              </m:r>
              <m:ctrlPr>
                <w:rPr>
                  <w:i/>
                </w:rPr>
              </m:ctrlPr>
            </m:e>
          </m:eqArr>
        </m:oMath>
      </m:oMathPara>
    </w:p>
    <w:p w14:paraId="6D8F60E2">
      <w:pPr>
        <w:pStyle w:val="17"/>
        <w:keepLines w:val="0"/>
        <w:widowControl/>
        <w:wordWrap/>
        <w:spacing w:before="0" w:after="0" w:line="360" w:lineRule="auto"/>
        <w:ind w:firstLine="420"/>
        <w:jc w:val="both"/>
        <w:rPr>
          <w:rFonts w:ascii="Times New Roman" w:hAnsi="Times New Roman" w:eastAsia="宋体"/>
          <w:b w:val="0"/>
          <w:sz w:val="21"/>
        </w:rPr>
      </w:pPr>
      <w:r>
        <w:rPr>
          <w:rFonts w:ascii="Times New Roman" w:hAnsi="Times New Roman" w:eastAsia="宋体"/>
          <w:b w:val="0"/>
          <w:sz w:val="21"/>
        </w:rPr>
        <w:t>并列分数作为同一阈值组同时加入。时空归属任务先检查参考记录是否满足相应角色允许的归属对象类型，再计算“取值—语义角色—归属对象”的严格匹配。组件消融分别关闭类别门禁、独立信号一致、显式弃权、身份投影、关系契约、时空角色—归属约束和来源门禁。来源隔离实验按照来源连通分量划分训练集和测试集。效率实验使用10%、25%、50%、75%和100%五档数据规模，每档重复5次。</w:t>
      </w:r>
    </w:p>
    <w:bookmarkEnd w:id="2"/>
    <w:p w14:paraId="78A50B44">
      <w:pPr>
        <w:pStyle w:val="4"/>
        <w:keepNext/>
        <w:keepLines/>
        <w:widowControl/>
        <w:wordWrap/>
      </w:pPr>
      <w:bookmarkStart w:id="3" w:name="选择性预测结果与组件分析"/>
      <w:r>
        <w:t>4.2 选择性预测结果与组件分析</w:t>
      </w:r>
    </w:p>
    <w:p w14:paraId="4FE72CEF">
      <w:pPr>
        <w:pStyle w:val="17"/>
        <w:keepLines w:val="0"/>
        <w:widowControl/>
        <w:wordWrap/>
        <w:spacing w:before="0" w:after="0" w:line="360" w:lineRule="auto"/>
        <w:ind w:firstLine="420"/>
        <w:jc w:val="both"/>
      </w:pPr>
      <w:r>
        <w:rPr>
          <w:rFonts w:ascii="Times New Roman" w:hAnsi="Times New Roman" w:eastAsia="宋体"/>
          <w:b w:val="0"/>
          <w:sz w:val="21"/>
        </w:rPr>
        <w:t>本地实体分类器采用117,954条训练样本和29,369条验证样本，并按照规范实体名称分组，避免同一规范实体的异名记录跨集合泄漏。验证集准确率为0.8713，Macro-F1为0.7877，Weighted-F1为0.8729。Person、Organization、Event和Document等高频类型具有较稳定的判定边界；AdministrativeRegion、Spirit、Artifact和Concept的F1分别为0.61、0.67、0.67和0.72，这为针对低频类别设置更严格的自动接受门禁和补充训练样本提供了依据。</w:t>
      </w:r>
    </w:p>
    <w:p w14:paraId="0700769D">
      <w:pPr>
        <w:pStyle w:val="6"/>
        <w:keepNext/>
        <w:keepLines/>
        <w:widowControl/>
        <w:wordWrap/>
        <w:spacing w:before="40" w:after="40" w:line="240" w:lineRule="auto"/>
        <w:rPr>
          <w:rFonts w:hint="eastAsia" w:eastAsia="宋体"/>
          <w:lang w:eastAsia="zh-CN"/>
        </w:rPr>
      </w:pPr>
      <w:r>
        <w:rPr>
          <w:sz w:val="17"/>
        </w:rPr>
        <w:t>表 1 核心评价集上的分级证据结果（n=152）；English: Table 1 Evidence-graded results on the core evaluation set (n=152)</w:t>
      </w:r>
    </w:p>
    <w:tbl>
      <w:tblPr>
        <w:tblStyle w:val="23"/>
        <w:tblW w:w="5000" w:type="pct"/>
        <w:jc w:val="center"/>
        <w:tblLayout w:type="autofit"/>
        <w:tblCellMar>
          <w:top w:w="0" w:type="dxa"/>
          <w:left w:w="108" w:type="dxa"/>
          <w:bottom w:w="0" w:type="dxa"/>
          <w:right w:w="108" w:type="dxa"/>
        </w:tblCellMar>
      </w:tblPr>
      <w:tblGrid>
        <w:gridCol w:w="2106"/>
        <w:gridCol w:w="959"/>
        <w:gridCol w:w="1378"/>
        <w:gridCol w:w="1393"/>
        <w:gridCol w:w="1460"/>
        <w:gridCol w:w="1063"/>
        <w:gridCol w:w="1099"/>
      </w:tblGrid>
      <w:tr w14:paraId="6ECC452A">
        <w:tblPrEx>
          <w:tblCellMar>
            <w:top w:w="0" w:type="dxa"/>
            <w:left w:w="108" w:type="dxa"/>
            <w:bottom w:w="0" w:type="dxa"/>
            <w:right w:w="108" w:type="dxa"/>
          </w:tblCellMar>
        </w:tblPrEx>
        <w:trPr>
          <w:cantSplit/>
          <w:tblHeader/>
          <w:jc w:val="center"/>
        </w:trPr>
        <w:tc>
          <w:tcPr>
            <w:tcW w:w="786" w:type="pct"/>
            <w:tcBorders>
              <w:top w:val="single" w:color="000000" w:sz="12" w:space="0"/>
              <w:left w:val="nil"/>
              <w:bottom w:val="single" w:color="000000" w:sz="4" w:space="0"/>
              <w:right w:val="nil"/>
              <w:tl2br w:val="nil"/>
            </w:tcBorders>
            <w:shd w:val="clear" w:color="auto" w:fill="FFFFFF"/>
            <w:vAlign w:val="center"/>
          </w:tcPr>
          <w:p w14:paraId="29F3886C">
            <w:pPr>
              <w:pStyle w:val="13"/>
              <w:widowControl/>
              <w:wordWrap/>
              <w:bidi w:val="0"/>
            </w:pPr>
            <w:r>
              <w:rPr>
                <w:b/>
              </w:rPr>
              <w:t>方法</w:t>
            </w:r>
          </w:p>
        </w:tc>
        <w:tc>
          <w:tcPr>
            <w:tcW w:w="603" w:type="pct"/>
            <w:tcBorders>
              <w:top w:val="single" w:color="000000" w:sz="12" w:space="0"/>
              <w:left w:val="nil"/>
              <w:bottom w:val="single" w:color="000000" w:sz="4" w:space="0"/>
              <w:right w:val="nil"/>
            </w:tcBorders>
            <w:shd w:val="clear" w:color="auto" w:fill="FFFFFF"/>
            <w:vAlign w:val="center"/>
          </w:tcPr>
          <w:p w14:paraId="02D70021">
            <w:pPr>
              <w:pStyle w:val="13"/>
              <w:widowControl/>
              <w:wordWrap/>
              <w:bidi w:val="0"/>
            </w:pPr>
            <w:r>
              <w:rPr>
                <w:b/>
              </w:rPr>
              <w:t>覆盖率</w:t>
            </w:r>
          </w:p>
        </w:tc>
        <w:tc>
          <w:tcPr>
            <w:tcW w:w="824" w:type="pct"/>
            <w:tcBorders>
              <w:top w:val="single" w:color="000000" w:sz="12" w:space="0"/>
              <w:left w:val="nil"/>
              <w:bottom w:val="single" w:color="000000" w:sz="4" w:space="0"/>
              <w:right w:val="nil"/>
            </w:tcBorders>
            <w:shd w:val="clear" w:color="auto" w:fill="FFFFFF"/>
            <w:vAlign w:val="center"/>
          </w:tcPr>
          <w:p w14:paraId="5CBF67B1">
            <w:pPr>
              <w:pStyle w:val="13"/>
              <w:widowControl/>
              <w:wordWrap/>
              <w:bidi w:val="0"/>
            </w:pPr>
            <w:r>
              <w:rPr>
                <w:b/>
              </w:rPr>
              <w:t>接受样本一致率</w:t>
            </w:r>
          </w:p>
        </w:tc>
        <w:tc>
          <w:tcPr>
            <w:tcW w:w="832" w:type="pct"/>
            <w:tcBorders>
              <w:top w:val="single" w:color="000000" w:sz="12" w:space="0"/>
              <w:left w:val="nil"/>
              <w:bottom w:val="single" w:color="000000" w:sz="4" w:space="0"/>
              <w:right w:val="nil"/>
            </w:tcBorders>
            <w:shd w:val="clear" w:color="auto" w:fill="FFFFFF"/>
            <w:vAlign w:val="center"/>
          </w:tcPr>
          <w:p w14:paraId="429ADE0E">
            <w:pPr>
              <w:pStyle w:val="13"/>
              <w:widowControl/>
              <w:wordWrap/>
              <w:bidi w:val="0"/>
            </w:pPr>
            <w:r>
              <w:rPr>
                <w:b/>
              </w:rPr>
              <w:t>选择性风险</w:t>
            </w:r>
          </w:p>
        </w:tc>
        <w:tc>
          <w:tcPr>
            <w:tcW w:w="867" w:type="pct"/>
            <w:tcBorders>
              <w:top w:val="single" w:color="000000" w:sz="12" w:space="0"/>
              <w:left w:val="nil"/>
              <w:bottom w:val="single" w:color="000000" w:sz="4" w:space="0"/>
              <w:right w:val="nil"/>
            </w:tcBorders>
            <w:shd w:val="clear" w:color="auto" w:fill="FFFFFF"/>
            <w:vAlign w:val="center"/>
          </w:tcPr>
          <w:p w14:paraId="4BE45D73">
            <w:pPr>
              <w:pStyle w:val="13"/>
              <w:widowControl/>
              <w:wordWrap/>
              <w:bidi w:val="0"/>
            </w:pPr>
            <w:r>
              <w:rPr>
                <w:b/>
              </w:rPr>
              <w:t>安全覆盖率</w:t>
            </w:r>
          </w:p>
        </w:tc>
        <w:tc>
          <w:tcPr>
            <w:tcW w:w="409" w:type="pct"/>
            <w:tcBorders>
              <w:top w:val="single" w:color="000000" w:sz="12" w:space="0"/>
              <w:left w:val="nil"/>
              <w:bottom w:val="single" w:color="000000" w:sz="4" w:space="0"/>
              <w:right w:val="nil"/>
            </w:tcBorders>
            <w:shd w:val="clear" w:color="auto" w:fill="FFFFFF"/>
            <w:vAlign w:val="center"/>
          </w:tcPr>
          <w:p w14:paraId="117A2B50">
            <w:pPr>
              <w:pStyle w:val="13"/>
              <w:widowControl/>
              <w:wordWrap/>
              <w:bidi w:val="0"/>
            </w:pPr>
            <w:r>
              <w:rPr>
                <w:b/>
              </w:rPr>
              <w:t>Macro-F1</w:t>
            </w:r>
          </w:p>
        </w:tc>
        <w:tc>
          <w:tcPr>
            <w:tcW w:w="676" w:type="pct"/>
            <w:tcBorders>
              <w:top w:val="single" w:color="000000" w:sz="12" w:space="0"/>
              <w:left w:val="nil"/>
              <w:bottom w:val="single" w:color="000000" w:sz="4" w:space="0"/>
              <w:right w:val="nil"/>
            </w:tcBorders>
            <w:shd w:val="clear" w:color="auto" w:fill="FFFFFF"/>
            <w:vAlign w:val="center"/>
          </w:tcPr>
          <w:p w14:paraId="4958D092">
            <w:pPr>
              <w:pStyle w:val="13"/>
              <w:widowControl/>
              <w:wordWrap/>
              <w:bidi w:val="0"/>
            </w:pPr>
            <w:r>
              <w:rPr>
                <w:b w:val="0"/>
              </w:rPr>
              <w:t>证据等级</w:t>
            </w:r>
          </w:p>
        </w:tc>
      </w:tr>
      <w:tr w14:paraId="7633AE6C">
        <w:tblPrEx>
          <w:tblCellMar>
            <w:top w:w="0" w:type="dxa"/>
            <w:left w:w="108" w:type="dxa"/>
            <w:bottom w:w="0" w:type="dxa"/>
            <w:right w:w="108" w:type="dxa"/>
          </w:tblCellMar>
        </w:tblPrEx>
        <w:trPr>
          <w:cantSplit/>
          <w:jc w:val="center"/>
        </w:trPr>
        <w:tc>
          <w:tcPr>
            <w:tcW w:w="786" w:type="pct"/>
            <w:tcBorders>
              <w:top w:val="single" w:color="000000" w:sz="4" w:space="0"/>
              <w:left w:val="nil"/>
              <w:bottom w:val="nil"/>
              <w:right w:val="nil"/>
            </w:tcBorders>
            <w:shd w:val="clear" w:color="auto" w:fill="FFFFFF"/>
            <w:vAlign w:val="center"/>
          </w:tcPr>
          <w:p w14:paraId="6F463286">
            <w:pPr>
              <w:pStyle w:val="13"/>
              <w:widowControl/>
              <w:wordWrap/>
              <w:bidi w:val="0"/>
            </w:pPr>
            <w:r>
              <w:t>规则方法</w:t>
            </w:r>
          </w:p>
        </w:tc>
        <w:tc>
          <w:tcPr>
            <w:tcW w:w="603" w:type="pct"/>
            <w:tcBorders>
              <w:top w:val="single" w:color="000000" w:sz="4" w:space="0"/>
              <w:left w:val="nil"/>
              <w:bottom w:val="nil"/>
              <w:right w:val="nil"/>
            </w:tcBorders>
            <w:shd w:val="clear" w:color="auto" w:fill="FFFFFF"/>
            <w:vAlign w:val="center"/>
          </w:tcPr>
          <w:p w14:paraId="06827D2D">
            <w:pPr>
              <w:pStyle w:val="13"/>
              <w:widowControl/>
              <w:wordWrap/>
              <w:bidi w:val="0"/>
            </w:pPr>
            <w:r>
              <w:t>0.9934</w:t>
            </w:r>
          </w:p>
        </w:tc>
        <w:tc>
          <w:tcPr>
            <w:tcW w:w="824" w:type="pct"/>
            <w:tcBorders>
              <w:top w:val="single" w:color="000000" w:sz="4" w:space="0"/>
              <w:left w:val="nil"/>
              <w:bottom w:val="nil"/>
              <w:right w:val="nil"/>
            </w:tcBorders>
            <w:shd w:val="clear" w:color="auto" w:fill="FFFFFF"/>
            <w:vAlign w:val="center"/>
          </w:tcPr>
          <w:p w14:paraId="34ED27D4">
            <w:pPr>
              <w:pStyle w:val="13"/>
              <w:widowControl/>
              <w:wordWrap/>
              <w:bidi w:val="0"/>
            </w:pPr>
            <w:r>
              <w:t>0.8742</w:t>
            </w:r>
          </w:p>
        </w:tc>
        <w:tc>
          <w:tcPr>
            <w:tcW w:w="832" w:type="pct"/>
            <w:tcBorders>
              <w:top w:val="single" w:color="000000" w:sz="4" w:space="0"/>
              <w:left w:val="nil"/>
              <w:bottom w:val="nil"/>
              <w:right w:val="nil"/>
            </w:tcBorders>
            <w:shd w:val="clear" w:color="auto" w:fill="FFFFFF"/>
            <w:vAlign w:val="center"/>
          </w:tcPr>
          <w:p w14:paraId="00F6C97B">
            <w:pPr>
              <w:pStyle w:val="13"/>
              <w:widowControl/>
              <w:wordWrap/>
              <w:bidi w:val="0"/>
            </w:pPr>
            <w:r>
              <w:t>0.1258</w:t>
            </w:r>
          </w:p>
        </w:tc>
        <w:tc>
          <w:tcPr>
            <w:tcW w:w="867" w:type="pct"/>
            <w:tcBorders>
              <w:top w:val="single" w:color="000000" w:sz="4" w:space="0"/>
              <w:left w:val="nil"/>
              <w:bottom w:val="nil"/>
              <w:right w:val="nil"/>
            </w:tcBorders>
            <w:shd w:val="clear" w:color="auto" w:fill="FFFFFF"/>
            <w:vAlign w:val="center"/>
          </w:tcPr>
          <w:p w14:paraId="426634CC">
            <w:pPr>
              <w:pStyle w:val="13"/>
              <w:widowControl/>
              <w:wordWrap/>
              <w:bidi w:val="0"/>
            </w:pPr>
            <w:r>
              <w:t>0.8618</w:t>
            </w:r>
          </w:p>
        </w:tc>
        <w:tc>
          <w:tcPr>
            <w:tcW w:w="409" w:type="pct"/>
            <w:tcBorders>
              <w:top w:val="single" w:color="000000" w:sz="4" w:space="0"/>
              <w:left w:val="nil"/>
              <w:bottom w:val="nil"/>
              <w:right w:val="nil"/>
            </w:tcBorders>
            <w:shd w:val="clear" w:color="auto" w:fill="FFFFFF"/>
            <w:vAlign w:val="center"/>
          </w:tcPr>
          <w:p w14:paraId="0E87C4F8">
            <w:pPr>
              <w:pStyle w:val="13"/>
              <w:widowControl/>
              <w:wordWrap/>
              <w:bidi w:val="0"/>
            </w:pPr>
            <w:r>
              <w:t>0.8967</w:t>
            </w:r>
          </w:p>
        </w:tc>
        <w:tc>
          <w:tcPr>
            <w:tcW w:w="676" w:type="pct"/>
            <w:tcBorders>
              <w:top w:val="single" w:color="000000" w:sz="4" w:space="0"/>
              <w:left w:val="nil"/>
              <w:bottom w:val="nil"/>
              <w:right w:val="nil"/>
            </w:tcBorders>
            <w:shd w:val="clear" w:color="auto" w:fill="FFFFFF"/>
            <w:vAlign w:val="center"/>
          </w:tcPr>
          <w:p w14:paraId="2350BEEF">
            <w:pPr>
              <w:pStyle w:val="13"/>
              <w:widowControl/>
              <w:wordWrap/>
              <w:bidi w:val="0"/>
            </w:pPr>
            <w:r>
              <w:rPr>
                <w:b w:val="0"/>
              </w:rPr>
              <w:t>实际运行</w:t>
            </w:r>
          </w:p>
        </w:tc>
      </w:tr>
      <w:tr w14:paraId="1925AB1A">
        <w:tblPrEx>
          <w:tblCellMar>
            <w:top w:w="0" w:type="dxa"/>
            <w:left w:w="108" w:type="dxa"/>
            <w:bottom w:w="0" w:type="dxa"/>
            <w:right w:w="108" w:type="dxa"/>
          </w:tblCellMar>
        </w:tblPrEx>
        <w:trPr>
          <w:cantSplit/>
          <w:jc w:val="center"/>
        </w:trPr>
        <w:tc>
          <w:tcPr>
            <w:tcW w:w="786" w:type="pct"/>
            <w:tcBorders>
              <w:top w:val="nil"/>
              <w:left w:val="nil"/>
              <w:bottom w:val="nil"/>
              <w:right w:val="nil"/>
            </w:tcBorders>
            <w:shd w:val="clear" w:color="auto" w:fill="FFFFFF"/>
            <w:vAlign w:val="center"/>
          </w:tcPr>
          <w:p w14:paraId="3ACCE636">
            <w:pPr>
              <w:pStyle w:val="13"/>
              <w:widowControl/>
              <w:wordWrap/>
              <w:bidi w:val="0"/>
            </w:pPr>
            <w:r>
              <w:t>本地分类器</w:t>
            </w:r>
          </w:p>
        </w:tc>
        <w:tc>
          <w:tcPr>
            <w:tcW w:w="603" w:type="pct"/>
            <w:tcBorders>
              <w:top w:val="nil"/>
              <w:left w:val="nil"/>
              <w:bottom w:val="nil"/>
              <w:right w:val="nil"/>
            </w:tcBorders>
            <w:shd w:val="clear" w:color="auto" w:fill="FFFFFF"/>
            <w:vAlign w:val="center"/>
          </w:tcPr>
          <w:p w14:paraId="65F781A8">
            <w:pPr>
              <w:pStyle w:val="13"/>
              <w:widowControl/>
              <w:wordWrap/>
              <w:bidi w:val="0"/>
            </w:pPr>
            <w:r>
              <w:t>1.0000</w:t>
            </w:r>
          </w:p>
        </w:tc>
        <w:tc>
          <w:tcPr>
            <w:tcW w:w="824" w:type="pct"/>
            <w:tcBorders>
              <w:top w:val="nil"/>
              <w:left w:val="nil"/>
              <w:bottom w:val="nil"/>
              <w:right w:val="nil"/>
            </w:tcBorders>
            <w:shd w:val="clear" w:color="auto" w:fill="FFFFFF"/>
            <w:vAlign w:val="center"/>
          </w:tcPr>
          <w:p w14:paraId="16A165BD">
            <w:pPr>
              <w:pStyle w:val="13"/>
              <w:widowControl/>
              <w:wordWrap/>
              <w:bidi w:val="0"/>
            </w:pPr>
            <w:r>
              <w:t>0.6250</w:t>
            </w:r>
          </w:p>
        </w:tc>
        <w:tc>
          <w:tcPr>
            <w:tcW w:w="832" w:type="pct"/>
            <w:tcBorders>
              <w:top w:val="nil"/>
              <w:left w:val="nil"/>
              <w:bottom w:val="nil"/>
              <w:right w:val="nil"/>
            </w:tcBorders>
            <w:shd w:val="clear" w:color="auto" w:fill="FFFFFF"/>
            <w:vAlign w:val="center"/>
          </w:tcPr>
          <w:p w14:paraId="1392A682">
            <w:pPr>
              <w:pStyle w:val="13"/>
              <w:widowControl/>
              <w:wordWrap/>
              <w:bidi w:val="0"/>
            </w:pPr>
            <w:r>
              <w:t>0.3750</w:t>
            </w:r>
          </w:p>
        </w:tc>
        <w:tc>
          <w:tcPr>
            <w:tcW w:w="867" w:type="pct"/>
            <w:tcBorders>
              <w:top w:val="nil"/>
              <w:left w:val="nil"/>
              <w:bottom w:val="nil"/>
              <w:right w:val="nil"/>
            </w:tcBorders>
            <w:shd w:val="clear" w:color="auto" w:fill="FFFFFF"/>
            <w:vAlign w:val="center"/>
          </w:tcPr>
          <w:p w14:paraId="3AFDFCE5">
            <w:pPr>
              <w:pStyle w:val="13"/>
              <w:widowControl/>
              <w:wordWrap/>
              <w:bidi w:val="0"/>
            </w:pPr>
            <w:r>
              <w:t>0.6184</w:t>
            </w:r>
          </w:p>
        </w:tc>
        <w:tc>
          <w:tcPr>
            <w:tcW w:w="409" w:type="pct"/>
            <w:tcBorders>
              <w:top w:val="nil"/>
              <w:left w:val="nil"/>
              <w:bottom w:val="nil"/>
              <w:right w:val="nil"/>
            </w:tcBorders>
            <w:shd w:val="clear" w:color="auto" w:fill="FFFFFF"/>
            <w:vAlign w:val="center"/>
          </w:tcPr>
          <w:p w14:paraId="20CE8F13">
            <w:pPr>
              <w:pStyle w:val="13"/>
              <w:widowControl/>
              <w:wordWrap/>
              <w:bidi w:val="0"/>
            </w:pPr>
            <w:r>
              <w:t>0.4333</w:t>
            </w:r>
          </w:p>
        </w:tc>
        <w:tc>
          <w:tcPr>
            <w:tcW w:w="676" w:type="pct"/>
            <w:tcBorders>
              <w:top w:val="nil"/>
              <w:left w:val="nil"/>
              <w:bottom w:val="nil"/>
              <w:right w:val="nil"/>
            </w:tcBorders>
            <w:shd w:val="clear" w:color="auto" w:fill="FFFFFF"/>
            <w:vAlign w:val="center"/>
          </w:tcPr>
          <w:p w14:paraId="3DE98EC7">
            <w:pPr>
              <w:pStyle w:val="13"/>
              <w:widowControl/>
              <w:wordWrap/>
              <w:bidi w:val="0"/>
            </w:pPr>
            <w:r>
              <w:rPr>
                <w:b w:val="0"/>
              </w:rPr>
              <w:t>实际运行</w:t>
            </w:r>
          </w:p>
        </w:tc>
      </w:tr>
      <w:tr w14:paraId="74EE985B">
        <w:tblPrEx>
          <w:tblCellMar>
            <w:top w:w="0" w:type="dxa"/>
            <w:left w:w="108" w:type="dxa"/>
            <w:bottom w:w="0" w:type="dxa"/>
            <w:right w:w="108" w:type="dxa"/>
          </w:tblCellMar>
        </w:tblPrEx>
        <w:trPr>
          <w:cantSplit/>
          <w:jc w:val="center"/>
        </w:trPr>
        <w:tc>
          <w:tcPr>
            <w:tcW w:w="786" w:type="pct"/>
            <w:tcBorders>
              <w:top w:val="nil"/>
              <w:left w:val="nil"/>
              <w:bottom w:val="nil"/>
              <w:right w:val="nil"/>
            </w:tcBorders>
            <w:shd w:val="clear" w:color="auto" w:fill="FFFFFF"/>
            <w:vAlign w:val="center"/>
          </w:tcPr>
          <w:p w14:paraId="5E088B43">
            <w:pPr>
              <w:pStyle w:val="13"/>
              <w:widowControl/>
              <w:wordWrap/>
              <w:bidi w:val="0"/>
            </w:pPr>
            <w:r>
              <w:t>Qwen-3.5-122B-A10B</w:t>
            </w:r>
          </w:p>
        </w:tc>
        <w:tc>
          <w:tcPr>
            <w:tcW w:w="603" w:type="pct"/>
            <w:tcBorders>
              <w:top w:val="nil"/>
              <w:left w:val="nil"/>
              <w:bottom w:val="nil"/>
              <w:right w:val="nil"/>
            </w:tcBorders>
            <w:shd w:val="clear" w:color="auto" w:fill="FFFFFF"/>
            <w:vAlign w:val="center"/>
          </w:tcPr>
          <w:p w14:paraId="53982842">
            <w:pPr>
              <w:pStyle w:val="13"/>
              <w:widowControl/>
              <w:wordWrap/>
              <w:bidi w:val="0"/>
            </w:pPr>
            <w:r>
              <w:t>0.9934</w:t>
            </w:r>
          </w:p>
        </w:tc>
        <w:tc>
          <w:tcPr>
            <w:tcW w:w="824" w:type="pct"/>
            <w:tcBorders>
              <w:top w:val="nil"/>
              <w:left w:val="nil"/>
              <w:bottom w:val="nil"/>
              <w:right w:val="nil"/>
            </w:tcBorders>
            <w:shd w:val="clear" w:color="auto" w:fill="FFFFFF"/>
            <w:vAlign w:val="center"/>
          </w:tcPr>
          <w:p w14:paraId="29E50567">
            <w:pPr>
              <w:pStyle w:val="13"/>
              <w:widowControl/>
              <w:wordWrap/>
              <w:bidi w:val="0"/>
            </w:pPr>
            <w:r>
              <w:t>0.8808</w:t>
            </w:r>
          </w:p>
        </w:tc>
        <w:tc>
          <w:tcPr>
            <w:tcW w:w="832" w:type="pct"/>
            <w:tcBorders>
              <w:top w:val="nil"/>
              <w:left w:val="nil"/>
              <w:bottom w:val="nil"/>
              <w:right w:val="nil"/>
            </w:tcBorders>
            <w:shd w:val="clear" w:color="auto" w:fill="FFFFFF"/>
            <w:vAlign w:val="center"/>
          </w:tcPr>
          <w:p w14:paraId="5231F1AD">
            <w:pPr>
              <w:pStyle w:val="13"/>
              <w:widowControl/>
              <w:wordWrap/>
              <w:bidi w:val="0"/>
            </w:pPr>
            <w:r>
              <w:t>0.1192</w:t>
            </w:r>
          </w:p>
        </w:tc>
        <w:tc>
          <w:tcPr>
            <w:tcW w:w="867" w:type="pct"/>
            <w:tcBorders>
              <w:top w:val="nil"/>
              <w:left w:val="nil"/>
              <w:bottom w:val="nil"/>
              <w:right w:val="nil"/>
            </w:tcBorders>
            <w:shd w:val="clear" w:color="auto" w:fill="FFFFFF"/>
            <w:vAlign w:val="center"/>
          </w:tcPr>
          <w:p w14:paraId="7A4B0CD6">
            <w:pPr>
              <w:pStyle w:val="13"/>
              <w:widowControl/>
              <w:wordWrap/>
              <w:bidi w:val="0"/>
            </w:pPr>
            <w:r>
              <w:t>0.8553</w:t>
            </w:r>
          </w:p>
        </w:tc>
        <w:tc>
          <w:tcPr>
            <w:tcW w:w="409" w:type="pct"/>
            <w:tcBorders>
              <w:top w:val="nil"/>
              <w:left w:val="nil"/>
              <w:bottom w:val="nil"/>
              <w:right w:val="nil"/>
            </w:tcBorders>
            <w:shd w:val="clear" w:color="auto" w:fill="FFFFFF"/>
            <w:vAlign w:val="center"/>
          </w:tcPr>
          <w:p w14:paraId="5F11161D">
            <w:pPr>
              <w:pStyle w:val="13"/>
              <w:widowControl/>
              <w:wordWrap/>
              <w:bidi w:val="0"/>
            </w:pPr>
            <w:r>
              <w:t>0.9203</w:t>
            </w:r>
          </w:p>
        </w:tc>
        <w:tc>
          <w:tcPr>
            <w:tcW w:w="676" w:type="pct"/>
            <w:tcBorders>
              <w:top w:val="nil"/>
              <w:left w:val="nil"/>
              <w:bottom w:val="nil"/>
              <w:right w:val="nil"/>
            </w:tcBorders>
            <w:shd w:val="clear" w:color="auto" w:fill="FFFFFF"/>
            <w:vAlign w:val="center"/>
          </w:tcPr>
          <w:p w14:paraId="0EE51E9B">
            <w:pPr>
              <w:pStyle w:val="13"/>
              <w:widowControl/>
              <w:wordWrap/>
              <w:bidi w:val="0"/>
            </w:pPr>
            <w:r>
              <w:rPr>
                <w:b w:val="0"/>
              </w:rPr>
              <w:t>缓存模型输出</w:t>
            </w:r>
          </w:p>
        </w:tc>
      </w:tr>
      <w:tr w14:paraId="61CBA82A">
        <w:tblPrEx>
          <w:tblCellMar>
            <w:top w:w="0" w:type="dxa"/>
            <w:left w:w="108" w:type="dxa"/>
            <w:bottom w:w="0" w:type="dxa"/>
            <w:right w:w="108" w:type="dxa"/>
          </w:tblCellMar>
        </w:tblPrEx>
        <w:trPr>
          <w:cantSplit/>
          <w:jc w:val="center"/>
        </w:trPr>
        <w:tc>
          <w:tcPr>
            <w:tcW w:w="786" w:type="pct"/>
            <w:tcBorders>
              <w:top w:val="nil"/>
              <w:left w:val="nil"/>
              <w:bottom w:val="nil"/>
              <w:right w:val="nil"/>
            </w:tcBorders>
            <w:shd w:val="clear" w:color="auto" w:fill="FFFFFF"/>
            <w:vAlign w:val="center"/>
          </w:tcPr>
          <w:p w14:paraId="13A08D64">
            <w:pPr>
              <w:pStyle w:val="13"/>
              <w:widowControl/>
              <w:wordWrap/>
              <w:bidi w:val="0"/>
            </w:pPr>
            <w:r>
              <w:t>规则—Qwen一致性选择</w:t>
            </w:r>
          </w:p>
        </w:tc>
        <w:tc>
          <w:tcPr>
            <w:tcW w:w="603" w:type="pct"/>
            <w:tcBorders>
              <w:top w:val="nil"/>
              <w:left w:val="nil"/>
              <w:bottom w:val="nil"/>
              <w:right w:val="nil"/>
            </w:tcBorders>
            <w:shd w:val="clear" w:color="auto" w:fill="FFFFFF"/>
            <w:vAlign w:val="center"/>
          </w:tcPr>
          <w:p w14:paraId="1C91866C">
            <w:pPr>
              <w:pStyle w:val="13"/>
              <w:widowControl/>
              <w:wordWrap/>
              <w:bidi w:val="0"/>
            </w:pPr>
            <w:r>
              <w:t>0.7632</w:t>
            </w:r>
          </w:p>
        </w:tc>
        <w:tc>
          <w:tcPr>
            <w:tcW w:w="824" w:type="pct"/>
            <w:tcBorders>
              <w:top w:val="nil"/>
              <w:left w:val="nil"/>
              <w:bottom w:val="nil"/>
              <w:right w:val="nil"/>
            </w:tcBorders>
            <w:shd w:val="clear" w:color="auto" w:fill="FFFFFF"/>
            <w:vAlign w:val="center"/>
          </w:tcPr>
          <w:p w14:paraId="61955DD1">
            <w:pPr>
              <w:pStyle w:val="13"/>
              <w:widowControl/>
              <w:wordWrap/>
              <w:bidi w:val="0"/>
            </w:pPr>
            <w:r>
              <w:t>0.9914</w:t>
            </w:r>
          </w:p>
        </w:tc>
        <w:tc>
          <w:tcPr>
            <w:tcW w:w="832" w:type="pct"/>
            <w:tcBorders>
              <w:top w:val="nil"/>
              <w:left w:val="nil"/>
              <w:bottom w:val="nil"/>
              <w:right w:val="nil"/>
            </w:tcBorders>
            <w:shd w:val="clear" w:color="auto" w:fill="FFFFFF"/>
            <w:vAlign w:val="center"/>
          </w:tcPr>
          <w:p w14:paraId="1F7F4268">
            <w:pPr>
              <w:pStyle w:val="13"/>
              <w:widowControl/>
              <w:wordWrap/>
              <w:bidi w:val="0"/>
            </w:pPr>
            <w:r>
              <w:t>0.0086</w:t>
            </w:r>
          </w:p>
        </w:tc>
        <w:tc>
          <w:tcPr>
            <w:tcW w:w="867" w:type="pct"/>
            <w:tcBorders>
              <w:top w:val="nil"/>
              <w:left w:val="nil"/>
              <w:bottom w:val="nil"/>
              <w:right w:val="nil"/>
            </w:tcBorders>
            <w:shd w:val="clear" w:color="auto" w:fill="FFFFFF"/>
            <w:vAlign w:val="center"/>
          </w:tcPr>
          <w:p w14:paraId="60AB1B17">
            <w:pPr>
              <w:pStyle w:val="13"/>
              <w:widowControl/>
              <w:wordWrap/>
              <w:bidi w:val="0"/>
            </w:pPr>
            <w:r>
              <w:t>0.7500</w:t>
            </w:r>
          </w:p>
        </w:tc>
        <w:tc>
          <w:tcPr>
            <w:tcW w:w="409" w:type="pct"/>
            <w:tcBorders>
              <w:top w:val="nil"/>
              <w:left w:val="nil"/>
              <w:bottom w:val="nil"/>
              <w:right w:val="nil"/>
            </w:tcBorders>
            <w:shd w:val="clear" w:color="auto" w:fill="FFFFFF"/>
            <w:vAlign w:val="center"/>
          </w:tcPr>
          <w:p w14:paraId="5D97A0BB">
            <w:pPr>
              <w:pStyle w:val="13"/>
              <w:widowControl/>
              <w:wordWrap/>
              <w:bidi w:val="0"/>
            </w:pPr>
            <w:r>
              <w:t>0.9726</w:t>
            </w:r>
          </w:p>
        </w:tc>
        <w:tc>
          <w:tcPr>
            <w:tcW w:w="676" w:type="pct"/>
            <w:tcBorders>
              <w:top w:val="nil"/>
              <w:left w:val="nil"/>
              <w:bottom w:val="nil"/>
              <w:right w:val="nil"/>
            </w:tcBorders>
            <w:shd w:val="clear" w:color="auto" w:fill="FFFFFF"/>
            <w:vAlign w:val="center"/>
          </w:tcPr>
          <w:p w14:paraId="1086291F">
            <w:pPr>
              <w:pStyle w:val="13"/>
              <w:widowControl/>
              <w:wordWrap/>
              <w:bidi w:val="0"/>
            </w:pPr>
            <w:r>
              <w:rPr>
                <w:b w:val="0"/>
              </w:rPr>
              <w:t>缓存模型输出</w:t>
            </w:r>
          </w:p>
        </w:tc>
      </w:tr>
      <w:tr w14:paraId="62D5AE7F">
        <w:tblPrEx>
          <w:tblCellMar>
            <w:top w:w="0" w:type="dxa"/>
            <w:left w:w="108" w:type="dxa"/>
            <w:bottom w:w="0" w:type="dxa"/>
            <w:right w:w="108" w:type="dxa"/>
          </w:tblCellMar>
        </w:tblPrEx>
        <w:trPr>
          <w:cantSplit/>
          <w:jc w:val="center"/>
        </w:trPr>
        <w:tc>
          <w:tcPr>
            <w:tcW w:w="786" w:type="pct"/>
            <w:tcBorders>
              <w:top w:val="nil"/>
              <w:left w:val="nil"/>
              <w:bottom w:val="single" w:color="000000" w:sz="12" w:space="0"/>
              <w:right w:val="nil"/>
            </w:tcBorders>
            <w:shd w:val="clear" w:color="auto" w:fill="FFFFFF"/>
            <w:vAlign w:val="center"/>
          </w:tcPr>
          <w:p w14:paraId="4B8054DA">
            <w:pPr>
              <w:pStyle w:val="13"/>
              <w:widowControl/>
              <w:wordWrap/>
              <w:bidi w:val="0"/>
            </w:pPr>
            <w:r>
              <w:t>完整框架</w:t>
            </w:r>
          </w:p>
        </w:tc>
        <w:tc>
          <w:tcPr>
            <w:tcW w:w="603" w:type="pct"/>
            <w:tcBorders>
              <w:top w:val="nil"/>
              <w:left w:val="nil"/>
              <w:bottom w:val="single" w:color="000000" w:sz="12" w:space="0"/>
              <w:right w:val="nil"/>
            </w:tcBorders>
            <w:shd w:val="clear" w:color="auto" w:fill="FFFFFF"/>
            <w:vAlign w:val="center"/>
          </w:tcPr>
          <w:p w14:paraId="34E0B51E">
            <w:pPr>
              <w:pStyle w:val="13"/>
              <w:widowControl/>
              <w:wordWrap/>
              <w:bidi w:val="0"/>
            </w:pPr>
            <w:r>
              <w:t>1.0000</w:t>
            </w:r>
          </w:p>
        </w:tc>
        <w:tc>
          <w:tcPr>
            <w:tcW w:w="824" w:type="pct"/>
            <w:tcBorders>
              <w:top w:val="nil"/>
              <w:left w:val="nil"/>
              <w:bottom w:val="single" w:color="000000" w:sz="12" w:space="0"/>
              <w:right w:val="nil"/>
            </w:tcBorders>
            <w:shd w:val="clear" w:color="auto" w:fill="FFFFFF"/>
            <w:vAlign w:val="center"/>
          </w:tcPr>
          <w:p w14:paraId="27CC174F">
            <w:pPr>
              <w:pStyle w:val="13"/>
              <w:widowControl/>
              <w:wordWrap/>
              <w:bidi w:val="0"/>
            </w:pPr>
            <w:r>
              <w:t>0.8618</w:t>
            </w:r>
          </w:p>
        </w:tc>
        <w:tc>
          <w:tcPr>
            <w:tcW w:w="832" w:type="pct"/>
            <w:tcBorders>
              <w:top w:val="nil"/>
              <w:left w:val="nil"/>
              <w:bottom w:val="single" w:color="000000" w:sz="12" w:space="0"/>
              <w:right w:val="nil"/>
            </w:tcBorders>
            <w:shd w:val="clear" w:color="auto" w:fill="FFFFFF"/>
            <w:vAlign w:val="center"/>
          </w:tcPr>
          <w:p w14:paraId="27011F5B">
            <w:pPr>
              <w:pStyle w:val="13"/>
              <w:widowControl/>
              <w:wordWrap/>
              <w:bidi w:val="0"/>
            </w:pPr>
            <w:r>
              <w:t>0.1382</w:t>
            </w:r>
          </w:p>
        </w:tc>
        <w:tc>
          <w:tcPr>
            <w:tcW w:w="867" w:type="pct"/>
            <w:tcBorders>
              <w:top w:val="nil"/>
              <w:left w:val="nil"/>
              <w:bottom w:val="single" w:color="000000" w:sz="12" w:space="0"/>
              <w:right w:val="nil"/>
            </w:tcBorders>
            <w:shd w:val="clear" w:color="auto" w:fill="FFFFFF"/>
            <w:vAlign w:val="center"/>
          </w:tcPr>
          <w:p w14:paraId="4067228B">
            <w:pPr>
              <w:pStyle w:val="13"/>
              <w:widowControl/>
              <w:wordWrap/>
              <w:bidi w:val="0"/>
            </w:pPr>
            <w:r>
              <w:t>0.8355</w:t>
            </w:r>
          </w:p>
        </w:tc>
        <w:tc>
          <w:tcPr>
            <w:tcW w:w="409" w:type="pct"/>
            <w:tcBorders>
              <w:top w:val="nil"/>
              <w:left w:val="nil"/>
              <w:bottom w:val="single" w:color="000000" w:sz="12" w:space="0"/>
              <w:right w:val="nil"/>
            </w:tcBorders>
            <w:shd w:val="clear" w:color="auto" w:fill="FFFFFF"/>
            <w:vAlign w:val="center"/>
          </w:tcPr>
          <w:p w14:paraId="19279F31">
            <w:pPr>
              <w:pStyle w:val="13"/>
              <w:widowControl/>
              <w:wordWrap/>
              <w:bidi w:val="0"/>
            </w:pPr>
            <w:r>
              <w:t>0.8700</w:t>
            </w:r>
          </w:p>
        </w:tc>
        <w:tc>
          <w:tcPr>
            <w:tcW w:w="676" w:type="pct"/>
            <w:tcBorders>
              <w:top w:val="nil"/>
              <w:left w:val="nil"/>
              <w:bottom w:val="single" w:color="000000" w:sz="12" w:space="0"/>
              <w:right w:val="nil"/>
            </w:tcBorders>
            <w:shd w:val="clear" w:color="auto" w:fill="FFFFFF"/>
            <w:vAlign w:val="center"/>
          </w:tcPr>
          <w:p w14:paraId="6044DFA1">
            <w:pPr>
              <w:pStyle w:val="13"/>
              <w:widowControl/>
              <w:wordWrap/>
              <w:bidi w:val="0"/>
            </w:pPr>
            <w:r>
              <w:rPr>
                <w:b w:val="0"/>
              </w:rPr>
              <w:t>确定性回放</w:t>
            </w:r>
          </w:p>
        </w:tc>
      </w:tr>
    </w:tbl>
    <w:p w14:paraId="5BB7050E">
      <w:pPr>
        <w:pStyle w:val="3"/>
        <w:keepLines w:val="0"/>
        <w:widowControl/>
        <w:wordWrap/>
        <w:spacing w:before="0" w:after="0" w:line="360" w:lineRule="auto"/>
        <w:ind w:firstLine="420"/>
        <w:jc w:val="both"/>
        <w:rPr>
          <w:rFonts w:hint="eastAsia" w:ascii="Times New Roman" w:hAnsi="Times New Roman" w:eastAsia="宋体"/>
          <w:b w:val="0"/>
          <w:sz w:val="21"/>
        </w:rPr>
      </w:pPr>
      <w:r>
        <w:rPr>
          <w:rFonts w:hint="eastAsia" w:ascii="Times New Roman" w:hAnsi="Times New Roman" w:eastAsia="宋体"/>
          <w:b w:val="0"/>
          <w:sz w:val="21"/>
        </w:rPr>
        <w:t>表1按证据等级报告五种设置。实际运行的规则方法覆盖151/152条并正确132条；本地分类器覆盖全部152条并正确95条。基于缓存模型输出的规则—Qwen一致性选择覆盖116/152条，其中115条与集成参考标注一致，覆盖率为0.7632、接受样本一致率为0.9914、选择性风险为0.0086。冻结完整框架的确定性回放在核心集152条样本上均产生输出，其中131条与参考标注一致。核心集回放的1.0000覆盖率与全语料保留43,945条未决记录对应不同统计层级：前者衡量固定评价集上的流程输出，后者呈现全库风险路由结果。表1由此从通道诊断和风险—覆盖两个维度展示两级质量控制链的作用。</w:t>
      </w:r>
    </w:p>
    <w:p w14:paraId="263F4B1A">
      <w:pPr>
        <w:pStyle w:val="3"/>
        <w:keepLines w:val="0"/>
        <w:widowControl/>
        <w:wordWrap/>
        <w:spacing w:before="0" w:after="0" w:line="360" w:lineRule="auto"/>
        <w:ind w:firstLine="420"/>
        <w:jc w:val="both"/>
        <w:rPr>
          <w:rFonts w:hint="eastAsia" w:ascii="Times New Roman" w:hAnsi="Times New Roman" w:eastAsia="宋体"/>
          <w:b w:val="0"/>
          <w:sz w:val="21"/>
        </w:rPr>
      </w:pPr>
      <w:r>
        <w:t>图3基于冻结的集成参考标注评价集，比较分类器代理与完整框架回放在统一约束选择规则下的任务级风险—覆盖关系。事件角色和关系语义任务的完整框架回放在可达覆盖区间内保持较低风险，说明结构门与共享证据对高一致性任务具有稳定保护；实体类型、时间角色和空间角色在覆盖扩大后呈现更明显的风险上升，表明这些任务是跨文本实体判定和时空归属中的关键边界。本文据此不以单一全覆盖准确率替代任务级质量判断，而是通过选择性接受与后续结构准入把高风险样本转入可追溯的复核路径。图3不纳入时间归属对象和空间归属对象等经适用性审计排除的共享代理任务。</w:t>
      </w:r>
    </w:p>
    <w:p w14:paraId="11D0BAB6">
      <w:pPr>
        <w:pStyle w:val="3"/>
        <w:wordWrap/>
        <w:ind w:left="0" w:leftChars="0" w:firstLine="0" w:firstLineChars="0"/>
        <w:jc w:val="both"/>
      </w:pPr>
      <w:r>
        <w:drawing>
          <wp:inline distT="0" distB="0" distL="114300" distR="114300">
            <wp:extent cx="5831840" cy="3800475"/>
            <wp:effectExtent l="0" t="0" r="16510" b="9525"/>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10"/>
                    <a:stretch>
                      <a:fillRect/>
                    </a:stretch>
                  </pic:blipFill>
                  <pic:spPr>
                    <a:xfrm>
                      <a:off x="0" y="0"/>
                      <a:ext cx="5832000" cy="3800628"/>
                    </a:xfrm>
                    <a:prstGeom prst="rect">
                      <a:avLst/>
                    </a:prstGeom>
                    <a:noFill/>
                    <a:ln w="9525">
                      <a:noFill/>
                    </a:ln>
                  </pic:spPr>
                </pic:pic>
              </a:graphicData>
            </a:graphic>
          </wp:inline>
        </w:drawing>
      </w:r>
    </w:p>
    <w:p w14:paraId="2DB794E6">
      <w:pPr>
        <w:pStyle w:val="6"/>
        <w:widowControl/>
        <w:wordWrap/>
        <w:spacing w:before="40" w:after="40" w:line="240" w:lineRule="auto"/>
        <w:ind w:left="0" w:leftChars="0" w:firstLine="0" w:firstLineChars="0"/>
        <w:jc w:val="center"/>
        <w:rPr>
          <w:rFonts w:hint="eastAsia" w:eastAsia="宋体"/>
          <w:lang w:eastAsia="zh-CN"/>
        </w:rPr>
      </w:pPr>
      <w:r>
        <w:rPr>
          <w:sz w:val="17"/>
        </w:rPr>
        <w:t>图 3 约束选择推断的任务级风险—覆盖曲线；English: Figure 3 Task-level risk–coverage curves for constrained selective inference</w:t>
      </w:r>
    </w:p>
    <w:p w14:paraId="329673AC">
      <w:pPr>
        <w:pStyle w:val="3"/>
        <w:widowControl/>
        <w:wordWrap/>
        <w:jc w:val="both"/>
      </w:pPr>
      <w:r>
        <w:rPr>
          <w:rFonts w:hint="eastAsia"/>
        </w:rPr>
        <w:t>选择性组件消融用于检验类别门禁、独立信号一致和显式弃权对自动接受边界的作用</w:t>
      </w:r>
      <w:r>
        <w:rPr>
          <w:rFonts w:hint="eastAsia"/>
          <w:lang w:eastAsia="zh-CN"/>
        </w:rPr>
        <w:t>，</w:t>
      </w:r>
      <w:r>
        <w:rPr>
          <w:rFonts w:hint="eastAsia"/>
          <w:lang w:val="en-US" w:eastAsia="zh-CN"/>
        </w:rPr>
        <w:t>如表2</w:t>
      </w:r>
      <w:r>
        <w:rPr>
          <w:rFonts w:hint="eastAsia"/>
        </w:rPr>
        <w:t>。</w:t>
      </w:r>
    </w:p>
    <w:p w14:paraId="5A8FC83A">
      <w:pPr>
        <w:pStyle w:val="6"/>
        <w:keepNext/>
        <w:keepLines/>
        <w:widowControl/>
        <w:wordWrap/>
        <w:spacing w:before="40" w:after="40" w:line="240" w:lineRule="auto"/>
        <w:rPr>
          <w:rFonts w:hint="eastAsia" w:eastAsia="宋体"/>
          <w:lang w:eastAsia="zh-CN"/>
        </w:rPr>
      </w:pPr>
      <w:r>
        <w:rPr>
          <w:sz w:val="17"/>
        </w:rPr>
        <w:t>表 2 实体分类器选择性组件消融（n=203）；English: Table 2 Selective component ablation of the entity classifier (n=203)</w:t>
      </w:r>
    </w:p>
    <w:tbl>
      <w:tblPr>
        <w:tblStyle w:val="23"/>
        <w:tblW w:w="5000" w:type="pct"/>
        <w:jc w:val="center"/>
        <w:tblLayout w:type="autofit"/>
        <w:tblCellMar>
          <w:top w:w="0" w:type="dxa"/>
          <w:left w:w="108" w:type="dxa"/>
          <w:bottom w:w="0" w:type="dxa"/>
          <w:right w:w="108" w:type="dxa"/>
        </w:tblCellMar>
      </w:tblPr>
      <w:tblGrid>
        <w:gridCol w:w="1915"/>
        <w:gridCol w:w="1063"/>
        <w:gridCol w:w="1864"/>
        <w:gridCol w:w="1455"/>
        <w:gridCol w:w="1683"/>
        <w:gridCol w:w="1478"/>
      </w:tblGrid>
      <w:tr w14:paraId="16C2D866">
        <w:tblPrEx>
          <w:tblCellMar>
            <w:top w:w="0" w:type="dxa"/>
            <w:left w:w="108" w:type="dxa"/>
            <w:bottom w:w="0" w:type="dxa"/>
            <w:right w:w="108" w:type="dxa"/>
          </w:tblCellMar>
        </w:tblPrEx>
        <w:trPr>
          <w:cantSplit/>
          <w:tblHeader/>
          <w:jc w:val="center"/>
        </w:trPr>
        <w:tc>
          <w:tcPr>
            <w:tcW w:w="1915" w:type="dxa"/>
            <w:tcBorders>
              <w:top w:val="single" w:color="000000" w:sz="12" w:space="0"/>
              <w:left w:val="nil"/>
              <w:bottom w:val="single" w:color="000000" w:sz="4" w:space="0"/>
              <w:right w:val="nil"/>
              <w:tl2br w:val="nil"/>
            </w:tcBorders>
            <w:shd w:val="clear" w:color="auto" w:fill="FFFFFF"/>
            <w:vAlign w:val="center"/>
          </w:tcPr>
          <w:p w14:paraId="5C42BCF2">
            <w:pPr>
              <w:pStyle w:val="13"/>
              <w:widowControl/>
              <w:wordWrap/>
              <w:bidi w:val="0"/>
              <w:rPr>
                <w:b w:val="0"/>
                <w:color w:val="000000"/>
              </w:rPr>
            </w:pPr>
            <w:r>
              <w:rPr>
                <w:b w:val="0"/>
                <w:color w:val="000000"/>
              </w:rPr>
              <w:t>变体</w:t>
            </w:r>
          </w:p>
        </w:tc>
        <w:tc>
          <w:tcPr>
            <w:tcW w:w="1063" w:type="dxa"/>
            <w:tcBorders>
              <w:top w:val="single" w:color="000000" w:sz="12" w:space="0"/>
              <w:left w:val="nil"/>
              <w:bottom w:val="single" w:color="000000" w:sz="4" w:space="0"/>
              <w:right w:val="nil"/>
            </w:tcBorders>
            <w:shd w:val="clear" w:color="auto" w:fill="FFFFFF"/>
            <w:vAlign w:val="center"/>
          </w:tcPr>
          <w:p w14:paraId="2A2D7D28">
            <w:pPr>
              <w:pStyle w:val="13"/>
              <w:widowControl/>
              <w:wordWrap/>
              <w:bidi w:val="0"/>
              <w:rPr>
                <w:b w:val="0"/>
                <w:color w:val="000000"/>
              </w:rPr>
            </w:pPr>
            <w:r>
              <w:rPr>
                <w:b w:val="0"/>
                <w:color w:val="000000"/>
              </w:rPr>
              <w:t>覆盖率</w:t>
            </w:r>
          </w:p>
        </w:tc>
        <w:tc>
          <w:tcPr>
            <w:tcW w:w="1864" w:type="dxa"/>
            <w:tcBorders>
              <w:top w:val="single" w:color="000000" w:sz="12" w:space="0"/>
              <w:left w:val="nil"/>
              <w:bottom w:val="single" w:color="000000" w:sz="4" w:space="0"/>
              <w:right w:val="nil"/>
            </w:tcBorders>
            <w:shd w:val="clear" w:color="auto" w:fill="FFFFFF"/>
            <w:vAlign w:val="center"/>
          </w:tcPr>
          <w:p w14:paraId="4DAB70CF">
            <w:pPr>
              <w:pStyle w:val="13"/>
              <w:widowControl/>
              <w:wordWrap/>
              <w:bidi w:val="0"/>
              <w:rPr>
                <w:b w:val="0"/>
                <w:color w:val="000000"/>
              </w:rPr>
            </w:pPr>
            <w:r>
              <w:rPr>
                <w:b w:val="0"/>
                <w:color w:val="000000"/>
              </w:rPr>
              <w:t>接受样本一致率</w:t>
            </w:r>
          </w:p>
        </w:tc>
        <w:tc>
          <w:tcPr>
            <w:tcW w:w="1455" w:type="dxa"/>
            <w:tcBorders>
              <w:top w:val="single" w:color="000000" w:sz="12" w:space="0"/>
              <w:left w:val="nil"/>
              <w:bottom w:val="single" w:color="000000" w:sz="4" w:space="0"/>
              <w:right w:val="nil"/>
            </w:tcBorders>
            <w:shd w:val="clear" w:color="auto" w:fill="FFFFFF"/>
            <w:vAlign w:val="center"/>
          </w:tcPr>
          <w:p w14:paraId="3F77B81B">
            <w:pPr>
              <w:pStyle w:val="13"/>
              <w:widowControl/>
              <w:wordWrap/>
              <w:bidi w:val="0"/>
              <w:rPr>
                <w:b w:val="0"/>
                <w:color w:val="000000"/>
              </w:rPr>
            </w:pPr>
            <w:r>
              <w:rPr>
                <w:b w:val="0"/>
                <w:color w:val="000000"/>
              </w:rPr>
              <w:t>选择性风险</w:t>
            </w:r>
          </w:p>
        </w:tc>
        <w:tc>
          <w:tcPr>
            <w:tcW w:w="1683" w:type="dxa"/>
            <w:tcBorders>
              <w:top w:val="single" w:color="000000" w:sz="12" w:space="0"/>
              <w:left w:val="nil"/>
              <w:bottom w:val="single" w:color="000000" w:sz="4" w:space="0"/>
              <w:right w:val="nil"/>
            </w:tcBorders>
            <w:shd w:val="clear" w:color="auto" w:fill="FFFFFF"/>
            <w:vAlign w:val="center"/>
          </w:tcPr>
          <w:p w14:paraId="52B18D63">
            <w:pPr>
              <w:pStyle w:val="13"/>
              <w:widowControl/>
              <w:wordWrap/>
              <w:bidi w:val="0"/>
              <w:rPr>
                <w:b w:val="0"/>
                <w:color w:val="000000"/>
              </w:rPr>
            </w:pPr>
            <w:r>
              <w:rPr>
                <w:b w:val="0"/>
                <w:color w:val="000000"/>
              </w:rPr>
              <w:t>错误暴露率</w:t>
            </w:r>
          </w:p>
        </w:tc>
        <w:tc>
          <w:tcPr>
            <w:tcW w:w="1478" w:type="dxa"/>
            <w:tcBorders>
              <w:top w:val="single" w:color="000000" w:sz="12" w:space="0"/>
              <w:left w:val="nil"/>
              <w:bottom w:val="single" w:color="000000" w:sz="4" w:space="0"/>
              <w:right w:val="nil"/>
            </w:tcBorders>
            <w:shd w:val="clear" w:color="auto" w:fill="FFFFFF"/>
            <w:vAlign w:val="center"/>
          </w:tcPr>
          <w:p w14:paraId="78F8B7B2">
            <w:pPr>
              <w:pStyle w:val="13"/>
              <w:widowControl/>
              <w:wordWrap/>
              <w:bidi w:val="0"/>
              <w:rPr>
                <w:b w:val="0"/>
                <w:color w:val="000000"/>
              </w:rPr>
            </w:pPr>
            <w:r>
              <w:rPr>
                <w:b w:val="0"/>
                <w:color w:val="000000"/>
              </w:rPr>
              <w:t>安全覆盖率</w:t>
            </w:r>
          </w:p>
        </w:tc>
      </w:tr>
      <w:tr w14:paraId="09434593">
        <w:tblPrEx>
          <w:tblCellMar>
            <w:top w:w="0" w:type="dxa"/>
            <w:left w:w="108" w:type="dxa"/>
            <w:bottom w:w="0" w:type="dxa"/>
            <w:right w:w="108" w:type="dxa"/>
          </w:tblCellMar>
        </w:tblPrEx>
        <w:trPr>
          <w:cantSplit/>
          <w:jc w:val="center"/>
        </w:trPr>
        <w:tc>
          <w:tcPr>
            <w:tcW w:w="1915" w:type="dxa"/>
            <w:tcBorders>
              <w:top w:val="single" w:color="000000" w:sz="4" w:space="0"/>
              <w:left w:val="nil"/>
              <w:bottom w:val="nil"/>
              <w:right w:val="nil"/>
            </w:tcBorders>
            <w:shd w:val="clear" w:color="auto" w:fill="FFFFFF"/>
            <w:vAlign w:val="center"/>
          </w:tcPr>
          <w:p w14:paraId="34F4139B">
            <w:pPr>
              <w:pStyle w:val="13"/>
              <w:widowControl/>
              <w:wordWrap/>
              <w:bidi w:val="0"/>
              <w:rPr>
                <w:b w:val="0"/>
                <w:color w:val="000000"/>
              </w:rPr>
            </w:pPr>
            <w:r>
              <w:rPr>
                <w:b w:val="0"/>
                <w:color w:val="000000"/>
              </w:rPr>
              <w:t>完整选择性分类器</w:t>
            </w:r>
          </w:p>
        </w:tc>
        <w:tc>
          <w:tcPr>
            <w:tcW w:w="1063" w:type="dxa"/>
            <w:tcBorders>
              <w:top w:val="single" w:color="000000" w:sz="4" w:space="0"/>
              <w:left w:val="nil"/>
              <w:bottom w:val="nil"/>
              <w:right w:val="nil"/>
            </w:tcBorders>
            <w:shd w:val="clear" w:color="auto" w:fill="FFFFFF"/>
            <w:vAlign w:val="center"/>
          </w:tcPr>
          <w:p w14:paraId="42AD4B6B">
            <w:pPr>
              <w:pStyle w:val="13"/>
              <w:widowControl/>
              <w:wordWrap/>
              <w:bidi w:val="0"/>
              <w:rPr>
                <w:b w:val="0"/>
                <w:color w:val="000000"/>
              </w:rPr>
            </w:pPr>
            <w:r>
              <w:rPr>
                <w:b w:val="0"/>
                <w:color w:val="000000"/>
              </w:rPr>
              <w:t>0.3547</w:t>
            </w:r>
          </w:p>
        </w:tc>
        <w:tc>
          <w:tcPr>
            <w:tcW w:w="1864" w:type="dxa"/>
            <w:tcBorders>
              <w:top w:val="single" w:color="000000" w:sz="4" w:space="0"/>
              <w:left w:val="nil"/>
              <w:bottom w:val="nil"/>
              <w:right w:val="nil"/>
            </w:tcBorders>
            <w:shd w:val="clear" w:color="auto" w:fill="FFFFFF"/>
            <w:vAlign w:val="center"/>
          </w:tcPr>
          <w:p w14:paraId="67C8ACCB">
            <w:pPr>
              <w:pStyle w:val="13"/>
              <w:widowControl/>
              <w:wordWrap/>
              <w:bidi w:val="0"/>
              <w:rPr>
                <w:b w:val="0"/>
                <w:color w:val="000000"/>
              </w:rPr>
            </w:pPr>
            <w:r>
              <w:rPr>
                <w:b w:val="0"/>
                <w:color w:val="000000"/>
              </w:rPr>
              <w:t>0.9444</w:t>
            </w:r>
          </w:p>
        </w:tc>
        <w:tc>
          <w:tcPr>
            <w:tcW w:w="1455" w:type="dxa"/>
            <w:tcBorders>
              <w:top w:val="single" w:color="000000" w:sz="4" w:space="0"/>
              <w:left w:val="nil"/>
              <w:bottom w:val="nil"/>
              <w:right w:val="nil"/>
            </w:tcBorders>
            <w:shd w:val="clear" w:color="auto" w:fill="FFFFFF"/>
            <w:vAlign w:val="center"/>
          </w:tcPr>
          <w:p w14:paraId="1C68A38C">
            <w:pPr>
              <w:pStyle w:val="13"/>
              <w:widowControl/>
              <w:wordWrap/>
              <w:bidi w:val="0"/>
              <w:rPr>
                <w:b w:val="0"/>
                <w:color w:val="000000"/>
              </w:rPr>
            </w:pPr>
            <w:r>
              <w:rPr>
                <w:b w:val="0"/>
                <w:color w:val="000000"/>
              </w:rPr>
              <w:t>0.0556</w:t>
            </w:r>
          </w:p>
        </w:tc>
        <w:tc>
          <w:tcPr>
            <w:tcW w:w="1683" w:type="dxa"/>
            <w:tcBorders>
              <w:top w:val="single" w:color="000000" w:sz="4" w:space="0"/>
              <w:left w:val="nil"/>
              <w:bottom w:val="nil"/>
              <w:right w:val="nil"/>
            </w:tcBorders>
            <w:shd w:val="clear" w:color="auto" w:fill="FFFFFF"/>
            <w:vAlign w:val="center"/>
          </w:tcPr>
          <w:p w14:paraId="0E18FC20">
            <w:pPr>
              <w:pStyle w:val="13"/>
              <w:widowControl/>
              <w:wordWrap/>
              <w:bidi w:val="0"/>
              <w:rPr>
                <w:b w:val="0"/>
                <w:color w:val="000000"/>
              </w:rPr>
            </w:pPr>
            <w:r>
              <w:rPr>
                <w:b w:val="0"/>
                <w:color w:val="000000"/>
              </w:rPr>
              <w:t>0.0197</w:t>
            </w:r>
          </w:p>
        </w:tc>
        <w:tc>
          <w:tcPr>
            <w:tcW w:w="1478" w:type="dxa"/>
            <w:tcBorders>
              <w:top w:val="single" w:color="000000" w:sz="4" w:space="0"/>
              <w:left w:val="nil"/>
              <w:bottom w:val="nil"/>
              <w:right w:val="nil"/>
            </w:tcBorders>
            <w:shd w:val="clear" w:color="auto" w:fill="FFFFFF"/>
            <w:vAlign w:val="center"/>
          </w:tcPr>
          <w:p w14:paraId="330B2EC7">
            <w:pPr>
              <w:pStyle w:val="13"/>
              <w:widowControl/>
              <w:wordWrap/>
              <w:bidi w:val="0"/>
              <w:rPr>
                <w:b w:val="0"/>
                <w:color w:val="000000"/>
              </w:rPr>
            </w:pPr>
            <w:r>
              <w:rPr>
                <w:b w:val="0"/>
                <w:color w:val="000000"/>
              </w:rPr>
              <w:t>0.3350</w:t>
            </w:r>
          </w:p>
        </w:tc>
      </w:tr>
      <w:tr w14:paraId="36813A87">
        <w:tblPrEx>
          <w:tblCellMar>
            <w:top w:w="0" w:type="dxa"/>
            <w:left w:w="108" w:type="dxa"/>
            <w:bottom w:w="0" w:type="dxa"/>
            <w:right w:w="108" w:type="dxa"/>
          </w:tblCellMar>
        </w:tblPrEx>
        <w:trPr>
          <w:cantSplit/>
          <w:jc w:val="center"/>
        </w:trPr>
        <w:tc>
          <w:tcPr>
            <w:tcW w:w="1915" w:type="dxa"/>
            <w:tcBorders>
              <w:top w:val="nil"/>
              <w:left w:val="nil"/>
              <w:bottom w:val="nil"/>
              <w:right w:val="nil"/>
            </w:tcBorders>
            <w:shd w:val="clear" w:color="auto" w:fill="FFFFFF"/>
            <w:vAlign w:val="center"/>
          </w:tcPr>
          <w:p w14:paraId="0D5E6AF8">
            <w:pPr>
              <w:pStyle w:val="13"/>
              <w:widowControl/>
              <w:wordWrap/>
              <w:bidi w:val="0"/>
              <w:rPr>
                <w:b w:val="0"/>
                <w:color w:val="000000"/>
              </w:rPr>
            </w:pPr>
            <w:r>
              <w:rPr>
                <w:b w:val="0"/>
                <w:color w:val="000000"/>
              </w:rPr>
              <w:t>去类别门禁</w:t>
            </w:r>
          </w:p>
        </w:tc>
        <w:tc>
          <w:tcPr>
            <w:tcW w:w="1063" w:type="dxa"/>
            <w:tcBorders>
              <w:top w:val="nil"/>
              <w:left w:val="nil"/>
              <w:bottom w:val="nil"/>
              <w:right w:val="nil"/>
            </w:tcBorders>
            <w:shd w:val="clear" w:color="auto" w:fill="FFFFFF"/>
            <w:vAlign w:val="center"/>
          </w:tcPr>
          <w:p w14:paraId="73B86034">
            <w:pPr>
              <w:pStyle w:val="13"/>
              <w:widowControl/>
              <w:wordWrap/>
              <w:bidi w:val="0"/>
              <w:rPr>
                <w:b w:val="0"/>
                <w:color w:val="000000"/>
              </w:rPr>
            </w:pPr>
            <w:r>
              <w:rPr>
                <w:b w:val="0"/>
                <w:color w:val="000000"/>
              </w:rPr>
              <w:t>0.3596</w:t>
            </w:r>
          </w:p>
        </w:tc>
        <w:tc>
          <w:tcPr>
            <w:tcW w:w="1864" w:type="dxa"/>
            <w:tcBorders>
              <w:top w:val="nil"/>
              <w:left w:val="nil"/>
              <w:bottom w:val="nil"/>
              <w:right w:val="nil"/>
            </w:tcBorders>
            <w:shd w:val="clear" w:color="auto" w:fill="FFFFFF"/>
            <w:vAlign w:val="center"/>
          </w:tcPr>
          <w:p w14:paraId="7C5239AB">
            <w:pPr>
              <w:pStyle w:val="13"/>
              <w:widowControl/>
              <w:wordWrap/>
              <w:bidi w:val="0"/>
              <w:rPr>
                <w:b w:val="0"/>
                <w:color w:val="000000"/>
              </w:rPr>
            </w:pPr>
            <w:r>
              <w:rPr>
                <w:b w:val="0"/>
                <w:color w:val="000000"/>
              </w:rPr>
              <w:t>0.9452</w:t>
            </w:r>
          </w:p>
        </w:tc>
        <w:tc>
          <w:tcPr>
            <w:tcW w:w="1455" w:type="dxa"/>
            <w:tcBorders>
              <w:top w:val="nil"/>
              <w:left w:val="nil"/>
              <w:bottom w:val="nil"/>
              <w:right w:val="nil"/>
            </w:tcBorders>
            <w:shd w:val="clear" w:color="auto" w:fill="FFFFFF"/>
            <w:vAlign w:val="center"/>
          </w:tcPr>
          <w:p w14:paraId="2862F148">
            <w:pPr>
              <w:pStyle w:val="13"/>
              <w:widowControl/>
              <w:wordWrap/>
              <w:bidi w:val="0"/>
              <w:rPr>
                <w:b w:val="0"/>
                <w:color w:val="000000"/>
              </w:rPr>
            </w:pPr>
            <w:r>
              <w:rPr>
                <w:b w:val="0"/>
                <w:color w:val="000000"/>
              </w:rPr>
              <w:t>0.0548</w:t>
            </w:r>
          </w:p>
        </w:tc>
        <w:tc>
          <w:tcPr>
            <w:tcW w:w="1683" w:type="dxa"/>
            <w:tcBorders>
              <w:top w:val="nil"/>
              <w:left w:val="nil"/>
              <w:bottom w:val="nil"/>
              <w:right w:val="nil"/>
            </w:tcBorders>
            <w:shd w:val="clear" w:color="auto" w:fill="FFFFFF"/>
            <w:vAlign w:val="center"/>
          </w:tcPr>
          <w:p w14:paraId="53AE4D0C">
            <w:pPr>
              <w:pStyle w:val="13"/>
              <w:widowControl/>
              <w:wordWrap/>
              <w:bidi w:val="0"/>
              <w:rPr>
                <w:b w:val="0"/>
                <w:color w:val="000000"/>
              </w:rPr>
            </w:pPr>
            <w:r>
              <w:rPr>
                <w:b w:val="0"/>
                <w:color w:val="000000"/>
              </w:rPr>
              <w:t>0.0197</w:t>
            </w:r>
          </w:p>
        </w:tc>
        <w:tc>
          <w:tcPr>
            <w:tcW w:w="1478" w:type="dxa"/>
            <w:tcBorders>
              <w:top w:val="nil"/>
              <w:left w:val="nil"/>
              <w:bottom w:val="nil"/>
              <w:right w:val="nil"/>
            </w:tcBorders>
            <w:shd w:val="clear" w:color="auto" w:fill="FFFFFF"/>
            <w:vAlign w:val="center"/>
          </w:tcPr>
          <w:p w14:paraId="42B28A55">
            <w:pPr>
              <w:pStyle w:val="13"/>
              <w:widowControl/>
              <w:wordWrap/>
              <w:bidi w:val="0"/>
              <w:rPr>
                <w:b w:val="0"/>
                <w:color w:val="000000"/>
              </w:rPr>
            </w:pPr>
            <w:r>
              <w:rPr>
                <w:b w:val="0"/>
                <w:color w:val="000000"/>
              </w:rPr>
              <w:t>0.3399</w:t>
            </w:r>
          </w:p>
        </w:tc>
      </w:tr>
      <w:tr w14:paraId="3F2B76A7">
        <w:tblPrEx>
          <w:tblCellMar>
            <w:top w:w="0" w:type="dxa"/>
            <w:left w:w="108" w:type="dxa"/>
            <w:bottom w:w="0" w:type="dxa"/>
            <w:right w:w="108" w:type="dxa"/>
          </w:tblCellMar>
        </w:tblPrEx>
        <w:trPr>
          <w:cantSplit/>
          <w:jc w:val="center"/>
        </w:trPr>
        <w:tc>
          <w:tcPr>
            <w:tcW w:w="1915" w:type="dxa"/>
            <w:tcBorders>
              <w:top w:val="nil"/>
              <w:left w:val="nil"/>
              <w:bottom w:val="nil"/>
              <w:right w:val="nil"/>
            </w:tcBorders>
            <w:shd w:val="clear" w:color="auto" w:fill="FFFFFF"/>
            <w:vAlign w:val="center"/>
          </w:tcPr>
          <w:p w14:paraId="4375136C">
            <w:pPr>
              <w:pStyle w:val="13"/>
              <w:widowControl/>
              <w:wordWrap/>
              <w:bidi w:val="0"/>
              <w:rPr>
                <w:b w:val="0"/>
                <w:color w:val="000000"/>
              </w:rPr>
            </w:pPr>
            <w:r>
              <w:rPr>
                <w:b w:val="0"/>
                <w:color w:val="000000"/>
              </w:rPr>
              <w:t>去独立信号一致</w:t>
            </w:r>
          </w:p>
        </w:tc>
        <w:tc>
          <w:tcPr>
            <w:tcW w:w="1063" w:type="dxa"/>
            <w:tcBorders>
              <w:top w:val="nil"/>
              <w:left w:val="nil"/>
              <w:bottom w:val="nil"/>
              <w:right w:val="nil"/>
            </w:tcBorders>
            <w:shd w:val="clear" w:color="auto" w:fill="FFFFFF"/>
            <w:vAlign w:val="center"/>
          </w:tcPr>
          <w:p w14:paraId="250354B6">
            <w:pPr>
              <w:pStyle w:val="13"/>
              <w:widowControl/>
              <w:wordWrap/>
              <w:bidi w:val="0"/>
              <w:rPr>
                <w:b w:val="0"/>
                <w:color w:val="000000"/>
              </w:rPr>
            </w:pPr>
            <w:r>
              <w:rPr>
                <w:b w:val="0"/>
                <w:color w:val="000000"/>
              </w:rPr>
              <w:t>0.6502</w:t>
            </w:r>
          </w:p>
        </w:tc>
        <w:tc>
          <w:tcPr>
            <w:tcW w:w="1864" w:type="dxa"/>
            <w:tcBorders>
              <w:top w:val="nil"/>
              <w:left w:val="nil"/>
              <w:bottom w:val="nil"/>
              <w:right w:val="nil"/>
            </w:tcBorders>
            <w:shd w:val="clear" w:color="auto" w:fill="FFFFFF"/>
            <w:vAlign w:val="center"/>
          </w:tcPr>
          <w:p w14:paraId="0F896954">
            <w:pPr>
              <w:pStyle w:val="13"/>
              <w:widowControl/>
              <w:wordWrap/>
              <w:bidi w:val="0"/>
              <w:rPr>
                <w:b w:val="0"/>
                <w:color w:val="000000"/>
              </w:rPr>
            </w:pPr>
            <w:r>
              <w:rPr>
                <w:b w:val="0"/>
                <w:color w:val="000000"/>
              </w:rPr>
              <w:t>0.9167</w:t>
            </w:r>
          </w:p>
        </w:tc>
        <w:tc>
          <w:tcPr>
            <w:tcW w:w="1455" w:type="dxa"/>
            <w:tcBorders>
              <w:top w:val="nil"/>
              <w:left w:val="nil"/>
              <w:bottom w:val="nil"/>
              <w:right w:val="nil"/>
            </w:tcBorders>
            <w:shd w:val="clear" w:color="auto" w:fill="FFFFFF"/>
            <w:vAlign w:val="center"/>
          </w:tcPr>
          <w:p w14:paraId="7EA5FE93">
            <w:pPr>
              <w:pStyle w:val="13"/>
              <w:widowControl/>
              <w:wordWrap/>
              <w:bidi w:val="0"/>
              <w:rPr>
                <w:b w:val="0"/>
                <w:color w:val="000000"/>
              </w:rPr>
            </w:pPr>
            <w:r>
              <w:rPr>
                <w:b w:val="0"/>
                <w:color w:val="000000"/>
              </w:rPr>
              <w:t>0.0833</w:t>
            </w:r>
          </w:p>
        </w:tc>
        <w:tc>
          <w:tcPr>
            <w:tcW w:w="1683" w:type="dxa"/>
            <w:tcBorders>
              <w:top w:val="nil"/>
              <w:left w:val="nil"/>
              <w:bottom w:val="nil"/>
              <w:right w:val="nil"/>
            </w:tcBorders>
            <w:shd w:val="clear" w:color="auto" w:fill="FFFFFF"/>
            <w:vAlign w:val="center"/>
          </w:tcPr>
          <w:p w14:paraId="6445DF70">
            <w:pPr>
              <w:pStyle w:val="13"/>
              <w:widowControl/>
              <w:wordWrap/>
              <w:bidi w:val="0"/>
              <w:rPr>
                <w:b w:val="0"/>
                <w:color w:val="000000"/>
              </w:rPr>
            </w:pPr>
            <w:r>
              <w:rPr>
                <w:b w:val="0"/>
                <w:color w:val="000000"/>
              </w:rPr>
              <w:t>0.0542</w:t>
            </w:r>
          </w:p>
        </w:tc>
        <w:tc>
          <w:tcPr>
            <w:tcW w:w="1478" w:type="dxa"/>
            <w:tcBorders>
              <w:top w:val="nil"/>
              <w:left w:val="nil"/>
              <w:bottom w:val="nil"/>
              <w:right w:val="nil"/>
            </w:tcBorders>
            <w:shd w:val="clear" w:color="auto" w:fill="FFFFFF"/>
            <w:vAlign w:val="center"/>
          </w:tcPr>
          <w:p w14:paraId="09AAAA8F">
            <w:pPr>
              <w:pStyle w:val="13"/>
              <w:widowControl/>
              <w:wordWrap/>
              <w:bidi w:val="0"/>
              <w:rPr>
                <w:b w:val="0"/>
                <w:color w:val="000000"/>
              </w:rPr>
            </w:pPr>
            <w:r>
              <w:rPr>
                <w:b w:val="0"/>
                <w:color w:val="000000"/>
              </w:rPr>
              <w:t>0.5961</w:t>
            </w:r>
          </w:p>
        </w:tc>
      </w:tr>
      <w:tr w14:paraId="0B27F30A">
        <w:tblPrEx>
          <w:tblCellMar>
            <w:top w:w="0" w:type="dxa"/>
            <w:left w:w="108" w:type="dxa"/>
            <w:bottom w:w="0" w:type="dxa"/>
            <w:right w:w="108" w:type="dxa"/>
          </w:tblCellMar>
        </w:tblPrEx>
        <w:trPr>
          <w:cantSplit/>
          <w:jc w:val="center"/>
        </w:trPr>
        <w:tc>
          <w:tcPr>
            <w:tcW w:w="1915" w:type="dxa"/>
            <w:tcBorders>
              <w:top w:val="nil"/>
              <w:left w:val="nil"/>
              <w:bottom w:val="single" w:color="000000" w:sz="12" w:space="0"/>
              <w:right w:val="nil"/>
            </w:tcBorders>
            <w:shd w:val="clear" w:color="auto" w:fill="FFFFFF"/>
            <w:vAlign w:val="center"/>
          </w:tcPr>
          <w:p w14:paraId="0C8A4793">
            <w:pPr>
              <w:pStyle w:val="13"/>
              <w:widowControl/>
              <w:wordWrap/>
              <w:bidi w:val="0"/>
              <w:rPr>
                <w:b w:val="0"/>
                <w:color w:val="000000"/>
              </w:rPr>
            </w:pPr>
            <w:r>
              <w:rPr>
                <w:b w:val="0"/>
                <w:color w:val="000000"/>
              </w:rPr>
              <w:t>去弃权</w:t>
            </w:r>
          </w:p>
        </w:tc>
        <w:tc>
          <w:tcPr>
            <w:tcW w:w="1063" w:type="dxa"/>
            <w:tcBorders>
              <w:top w:val="nil"/>
              <w:left w:val="nil"/>
              <w:bottom w:val="single" w:color="000000" w:sz="12" w:space="0"/>
              <w:right w:val="nil"/>
            </w:tcBorders>
            <w:shd w:val="clear" w:color="auto" w:fill="FFFFFF"/>
            <w:vAlign w:val="center"/>
          </w:tcPr>
          <w:p w14:paraId="1C28D4CC">
            <w:pPr>
              <w:pStyle w:val="13"/>
              <w:widowControl/>
              <w:wordWrap/>
              <w:bidi w:val="0"/>
              <w:rPr>
                <w:b w:val="0"/>
                <w:color w:val="000000"/>
              </w:rPr>
            </w:pPr>
            <w:r>
              <w:rPr>
                <w:b w:val="0"/>
                <w:color w:val="000000"/>
              </w:rPr>
              <w:t>1.0000</w:t>
            </w:r>
          </w:p>
        </w:tc>
        <w:tc>
          <w:tcPr>
            <w:tcW w:w="1864" w:type="dxa"/>
            <w:tcBorders>
              <w:top w:val="nil"/>
              <w:left w:val="nil"/>
              <w:bottom w:val="single" w:color="000000" w:sz="12" w:space="0"/>
              <w:right w:val="nil"/>
            </w:tcBorders>
            <w:shd w:val="clear" w:color="auto" w:fill="FFFFFF"/>
            <w:vAlign w:val="center"/>
          </w:tcPr>
          <w:p w14:paraId="4A53C85A">
            <w:pPr>
              <w:pStyle w:val="13"/>
              <w:widowControl/>
              <w:wordWrap/>
              <w:bidi w:val="0"/>
              <w:rPr>
                <w:b w:val="0"/>
                <w:color w:val="000000"/>
              </w:rPr>
            </w:pPr>
            <w:r>
              <w:rPr>
                <w:b w:val="0"/>
                <w:color w:val="000000"/>
              </w:rPr>
              <w:t>0.8818</w:t>
            </w:r>
          </w:p>
        </w:tc>
        <w:tc>
          <w:tcPr>
            <w:tcW w:w="1455" w:type="dxa"/>
            <w:tcBorders>
              <w:top w:val="nil"/>
              <w:left w:val="nil"/>
              <w:bottom w:val="single" w:color="000000" w:sz="12" w:space="0"/>
              <w:right w:val="nil"/>
            </w:tcBorders>
            <w:shd w:val="clear" w:color="auto" w:fill="FFFFFF"/>
            <w:vAlign w:val="center"/>
          </w:tcPr>
          <w:p w14:paraId="44ECCD3D">
            <w:pPr>
              <w:pStyle w:val="13"/>
              <w:widowControl/>
              <w:wordWrap/>
              <w:bidi w:val="0"/>
              <w:rPr>
                <w:b w:val="0"/>
                <w:color w:val="000000"/>
              </w:rPr>
            </w:pPr>
            <w:r>
              <w:rPr>
                <w:b w:val="0"/>
                <w:color w:val="000000"/>
              </w:rPr>
              <w:t>0.1182</w:t>
            </w:r>
          </w:p>
        </w:tc>
        <w:tc>
          <w:tcPr>
            <w:tcW w:w="1683" w:type="dxa"/>
            <w:tcBorders>
              <w:top w:val="nil"/>
              <w:left w:val="nil"/>
              <w:bottom w:val="single" w:color="000000" w:sz="12" w:space="0"/>
              <w:right w:val="nil"/>
            </w:tcBorders>
            <w:shd w:val="clear" w:color="auto" w:fill="FFFFFF"/>
            <w:vAlign w:val="center"/>
          </w:tcPr>
          <w:p w14:paraId="5E5D7F3D">
            <w:pPr>
              <w:pStyle w:val="13"/>
              <w:widowControl/>
              <w:wordWrap/>
              <w:bidi w:val="0"/>
              <w:rPr>
                <w:b w:val="0"/>
                <w:color w:val="000000"/>
              </w:rPr>
            </w:pPr>
            <w:r>
              <w:rPr>
                <w:b w:val="0"/>
                <w:color w:val="000000"/>
              </w:rPr>
              <w:t>0.1182</w:t>
            </w:r>
          </w:p>
        </w:tc>
        <w:tc>
          <w:tcPr>
            <w:tcW w:w="1478" w:type="dxa"/>
            <w:tcBorders>
              <w:top w:val="nil"/>
              <w:left w:val="nil"/>
              <w:bottom w:val="single" w:color="000000" w:sz="12" w:space="0"/>
              <w:right w:val="nil"/>
            </w:tcBorders>
            <w:shd w:val="clear" w:color="auto" w:fill="FFFFFF"/>
            <w:vAlign w:val="center"/>
          </w:tcPr>
          <w:p w14:paraId="228203B8">
            <w:pPr>
              <w:pStyle w:val="13"/>
              <w:widowControl/>
              <w:wordWrap/>
              <w:bidi w:val="0"/>
              <w:rPr>
                <w:b w:val="0"/>
                <w:color w:val="000000"/>
              </w:rPr>
            </w:pPr>
            <w:r>
              <w:rPr>
                <w:b w:val="0"/>
                <w:color w:val="000000"/>
              </w:rPr>
              <w:t>0.8818</w:t>
            </w:r>
          </w:p>
        </w:tc>
      </w:tr>
    </w:tbl>
    <w:p w14:paraId="246D250C">
      <w:pPr>
        <w:pStyle w:val="3"/>
        <w:widowControl/>
        <w:wordWrap/>
        <w:jc w:val="both"/>
      </w:pPr>
      <w:r>
        <w:rPr>
          <w:rFonts w:hint="eastAsia"/>
        </w:rPr>
        <w:t>去除类别门禁后各项指标变化有限，说明当前类别可靠性阈值主要影响少量边界样本；关闭独立信号一致后，覆盖率由0.3547升至0.6502，同时选择性风险由0.0556升至0.0833，错误暴露率由0.0197升至0.0542。取消显式弃权后覆盖率达到1.0000，但选择性风险与错误暴露率均升至0.1182。该结果表明，独立信号一致和显式弃权是控制低可靠候选自动进入后续结构准入的关键组件。</w:t>
      </w:r>
    </w:p>
    <w:bookmarkEnd w:id="3"/>
    <w:p w14:paraId="759243B2">
      <w:pPr>
        <w:pStyle w:val="4"/>
        <w:keepNext/>
        <w:keepLines/>
        <w:widowControl/>
        <w:wordWrap/>
      </w:pPr>
      <w:r>
        <w:rPr>
          <w:b/>
        </w:rPr>
        <w:t>4.3 结构准入结果与全库消融</w:t>
      </w:r>
    </w:p>
    <w:p w14:paraId="07B3D6D7">
      <w:pPr>
        <w:pStyle w:val="17"/>
        <w:widowControl/>
        <w:wordWrap/>
        <w:rPr>
          <w:rFonts w:hint="eastAsia"/>
        </w:rPr>
      </w:pPr>
      <w:r>
        <w:rPr>
          <w:rFonts w:hint="eastAsia"/>
        </w:rPr>
        <w:t>实体归一形成794项规范化决议，规范投影后的身份链数为0，全部端点收敛到自映射代表元。该结果显示投影算子在当前数据与检查器下实现了闭包稳定，并将794项实体规范化决议组织为可逐项回溯的核验对象。关系契约覆盖88个受控谓词，严格语义层实例依据投影后的主体和客体类型重新校验。152,979个规范实体中，148,217个完成类型验证，4,762个保持类型未决，并被隔离于依赖确定类型的严格关系计算。</w:t>
      </w:r>
    </w:p>
    <w:p w14:paraId="643F1C25">
      <w:pPr>
        <w:pStyle w:val="17"/>
        <w:widowControl/>
        <w:wordWrap/>
        <w:rPr>
          <w:rFonts w:hint="eastAsia"/>
        </w:rPr>
      </w:pPr>
      <w:r>
        <w:rPr>
          <w:rFonts w:hint="eastAsia"/>
        </w:rPr>
        <w:t>身份投影会改变部分知识陈述端点及其时空归属对象。当前检查器在准入前检出44条时间强角色类型违例和112条空间强角色类型违例；投影与重校验后，两类已定义违例在严格语义层均为0，并形成208条时空作用域调整。移除关系契约会新增3,412条主体—客体类型违例。这些数字表明冻结规范下的结构规则得到完整执行，并为对应陈述的后续史料复核提供边界清晰的结构基础。全库结构消融见表3。</w:t>
      </w:r>
    </w:p>
    <w:p w14:paraId="1A1664AD">
      <w:pPr>
        <w:pStyle w:val="6"/>
        <w:keepNext/>
        <w:keepLines/>
        <w:widowControl/>
        <w:wordWrap/>
        <w:spacing w:before="40" w:after="40" w:line="240" w:lineRule="auto"/>
        <w:rPr>
          <w:rFonts w:hint="eastAsia" w:eastAsia="宋体"/>
          <w:lang w:eastAsia="zh-CN"/>
        </w:rPr>
      </w:pPr>
      <w:r>
        <w:rPr>
          <w:sz w:val="17"/>
        </w:rPr>
        <w:t>表 3 结构准入的全库消融结果；English: Table 3 Full-dataset ablation of structural admission</w:t>
      </w:r>
    </w:p>
    <w:tbl>
      <w:tblPr>
        <w:tblStyle w:val="23"/>
        <w:tblW w:w="5000" w:type="pct"/>
        <w:jc w:val="center"/>
        <w:tblLayout w:type="fixed"/>
        <w:tblCellMar>
          <w:top w:w="0" w:type="dxa"/>
          <w:left w:w="108" w:type="dxa"/>
          <w:bottom w:w="0" w:type="dxa"/>
          <w:right w:w="108" w:type="dxa"/>
        </w:tblCellMar>
      </w:tblPr>
      <w:tblGrid>
        <w:gridCol w:w="1870"/>
        <w:gridCol w:w="1870"/>
        <w:gridCol w:w="1870"/>
        <w:gridCol w:w="1870"/>
        <w:gridCol w:w="1870"/>
      </w:tblGrid>
      <w:tr w14:paraId="7C4CEF84">
        <w:tblPrEx>
          <w:tblCellMar>
            <w:top w:w="0" w:type="dxa"/>
            <w:left w:w="108" w:type="dxa"/>
            <w:bottom w:w="0" w:type="dxa"/>
            <w:right w:w="108" w:type="dxa"/>
          </w:tblCellMar>
        </w:tblPrEx>
        <w:trPr>
          <w:cantSplit/>
          <w:tblHeader/>
          <w:jc w:val="center"/>
        </w:trPr>
        <w:tc>
          <w:tcPr>
            <w:tcW w:w="24959" w:type="dxa"/>
            <w:tcBorders>
              <w:top w:val="single" w:color="000000" w:sz="12" w:space="0"/>
              <w:left w:val="nil"/>
              <w:bottom w:val="single" w:color="000000" w:sz="4" w:space="0"/>
              <w:right w:val="nil"/>
              <w:insideH w:val="nil"/>
              <w:insideV w:val="nil"/>
              <w:tl2br w:val="nil"/>
            </w:tcBorders>
            <w:shd w:val="clear" w:color="auto" w:fill="FFFFFF"/>
            <w:tcMar>
              <w:top w:w="45" w:type="dxa"/>
              <w:left w:w="55" w:type="dxa"/>
              <w:bottom w:w="45" w:type="dxa"/>
              <w:right w:w="55" w:type="dxa"/>
            </w:tcMar>
            <w:vAlign w:val="center"/>
          </w:tcPr>
          <w:p w14:paraId="221A8E2C">
            <w:pPr>
              <w:pStyle w:val="13"/>
              <w:widowControl/>
              <w:wordWrap/>
              <w:bidi w:val="0"/>
              <w:rPr>
                <w:b w:val="0"/>
                <w:color w:val="000000"/>
              </w:rPr>
            </w:pPr>
            <w:r>
              <w:rPr>
                <w:b w:val="0"/>
                <w:color w:val="000000"/>
              </w:rPr>
              <w:t>消融设置</w:t>
            </w:r>
          </w:p>
        </w:tc>
        <w:tc>
          <w:tcPr>
            <w:tcW w:w="24959"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78CA06A4">
            <w:pPr>
              <w:pStyle w:val="13"/>
              <w:widowControl/>
              <w:wordWrap/>
              <w:bidi w:val="0"/>
              <w:rPr>
                <w:b w:val="0"/>
                <w:color w:val="000000"/>
              </w:rPr>
            </w:pPr>
            <w:r>
              <w:rPr>
                <w:b w:val="0"/>
                <w:color w:val="000000"/>
              </w:rPr>
              <w:t>影响对象</w:t>
            </w:r>
          </w:p>
        </w:tc>
        <w:tc>
          <w:tcPr>
            <w:tcW w:w="21280"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204B4AA9">
            <w:pPr>
              <w:pStyle w:val="13"/>
              <w:widowControl/>
              <w:wordWrap/>
              <w:bidi w:val="0"/>
              <w:rPr>
                <w:b w:val="0"/>
                <w:color w:val="000000"/>
              </w:rPr>
            </w:pPr>
            <w:r>
              <w:rPr>
                <w:b w:val="0"/>
                <w:color w:val="000000"/>
              </w:rPr>
              <w:t>状态/端点变化</w:t>
            </w:r>
          </w:p>
        </w:tc>
        <w:tc>
          <w:tcPr>
            <w:tcW w:w="-11040"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2C7E6EEA">
            <w:pPr>
              <w:pStyle w:val="13"/>
              <w:widowControl/>
              <w:wordWrap/>
              <w:bidi w:val="0"/>
              <w:rPr>
                <w:b w:val="0"/>
                <w:color w:val="000000"/>
              </w:rPr>
            </w:pPr>
            <w:r>
              <w:rPr>
                <w:b w:val="0"/>
                <w:color w:val="000000"/>
              </w:rPr>
              <w:t>新增结构违例</w:t>
            </w:r>
          </w:p>
        </w:tc>
        <w:tc>
          <w:tcPr>
            <w:tcW w:w="4672"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6FEF6C46">
            <w:pPr>
              <w:pStyle w:val="13"/>
              <w:widowControl/>
              <w:wordWrap/>
              <w:bidi w:val="0"/>
              <w:rPr>
                <w:b w:val="0"/>
                <w:color w:val="000000"/>
              </w:rPr>
            </w:pPr>
            <w:r>
              <w:rPr>
                <w:b w:val="0"/>
                <w:color w:val="000000"/>
              </w:rPr>
              <w:t>主要作用</w:t>
            </w:r>
          </w:p>
        </w:tc>
      </w:tr>
      <w:tr w14:paraId="0EF164D1">
        <w:tblPrEx>
          <w:tblCellMar>
            <w:top w:w="0" w:type="dxa"/>
            <w:left w:w="108" w:type="dxa"/>
            <w:bottom w:w="0" w:type="dxa"/>
            <w:right w:w="108" w:type="dxa"/>
          </w:tblCellMar>
        </w:tblPrEx>
        <w:trPr>
          <w:cantSplit/>
          <w:jc w:val="center"/>
        </w:trPr>
        <w:tc>
          <w:tcPr>
            <w:tcW w:w="24959"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1ED35422">
            <w:pPr>
              <w:pStyle w:val="13"/>
              <w:widowControl/>
              <w:wordWrap/>
              <w:bidi w:val="0"/>
              <w:rPr>
                <w:b w:val="0"/>
                <w:color w:val="000000"/>
              </w:rPr>
            </w:pPr>
            <w:r>
              <w:rPr>
                <w:b w:val="0"/>
                <w:color w:val="000000"/>
              </w:rPr>
              <w:t>完整框架</w:t>
            </w:r>
          </w:p>
        </w:tc>
        <w:tc>
          <w:tcPr>
            <w:tcW w:w="24959"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2307705F">
            <w:pPr>
              <w:pStyle w:val="13"/>
              <w:widowControl/>
              <w:wordWrap/>
              <w:bidi w:val="0"/>
              <w:rPr>
                <w:b w:val="0"/>
                <w:color w:val="000000"/>
              </w:rPr>
            </w:pPr>
            <w:r>
              <w:rPr>
                <w:b w:val="0"/>
                <w:color w:val="000000"/>
              </w:rPr>
              <w:t>全部知识陈述</w:t>
            </w:r>
          </w:p>
        </w:tc>
        <w:tc>
          <w:tcPr>
            <w:tcW w:w="21280"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77BC70EC">
            <w:pPr>
              <w:pStyle w:val="13"/>
              <w:widowControl/>
              <w:wordWrap/>
              <w:bidi w:val="0"/>
              <w:rPr>
                <w:b w:val="0"/>
                <w:color w:val="000000"/>
              </w:rPr>
            </w:pPr>
            <w:r>
              <w:rPr>
                <w:b w:val="0"/>
                <w:color w:val="000000"/>
              </w:rPr>
              <w:t>—</w:t>
            </w:r>
          </w:p>
        </w:tc>
        <w:tc>
          <w:tcPr>
            <w:tcW w:w="-11040"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13A42EED">
            <w:pPr>
              <w:pStyle w:val="13"/>
              <w:widowControl/>
              <w:wordWrap/>
              <w:bidi w:val="0"/>
              <w:rPr>
                <w:b w:val="0"/>
                <w:color w:val="000000"/>
              </w:rPr>
            </w:pPr>
            <w:r>
              <w:rPr>
                <w:b w:val="0"/>
                <w:color w:val="000000"/>
              </w:rPr>
              <w:t>0</w:t>
            </w:r>
          </w:p>
        </w:tc>
        <w:tc>
          <w:tcPr>
            <w:tcW w:w="4672"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5CCA6F8F">
            <w:pPr>
              <w:pStyle w:val="13"/>
              <w:widowControl/>
              <w:wordWrap/>
              <w:bidi w:val="0"/>
              <w:rPr>
                <w:b w:val="0"/>
                <w:color w:val="000000"/>
              </w:rPr>
            </w:pPr>
            <w:r>
              <w:rPr>
                <w:b w:val="0"/>
                <w:color w:val="000000"/>
              </w:rPr>
              <w:t>基准</w:t>
            </w:r>
          </w:p>
        </w:tc>
      </w:tr>
      <w:tr w14:paraId="6EE7B4A2">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40873BC9">
            <w:pPr>
              <w:pStyle w:val="13"/>
              <w:widowControl/>
              <w:wordWrap/>
              <w:bidi w:val="0"/>
              <w:rPr>
                <w:b w:val="0"/>
                <w:color w:val="000000"/>
              </w:rPr>
            </w:pPr>
            <w:r>
              <w:rPr>
                <w:b w:val="0"/>
                <w:color w:val="000000"/>
              </w:rPr>
              <w:t>去风险路由</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0F89E6A4">
            <w:pPr>
              <w:pStyle w:val="13"/>
              <w:widowControl/>
              <w:wordWrap/>
              <w:bidi w:val="0"/>
              <w:rPr>
                <w:b w:val="0"/>
                <w:color w:val="000000"/>
              </w:rPr>
            </w:pPr>
            <w:r>
              <w:rPr>
                <w:b w:val="0"/>
                <w:color w:val="000000"/>
              </w:rPr>
              <w:t>发布状态</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A1DA7BC">
            <w:pPr>
              <w:pStyle w:val="13"/>
              <w:widowControl/>
              <w:wordWrap/>
              <w:bidi w:val="0"/>
              <w:rPr>
                <w:b w:val="0"/>
                <w:color w:val="000000"/>
              </w:rPr>
            </w:pPr>
            <w:r>
              <w:rPr>
                <w:b w:val="0"/>
                <w:color w:val="000000"/>
              </w:rPr>
              <w:t>43,945</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EC3202D">
            <w:pPr>
              <w:pStyle w:val="13"/>
              <w:widowControl/>
              <w:wordWrap/>
              <w:bidi w:val="0"/>
              <w:rPr>
                <w:b w:val="0"/>
                <w:color w:val="000000"/>
              </w:rPr>
            </w:pPr>
            <w:r>
              <w:rPr>
                <w:b w:val="0"/>
                <w:color w:val="000000"/>
              </w:rPr>
              <w:t>—</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A4392A9">
            <w:pPr>
              <w:pStyle w:val="13"/>
              <w:widowControl/>
              <w:wordWrap/>
              <w:bidi w:val="0"/>
              <w:rPr>
                <w:b w:val="0"/>
                <w:color w:val="000000"/>
              </w:rPr>
            </w:pPr>
            <w:r>
              <w:rPr>
                <w:b w:val="0"/>
                <w:color w:val="000000"/>
              </w:rPr>
              <w:t>未决知识失去独立隔离状态</w:t>
            </w:r>
          </w:p>
        </w:tc>
      </w:tr>
      <w:tr w14:paraId="2876FBCC">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3EB64FE">
            <w:pPr>
              <w:pStyle w:val="13"/>
              <w:widowControl/>
              <w:wordWrap/>
              <w:bidi w:val="0"/>
              <w:rPr>
                <w:b w:val="0"/>
                <w:color w:val="000000"/>
              </w:rPr>
            </w:pPr>
            <w:r>
              <w:rPr>
                <w:b w:val="0"/>
                <w:color w:val="000000"/>
              </w:rPr>
              <w:t>去身份投影</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30DAA20E">
            <w:pPr>
              <w:pStyle w:val="13"/>
              <w:widowControl/>
              <w:wordWrap/>
              <w:bidi w:val="0"/>
              <w:rPr>
                <w:b w:val="0"/>
                <w:color w:val="000000"/>
              </w:rPr>
            </w:pPr>
            <w:r>
              <w:rPr>
                <w:b w:val="0"/>
                <w:color w:val="000000"/>
              </w:rPr>
              <w:t>实体端点</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A9FFD11">
            <w:pPr>
              <w:pStyle w:val="13"/>
              <w:widowControl/>
              <w:wordWrap/>
              <w:bidi w:val="0"/>
              <w:rPr>
                <w:b w:val="0"/>
                <w:color w:val="000000"/>
              </w:rPr>
            </w:pPr>
            <w:r>
              <w:rPr>
                <w:b w:val="0"/>
                <w:color w:val="000000"/>
              </w:rPr>
              <w:t>24,005</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78E2F10B">
            <w:pPr>
              <w:pStyle w:val="13"/>
              <w:widowControl/>
              <w:wordWrap/>
              <w:bidi w:val="0"/>
              <w:rPr>
                <w:b w:val="0"/>
                <w:color w:val="000000"/>
              </w:rPr>
            </w:pPr>
            <w:r>
              <w:rPr>
                <w:b w:val="0"/>
                <w:color w:val="000000"/>
              </w:rPr>
              <w:t>—</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734FEF48">
            <w:pPr>
              <w:pStyle w:val="13"/>
              <w:widowControl/>
              <w:wordWrap/>
              <w:bidi w:val="0"/>
              <w:rPr>
                <w:b w:val="0"/>
                <w:color w:val="000000"/>
              </w:rPr>
            </w:pPr>
            <w:r>
              <w:rPr>
                <w:b w:val="0"/>
                <w:color w:val="000000"/>
              </w:rPr>
              <w:t>规范实体端点映射失效</w:t>
            </w:r>
          </w:p>
        </w:tc>
      </w:tr>
      <w:tr w14:paraId="12782019">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2173470">
            <w:pPr>
              <w:pStyle w:val="13"/>
              <w:widowControl/>
              <w:wordWrap/>
              <w:bidi w:val="0"/>
              <w:rPr>
                <w:b w:val="0"/>
                <w:color w:val="000000"/>
              </w:rPr>
            </w:pPr>
            <w:r>
              <w:rPr>
                <w:b w:val="0"/>
                <w:color w:val="000000"/>
              </w:rPr>
              <w:t>去关系契约</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730FF68">
            <w:pPr>
              <w:pStyle w:val="13"/>
              <w:widowControl/>
              <w:wordWrap/>
              <w:bidi w:val="0"/>
              <w:rPr>
                <w:b w:val="0"/>
                <w:color w:val="000000"/>
              </w:rPr>
            </w:pPr>
            <w:r>
              <w:rPr>
                <w:b w:val="0"/>
                <w:color w:val="000000"/>
              </w:rPr>
              <w:t>严格语义层</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7290E9F">
            <w:pPr>
              <w:pStyle w:val="13"/>
              <w:widowControl/>
              <w:wordWrap/>
              <w:bidi w:val="0"/>
              <w:rPr>
                <w:b w:val="0"/>
                <w:color w:val="000000"/>
              </w:rPr>
            </w:pPr>
            <w:r>
              <w:rPr>
                <w:b w:val="0"/>
                <w:color w:val="000000"/>
              </w:rPr>
              <w:t>—</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00D8CC10">
            <w:pPr>
              <w:pStyle w:val="13"/>
              <w:widowControl/>
              <w:wordWrap/>
              <w:bidi w:val="0"/>
              <w:rPr>
                <w:b w:val="0"/>
                <w:color w:val="000000"/>
              </w:rPr>
            </w:pPr>
            <w:r>
              <w:rPr>
                <w:b w:val="0"/>
                <w:color w:val="000000"/>
              </w:rPr>
              <w:t>3,412</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52E004C">
            <w:pPr>
              <w:pStyle w:val="13"/>
              <w:widowControl/>
              <w:wordWrap/>
              <w:bidi w:val="0"/>
              <w:rPr>
                <w:b w:val="0"/>
                <w:color w:val="000000"/>
              </w:rPr>
            </w:pPr>
            <w:r>
              <w:rPr>
                <w:b w:val="0"/>
                <w:color w:val="000000"/>
              </w:rPr>
              <w:t>主体—客体类型不满足谓词约束</w:t>
            </w:r>
          </w:p>
        </w:tc>
      </w:tr>
      <w:tr w14:paraId="7A7A23D9">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D9A4AE8">
            <w:pPr>
              <w:pStyle w:val="13"/>
              <w:widowControl/>
              <w:wordWrap/>
              <w:bidi w:val="0"/>
              <w:rPr>
                <w:b w:val="0"/>
                <w:color w:val="000000"/>
              </w:rPr>
            </w:pPr>
            <w:r>
              <w:rPr>
                <w:b w:val="0"/>
                <w:color w:val="000000"/>
              </w:rPr>
              <w:t>去时空归属约束</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7A56DE0">
            <w:pPr>
              <w:pStyle w:val="13"/>
              <w:widowControl/>
              <w:wordWrap/>
              <w:bidi w:val="0"/>
              <w:rPr>
                <w:b w:val="0"/>
                <w:color w:val="000000"/>
              </w:rPr>
            </w:pPr>
            <w:r>
              <w:rPr>
                <w:b w:val="0"/>
                <w:color w:val="000000"/>
              </w:rPr>
              <w:t>强时空单元</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05739CF">
            <w:pPr>
              <w:pStyle w:val="13"/>
              <w:widowControl/>
              <w:wordWrap/>
              <w:bidi w:val="0"/>
              <w:rPr>
                <w:b w:val="0"/>
                <w:color w:val="000000"/>
              </w:rPr>
            </w:pPr>
            <w:r>
              <w:rPr>
                <w:b w:val="0"/>
                <w:color w:val="000000"/>
              </w:rPr>
              <w:t>208项作用域调整失效</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A294009">
            <w:pPr>
              <w:pStyle w:val="13"/>
              <w:widowControl/>
              <w:wordWrap/>
              <w:bidi w:val="0"/>
              <w:rPr>
                <w:b w:val="0"/>
                <w:color w:val="000000"/>
              </w:rPr>
            </w:pPr>
            <w:r>
              <w:rPr>
                <w:b w:val="0"/>
                <w:color w:val="000000"/>
              </w:rPr>
              <w:t>时间44；空间112</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4B5CAC09">
            <w:pPr>
              <w:pStyle w:val="13"/>
              <w:widowControl/>
              <w:wordWrap/>
              <w:bidi w:val="0"/>
              <w:rPr>
                <w:b w:val="0"/>
                <w:color w:val="000000"/>
              </w:rPr>
            </w:pPr>
            <w:r>
              <w:rPr>
                <w:b w:val="0"/>
                <w:color w:val="000000"/>
              </w:rPr>
              <w:t>强时空角色与归属对象类型失配</w:t>
            </w:r>
          </w:p>
        </w:tc>
      </w:tr>
      <w:tr w14:paraId="1133E7D7">
        <w:tblPrEx>
          <w:tblCellMar>
            <w:top w:w="0" w:type="dxa"/>
            <w:left w:w="108" w:type="dxa"/>
            <w:bottom w:w="0" w:type="dxa"/>
            <w:right w:w="108" w:type="dxa"/>
          </w:tblCellMar>
        </w:tblPrEx>
        <w:trPr>
          <w:cantSplit/>
          <w:jc w:val="center"/>
        </w:trPr>
        <w:tc>
          <w:tcPr>
            <w:tcW w:w="24959"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02571504">
            <w:pPr>
              <w:pStyle w:val="13"/>
              <w:widowControl/>
              <w:wordWrap/>
              <w:bidi w:val="0"/>
              <w:rPr>
                <w:b w:val="0"/>
                <w:color w:val="000000"/>
              </w:rPr>
            </w:pPr>
            <w:r>
              <w:rPr>
                <w:b w:val="0"/>
                <w:color w:val="000000"/>
              </w:rPr>
              <w:t>去来源门禁</w:t>
            </w:r>
          </w:p>
        </w:tc>
        <w:tc>
          <w:tcPr>
            <w:tcW w:w="24959"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36EF39E5">
            <w:pPr>
              <w:pStyle w:val="13"/>
              <w:widowControl/>
              <w:wordWrap/>
              <w:bidi w:val="0"/>
              <w:rPr>
                <w:b w:val="0"/>
                <w:color w:val="000000"/>
              </w:rPr>
            </w:pPr>
            <w:r>
              <w:rPr>
                <w:b w:val="0"/>
                <w:color w:val="000000"/>
              </w:rPr>
              <w:t>知识陈述</w:t>
            </w:r>
          </w:p>
        </w:tc>
        <w:tc>
          <w:tcPr>
            <w:tcW w:w="21280"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60F907BD">
            <w:pPr>
              <w:pStyle w:val="13"/>
              <w:widowControl/>
              <w:wordWrap/>
              <w:bidi w:val="0"/>
              <w:rPr>
                <w:b w:val="0"/>
                <w:color w:val="000000"/>
              </w:rPr>
            </w:pPr>
            <w:r>
              <w:rPr>
                <w:b w:val="0"/>
                <w:color w:val="000000"/>
              </w:rPr>
              <w:t>0</w:t>
            </w:r>
          </w:p>
        </w:tc>
        <w:tc>
          <w:tcPr>
            <w:tcW w:w="-11040"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2DE17A85">
            <w:pPr>
              <w:pStyle w:val="13"/>
              <w:widowControl/>
              <w:wordWrap/>
              <w:bidi w:val="0"/>
              <w:rPr>
                <w:b w:val="0"/>
                <w:color w:val="000000"/>
              </w:rPr>
            </w:pPr>
            <w:r>
              <w:rPr>
                <w:b w:val="0"/>
                <w:color w:val="000000"/>
              </w:rPr>
              <w:t>0</w:t>
            </w:r>
          </w:p>
        </w:tc>
        <w:tc>
          <w:tcPr>
            <w:tcW w:w="4672"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3EC90475">
            <w:pPr>
              <w:pStyle w:val="13"/>
              <w:widowControl/>
              <w:wordWrap/>
              <w:bidi w:val="0"/>
              <w:rPr>
                <w:b w:val="0"/>
                <w:color w:val="000000"/>
              </w:rPr>
            </w:pPr>
            <w:r>
              <w:rPr>
                <w:b w:val="0"/>
                <w:color w:val="000000"/>
              </w:rPr>
              <w:t>当前全部知识陈述均已有来源成员</w:t>
            </w:r>
          </w:p>
        </w:tc>
      </w:tr>
    </w:tbl>
    <w:p w14:paraId="479DC269">
      <w:pPr>
        <w:widowControl/>
        <w:wordWrap/>
        <w:bidi w:val="0"/>
        <w:rPr>
          <w:rFonts w:hint="eastAsia"/>
        </w:rPr>
      </w:pPr>
      <w:r>
        <w:t>表3从发布状态变化、实体端点变化、时空作用域调整和结构违例四个对象层面刻画结构准入效果，各项指标分别对应不同控制环节。结构准入的功能是将语义判定进一步转化为满足身份、关系和时空条件的发布结果。图4据此比较关系契约、时间强角色归属和空间强角色归属三类已定义硬违例在准入前后的变化。</w:t>
      </w:r>
    </w:p>
    <w:p w14:paraId="33622556">
      <w:pPr>
        <w:wordWrap/>
        <w:bidi w:val="0"/>
        <w:ind w:left="0" w:leftChars="0" w:firstLine="0" w:firstLineChars="0"/>
      </w:pPr>
      <w:r>
        <w:drawing>
          <wp:inline distT="0" distB="0" distL="114300" distR="114300">
            <wp:extent cx="5806440" cy="2332990"/>
            <wp:effectExtent l="0" t="0" r="3810" b="1016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1"/>
                    <a:stretch>
                      <a:fillRect/>
                    </a:stretch>
                  </pic:blipFill>
                  <pic:spPr>
                    <a:xfrm>
                      <a:off x="0" y="0"/>
                      <a:ext cx="5806440" cy="2333350"/>
                    </a:xfrm>
                    <a:prstGeom prst="rect">
                      <a:avLst/>
                    </a:prstGeom>
                  </pic:spPr>
                </pic:pic>
              </a:graphicData>
            </a:graphic>
          </wp:inline>
        </w:drawing>
      </w:r>
    </w:p>
    <w:p w14:paraId="62405D64">
      <w:pPr>
        <w:pStyle w:val="6"/>
        <w:widowControl/>
        <w:wordWrap/>
        <w:bidi w:val="0"/>
        <w:spacing w:before="40" w:after="40" w:line="240" w:lineRule="auto"/>
        <w:ind w:left="0" w:leftChars="0" w:firstLine="0" w:firstLineChars="0"/>
        <w:rPr>
          <w:rFonts w:hint="eastAsia" w:eastAsia="宋体"/>
          <w:lang w:eastAsia="zh-CN"/>
        </w:rPr>
      </w:pPr>
      <w:r>
        <w:rPr>
          <w:sz w:val="17"/>
        </w:rPr>
        <w:t>图 4 结构准入前后的严格层已定义违例；English: Figure 4 Defined strict-layer violations before and after structural admission</w:t>
      </w:r>
    </w:p>
    <w:p w14:paraId="155ADCB9">
      <w:pPr>
        <w:widowControl/>
        <w:wordWrap/>
        <w:bidi w:val="0"/>
        <w:rPr>
          <w:rFonts w:hint="eastAsia"/>
        </w:rPr>
      </w:pPr>
      <w:r>
        <w:rPr>
          <w:rFonts w:hint="eastAsia"/>
        </w:rPr>
        <w:t>图5从严格语义层中选取“南昌起义”和“八七会议”两个事件作结构展示。人物、组织、事件和来源记录围绕事件节点连接，说明通过身份投影、关系契约和类型校验的知识如何被组织为可查询的事件中心网络。该代表性可视化呈现了事件结构的组织模式与查询路径，并为全图事件网络的后续统计分析提供可复用模板。</w:t>
      </w:r>
    </w:p>
    <w:p w14:paraId="0DC22966">
      <w:pPr>
        <w:wordWrap/>
        <w:bidi w:val="0"/>
        <w:ind w:left="0" w:leftChars="0" w:firstLine="0" w:firstLineChars="0"/>
      </w:pPr>
      <w:r>
        <w:drawing>
          <wp:inline distT="0" distB="0" distL="114300" distR="114300">
            <wp:extent cx="5806440" cy="3453130"/>
            <wp:effectExtent l="0" t="0" r="3810" b="13970"/>
            <wp:docPr id="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1"/>
                    <pic:cNvPicPr>
                      <a:picLocks noChangeAspect="1"/>
                    </pic:cNvPicPr>
                  </pic:nvPicPr>
                  <pic:blipFill>
                    <a:blip r:embed="rId12"/>
                    <a:stretch>
                      <a:fillRect/>
                    </a:stretch>
                  </pic:blipFill>
                  <pic:spPr>
                    <a:xfrm>
                      <a:off x="0" y="0"/>
                      <a:ext cx="5806440" cy="3453244"/>
                    </a:xfrm>
                    <a:prstGeom prst="rect">
                      <a:avLst/>
                    </a:prstGeom>
                  </pic:spPr>
                </pic:pic>
              </a:graphicData>
            </a:graphic>
          </wp:inline>
        </w:drawing>
      </w:r>
    </w:p>
    <w:p w14:paraId="79CFDE09">
      <w:pPr>
        <w:pStyle w:val="6"/>
        <w:widowControl/>
        <w:wordWrap/>
        <w:bidi w:val="0"/>
        <w:spacing w:before="40" w:after="40" w:line="240" w:lineRule="auto"/>
        <w:ind w:left="0" w:leftChars="0" w:firstLine="0" w:firstLineChars="0"/>
        <w:rPr>
          <w:rFonts w:hint="eastAsia" w:eastAsia="宋体"/>
          <w:lang w:eastAsia="zh-CN"/>
        </w:rPr>
      </w:pPr>
      <w:r>
        <w:rPr>
          <w:sz w:val="17"/>
        </w:rPr>
        <w:t>图 5 两个代表性事件框架的结构示例；English: Figure 5 Structural examples of two representative event frames</w:t>
      </w:r>
    </w:p>
    <w:p w14:paraId="237314EF">
      <w:pPr>
        <w:widowControl/>
        <w:wordWrap/>
        <w:bidi w:val="0"/>
        <w:rPr>
          <w:rFonts w:hint="eastAsia"/>
        </w:rPr>
      </w:pPr>
      <w:r>
        <w:rPr>
          <w:rFonts w:hint="eastAsia"/>
        </w:rPr>
        <w:t>图6以“南昌起义”为单一案例，展示事件与人物、组织、来源记录及时空单元的局部连接，用于说明严格语义层中的查询路径和来源关联方式。该案例集中呈现表示与查询的可读性，并为全库事件网络开展同构查询和统计分析提供实例模板。</w:t>
      </w:r>
    </w:p>
    <w:p w14:paraId="46CCC2C7">
      <w:pPr>
        <w:wordWrap/>
        <w:bidi w:val="0"/>
        <w:ind w:left="0" w:leftChars="0" w:firstLine="0" w:firstLineChars="0"/>
      </w:pPr>
      <w:r>
        <w:drawing>
          <wp:inline distT="0" distB="0" distL="114300" distR="114300">
            <wp:extent cx="5831840" cy="3509645"/>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13"/>
                    <a:srcRect t="4526"/>
                    <a:stretch>
                      <a:fillRect/>
                    </a:stretch>
                  </pic:blipFill>
                  <pic:spPr>
                    <a:xfrm>
                      <a:off x="0" y="0"/>
                      <a:ext cx="5832000" cy="3509645"/>
                    </a:xfrm>
                    <a:prstGeom prst="rect">
                      <a:avLst/>
                    </a:prstGeom>
                    <a:noFill/>
                    <a:ln w="9525">
                      <a:noFill/>
                    </a:ln>
                  </pic:spPr>
                </pic:pic>
              </a:graphicData>
            </a:graphic>
          </wp:inline>
        </w:drawing>
      </w:r>
    </w:p>
    <w:p w14:paraId="666BD5AB">
      <w:pPr>
        <w:pStyle w:val="6"/>
        <w:widowControl/>
        <w:wordWrap/>
        <w:bidi w:val="0"/>
        <w:spacing w:before="40" w:after="40" w:line="240" w:lineRule="auto"/>
        <w:ind w:left="0" w:leftChars="0" w:firstLine="0" w:firstLineChars="0"/>
        <w:rPr>
          <w:rFonts w:hint="eastAsia" w:eastAsia="宋体"/>
          <w:lang w:eastAsia="zh-CN"/>
        </w:rPr>
      </w:pPr>
      <w:r>
        <w:rPr>
          <w:sz w:val="17"/>
        </w:rPr>
        <w:t>图 6 “南昌起义”事件中心时空知识子图示例；English: Figure 6 Event-centered spatiotemporal subgraph of the Nanchang Uprising</w:t>
      </w:r>
    </w:p>
    <w:p w14:paraId="3DB423E5">
      <w:pPr>
        <w:pStyle w:val="4"/>
        <w:keepNext/>
        <w:keepLines/>
        <w:widowControl/>
        <w:wordWrap/>
        <w:rPr>
          <w:rFonts w:hint="eastAsia" w:eastAsia="宋体"/>
          <w:lang w:val="en-US" w:eastAsia="zh-CN"/>
        </w:rPr>
      </w:pPr>
      <w:r>
        <w:t>4.4 来源</w:t>
      </w:r>
      <w:r>
        <w:rPr>
          <w:rFonts w:hint="eastAsia"/>
          <w:lang w:val="en-US" w:eastAsia="zh-CN"/>
        </w:rPr>
        <w:t>追溯</w:t>
      </w:r>
      <w:r>
        <w:t>与跨来源</w:t>
      </w:r>
      <w:r>
        <w:rPr>
          <w:rFonts w:hint="eastAsia"/>
          <w:lang w:val="en-US" w:eastAsia="zh-CN"/>
        </w:rPr>
        <w:t>检验</w:t>
      </w:r>
    </w:p>
    <w:p w14:paraId="39C6EFBD">
      <w:pPr>
        <w:widowControl/>
        <w:wordWrap/>
        <w:bidi w:val="0"/>
        <w:rPr>
          <w:rFonts w:hint="eastAsia"/>
        </w:rPr>
      </w:pPr>
      <w:r>
        <w:rPr>
          <w:rFonts w:hint="eastAsia"/>
        </w:rPr>
        <w:t>来源信息在候选生成阶段即与知识陈述绑定，并在实体规范化、语义判定、结构校验和分层发布中持续保留。最终图谱形成466,312条来源关联，424,150条知识陈述均具有至少一个来源成员。图7展示一条来源追溯链：知识陈述经SUPPORTED_BY连接来源记录，再定位到页码与原文片段。该链路实现了从图谱记录到原始材料位置的直接返回，为基于原文的证据核查与史学解释提供可定位入口。</w:t>
      </w:r>
    </w:p>
    <w:p w14:paraId="7EC9EFC8">
      <w:pPr>
        <w:wordWrap/>
        <w:bidi w:val="0"/>
        <w:ind w:left="0" w:leftChars="0" w:firstLine="0" w:firstLineChars="0"/>
      </w:pPr>
      <w:r>
        <w:drawing>
          <wp:inline distT="0" distB="0" distL="114300" distR="114300">
            <wp:extent cx="5860415" cy="1261745"/>
            <wp:effectExtent l="0" t="0" r="698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860415" cy="1261745"/>
                    </a:xfrm>
                    <a:prstGeom prst="rect">
                      <a:avLst/>
                    </a:prstGeom>
                    <a:noFill/>
                    <a:ln>
                      <a:noFill/>
                    </a:ln>
                  </pic:spPr>
                </pic:pic>
              </a:graphicData>
            </a:graphic>
          </wp:inline>
        </w:drawing>
      </w:r>
    </w:p>
    <w:p w14:paraId="0F135718">
      <w:pPr>
        <w:pStyle w:val="6"/>
        <w:widowControl/>
        <w:wordWrap/>
        <w:bidi w:val="0"/>
        <w:spacing w:before="40" w:after="40" w:line="240" w:lineRule="auto"/>
        <w:ind w:left="0" w:leftChars="0" w:firstLine="0" w:firstLineChars="0"/>
        <w:rPr>
          <w:rFonts w:hint="eastAsia" w:eastAsia="宋体"/>
          <w:lang w:eastAsia="zh-CN"/>
        </w:rPr>
      </w:pPr>
      <w:r>
        <w:rPr>
          <w:sz w:val="17"/>
        </w:rPr>
        <w:t>图 7 知识陈述返回原始文本位置的来源追溯示例；English: Figure 7 Provenance tracing from a knowledge statement to the source text</w:t>
      </w:r>
    </w:p>
    <w:p w14:paraId="55468666">
      <w:pPr>
        <w:widowControl/>
        <w:wordWrap/>
        <w:bidi w:val="0"/>
        <w:rPr>
          <w:rFonts w:hint="eastAsia"/>
        </w:rPr>
      </w:pPr>
      <w:r>
        <w:rPr>
          <w:rFonts w:hint="eastAsia"/>
        </w:rPr>
        <w:t>383,025条知识陈述由单一来源成员支持，40,929条由2—3个来源成员支持，196条具有4个及以上来源连接。来源成员数量刻画知识与原文之间的连接密度，具备文献、页码和文本定位的来源即可建立可回溯证据链，多来源记录则为交叉核查提供更多材料入口。由此，来源门禁实现“知识陈述—来源记录—原始文献”的稳定返回，并为基于原文的可信度评估提供一致证据入口。</w:t>
      </w:r>
    </w:p>
    <w:p w14:paraId="5C9742CE">
      <w:pPr>
        <w:widowControl/>
        <w:wordWrap/>
        <w:bidi w:val="0"/>
        <w:rPr>
          <w:rFonts w:hint="eastAsia"/>
        </w:rPr>
      </w:pPr>
      <w:r>
        <w:rPr>
          <w:rFonts w:hint="eastAsia"/>
        </w:rPr>
        <w:t>为检验随机划分是否受到同源表达重叠影响，本文在226条角色参考记录中筛出42条可通过显式来源关系映射至文档或书目的样本，形成24个来源连通分量。在该子集上，样本级嵌套五折的Accuracy为0.7619（32/42；95% CI 0.6147–0.8652），Macro-F1为0.5548；按来源连通分量整体划分后，Accuracy为0.6905（29/42；95% CI 0.5397–0.8093），Macro-F1为0.4507。两种划分的Accuracy差为0.0714，配对bootstrap 95% CI为−0.0238–0.1667，McNemar精确检验P=0.375。</w:t>
      </w:r>
    </w:p>
    <w:p w14:paraId="6B41DE9B">
      <w:pPr>
        <w:widowControl/>
        <w:wordWrap/>
        <w:bidi w:val="0"/>
      </w:pPr>
      <w:r>
        <w:rPr>
          <w:rFonts w:hint="eastAsia"/>
        </w:rPr>
        <w:t>来源分组后观察到指标下降，提示来源内部表达可能形成可利用信号；区间跨越0且检验未达显著，因此当前42条映射样本构成一项小样本稳健性检查。该分析覆盖226条角色参考记录中的18.58%，其结果为扩大来源隔离样本和评估跨来源泛化提供了明确基线。它与466,312条来源关联分别回答两个问题：前者检验评价划分的来源独立性，后者检验图谱记录返回原文的能力。</w:t>
      </w:r>
    </w:p>
    <w:p w14:paraId="040E5B57">
      <w:pPr>
        <w:pStyle w:val="4"/>
        <w:keepNext/>
        <w:keepLines/>
        <w:widowControl/>
        <w:wordWrap/>
      </w:pPr>
      <w:r>
        <w:rPr>
          <w:b/>
        </w:rPr>
        <w:t>4.5 本地确定性构建链的规模与效率</w:t>
      </w:r>
    </w:p>
    <w:p w14:paraId="3966F3A6">
      <w:pPr>
        <w:pStyle w:val="17"/>
        <w:widowControl/>
        <w:wordWrap/>
      </w:pPr>
      <w:r>
        <w:rPr>
          <w:rFonts w:hint="eastAsia"/>
        </w:rPr>
        <w:t>效率实验使用10%、25%、50%、75%和100%五档知识规模，每档重复5次，并分别统计热启动和含本地模型加载两种口径。计时聚焦来源读取、规则与标注、特征向量化、本地分类器推理、时空与归属检查及关联装配等本地确定性环节；OCR处理和大语言模型推理留待全流程评测单独报告。</w:t>
      </w:r>
      <w:r>
        <w:t>相关统计汇总见表4。</w:t>
      </w:r>
    </w:p>
    <w:p w14:paraId="04BBF34F">
      <w:pPr>
        <w:pStyle w:val="6"/>
        <w:keepNext/>
        <w:keepLines/>
        <w:widowControl/>
        <w:wordWrap/>
        <w:spacing w:before="40" w:after="40" w:line="240" w:lineRule="auto"/>
        <w:rPr>
          <w:rFonts w:hint="eastAsia" w:eastAsia="宋体"/>
          <w:lang w:eastAsia="zh-CN"/>
        </w:rPr>
      </w:pPr>
      <w:r>
        <w:rPr>
          <w:sz w:val="17"/>
        </w:rPr>
        <w:t>表 4 本地确定性构建链效率（每档5次；中位数 / IQR）；English: Table 4 Efficiency of the local deterministic graph-construction pipeline (five repetitions per scale; median/IQR)</w:t>
      </w:r>
    </w:p>
    <w:tbl>
      <w:tblPr>
        <w:tblStyle w:val="23"/>
        <w:tblW w:w="5000" w:type="pct"/>
        <w:jc w:val="center"/>
        <w:tblLayout w:type="autofit"/>
        <w:tblCellMar>
          <w:top w:w="0" w:type="dxa"/>
          <w:left w:w="108" w:type="dxa"/>
          <w:bottom w:w="0" w:type="dxa"/>
          <w:right w:w="108" w:type="dxa"/>
        </w:tblCellMar>
      </w:tblPr>
      <w:tblGrid>
        <w:gridCol w:w="909"/>
        <w:gridCol w:w="1004"/>
        <w:gridCol w:w="1533"/>
        <w:gridCol w:w="1533"/>
        <w:gridCol w:w="1598"/>
        <w:gridCol w:w="1598"/>
        <w:gridCol w:w="1283"/>
      </w:tblGrid>
      <w:tr w14:paraId="6725C9DD">
        <w:tblPrEx>
          <w:tblCellMar>
            <w:top w:w="0" w:type="dxa"/>
            <w:left w:w="108" w:type="dxa"/>
            <w:bottom w:w="0" w:type="dxa"/>
            <w:right w:w="108" w:type="dxa"/>
          </w:tblCellMar>
        </w:tblPrEx>
        <w:trPr>
          <w:cantSplit/>
          <w:tblHeader/>
          <w:jc w:val="center"/>
        </w:trPr>
        <w:tc>
          <w:tcPr>
            <w:tcW w:w="481" w:type="pct"/>
            <w:tcBorders>
              <w:top w:val="single" w:color="000000" w:sz="12" w:space="0"/>
              <w:left w:val="nil"/>
              <w:bottom w:val="single" w:color="000000" w:sz="4" w:space="0"/>
              <w:right w:val="nil"/>
              <w:tl2br w:val="nil"/>
            </w:tcBorders>
            <w:shd w:val="clear" w:color="auto" w:fill="FFFFFF"/>
            <w:vAlign w:val="center"/>
          </w:tcPr>
          <w:p w14:paraId="7CA542D5">
            <w:pPr>
              <w:pStyle w:val="13"/>
              <w:widowControl/>
              <w:wordWrap/>
              <w:bidi w:val="0"/>
              <w:rPr>
                <w:b w:val="0"/>
                <w:color w:val="000000"/>
              </w:rPr>
            </w:pPr>
            <w:r>
              <w:rPr>
                <w:b w:val="0"/>
                <w:color w:val="000000"/>
              </w:rPr>
              <w:t>规模</w:t>
            </w:r>
          </w:p>
        </w:tc>
        <w:tc>
          <w:tcPr>
            <w:tcW w:w="531" w:type="pct"/>
            <w:tcBorders>
              <w:top w:val="single" w:color="000000" w:sz="12" w:space="0"/>
              <w:left w:val="nil"/>
              <w:bottom w:val="single" w:color="000000" w:sz="4" w:space="0"/>
              <w:right w:val="nil"/>
            </w:tcBorders>
            <w:shd w:val="clear" w:color="auto" w:fill="FFFFFF"/>
            <w:vAlign w:val="center"/>
          </w:tcPr>
          <w:p w14:paraId="4DC609BA">
            <w:pPr>
              <w:pStyle w:val="13"/>
              <w:widowControl/>
              <w:wordWrap/>
              <w:bidi w:val="0"/>
              <w:rPr>
                <w:b w:val="0"/>
                <w:color w:val="000000"/>
              </w:rPr>
            </w:pPr>
            <w:r>
              <w:rPr>
                <w:b w:val="0"/>
                <w:color w:val="000000"/>
              </w:rPr>
              <w:t>断言数</w:t>
            </w:r>
          </w:p>
        </w:tc>
        <w:tc>
          <w:tcPr>
            <w:tcBorders>
              <w:top w:val="single" w:color="000000" w:sz="12" w:space="0"/>
              <w:left w:val="nil"/>
              <w:bottom w:val="single" w:color="000000" w:sz="4" w:space="0"/>
              <w:right w:val="nil"/>
            </w:tcBorders>
            <w:shd w:val="clear" w:color="auto" w:fill="FFFFFF"/>
            <w:vAlign w:val="center"/>
          </w:tcPr>
          <w:p w14:paraId="5B867608">
            <w:pPr>
              <w:pStyle w:val="13"/>
              <w:widowControl/>
              <w:wordWrap/>
              <w:bidi w:val="0"/>
              <w:rPr>
                <w:b w:val="0"/>
                <w:color w:val="000000"/>
              </w:rPr>
            </w:pPr>
            <w:r>
              <w:rPr>
                <w:b w:val="0"/>
                <w:color w:val="000000"/>
              </w:rPr>
              <w:t>热启动中位数/IQR(s)</w:t>
            </w:r>
          </w:p>
        </w:tc>
        <w:tc>
          <w:tcPr>
            <w:tcBorders>
              <w:top w:val="single" w:color="000000" w:sz="12" w:space="0"/>
              <w:left w:val="nil"/>
              <w:bottom w:val="single" w:color="000000" w:sz="4" w:space="0"/>
              <w:right w:val="nil"/>
            </w:tcBorders>
            <w:shd w:val="clear" w:color="auto" w:fill="FFFFFF"/>
            <w:vAlign w:val="center"/>
          </w:tcPr>
          <w:p w14:paraId="73B9870C">
            <w:pPr>
              <w:pStyle w:val="13"/>
              <w:widowControl/>
              <w:wordWrap/>
              <w:bidi w:val="0"/>
              <w:rPr>
                <w:b w:val="0"/>
                <w:color w:val="000000"/>
              </w:rPr>
            </w:pPr>
            <w:r>
              <w:rPr>
                <w:b w:val="0"/>
                <w:color w:val="000000"/>
              </w:rPr>
              <w:t>含加载中位数/IQR(s)</w:t>
            </w:r>
          </w:p>
        </w:tc>
        <w:tc>
          <w:tcPr>
            <w:tcBorders>
              <w:top w:val="single" w:color="000000" w:sz="12" w:space="0"/>
              <w:left w:val="nil"/>
              <w:bottom w:val="single" w:color="000000" w:sz="4" w:space="0"/>
              <w:right w:val="nil"/>
            </w:tcBorders>
            <w:shd w:val="clear" w:color="auto" w:fill="FFFFFF"/>
            <w:vAlign w:val="center"/>
          </w:tcPr>
          <w:p w14:paraId="5CAF8551">
            <w:pPr>
              <w:pStyle w:val="13"/>
              <w:widowControl/>
              <w:wordWrap/>
              <w:bidi w:val="0"/>
              <w:rPr>
                <w:b w:val="0"/>
                <w:color w:val="000000"/>
              </w:rPr>
            </w:pPr>
            <w:r>
              <w:rPr>
                <w:b w:val="0"/>
                <w:color w:val="000000"/>
              </w:rPr>
              <w:t>热启动吞吐(断言/s)</w:t>
            </w:r>
          </w:p>
        </w:tc>
        <w:tc>
          <w:tcPr>
            <w:tcBorders>
              <w:top w:val="single" w:color="000000" w:sz="12" w:space="0"/>
              <w:left w:val="nil"/>
              <w:bottom w:val="single" w:color="000000" w:sz="4" w:space="0"/>
              <w:right w:val="nil"/>
            </w:tcBorders>
            <w:shd w:val="clear" w:color="auto" w:fill="FFFFFF"/>
            <w:vAlign w:val="center"/>
          </w:tcPr>
          <w:p w14:paraId="33EDB419">
            <w:pPr>
              <w:pStyle w:val="13"/>
              <w:widowControl/>
              <w:wordWrap/>
              <w:bidi w:val="0"/>
              <w:rPr>
                <w:b w:val="0"/>
                <w:color w:val="000000"/>
              </w:rPr>
            </w:pPr>
            <w:r>
              <w:rPr>
                <w:b w:val="0"/>
                <w:color w:val="000000"/>
              </w:rPr>
              <w:t>含加载吞吐(断言/s)</w:t>
            </w:r>
          </w:p>
        </w:tc>
        <w:tc>
          <w:tcPr>
            <w:tcBorders>
              <w:top w:val="single" w:color="000000" w:sz="12" w:space="0"/>
              <w:left w:val="nil"/>
              <w:bottom w:val="single" w:color="000000" w:sz="4" w:space="0"/>
              <w:right w:val="nil"/>
            </w:tcBorders>
            <w:shd w:val="clear" w:color="auto" w:fill="FFFFFF"/>
            <w:vAlign w:val="center"/>
          </w:tcPr>
          <w:p w14:paraId="230F2664">
            <w:pPr>
              <w:pStyle w:val="13"/>
              <w:widowControl/>
              <w:wordWrap/>
              <w:bidi w:val="0"/>
              <w:rPr>
                <w:b w:val="0"/>
                <w:color w:val="000000"/>
              </w:rPr>
            </w:pPr>
            <w:r>
              <w:rPr>
                <w:b w:val="0"/>
                <w:color w:val="000000"/>
              </w:rPr>
              <w:t>峰值RSS(MB)</w:t>
            </w:r>
          </w:p>
        </w:tc>
      </w:tr>
      <w:tr w14:paraId="197BEF0B">
        <w:tblPrEx>
          <w:tblCellMar>
            <w:top w:w="0" w:type="dxa"/>
            <w:left w:w="108" w:type="dxa"/>
            <w:bottom w:w="0" w:type="dxa"/>
            <w:right w:w="108" w:type="dxa"/>
          </w:tblCellMar>
        </w:tblPrEx>
        <w:trPr>
          <w:cantSplit/>
          <w:jc w:val="center"/>
        </w:trPr>
        <w:tc>
          <w:tcPr>
            <w:tcW w:w="481" w:type="pct"/>
            <w:tcBorders>
              <w:top w:val="single" w:color="000000" w:sz="4" w:space="0"/>
              <w:left w:val="nil"/>
              <w:bottom w:val="nil"/>
              <w:right w:val="nil"/>
            </w:tcBorders>
            <w:shd w:val="clear" w:color="auto" w:fill="FFFFFF"/>
            <w:vAlign w:val="center"/>
          </w:tcPr>
          <w:p w14:paraId="598EF9BA">
            <w:pPr>
              <w:pStyle w:val="13"/>
              <w:widowControl/>
              <w:wordWrap/>
              <w:bidi w:val="0"/>
              <w:rPr>
                <w:b w:val="0"/>
                <w:color w:val="000000"/>
              </w:rPr>
            </w:pPr>
            <w:r>
              <w:rPr>
                <w:b w:val="0"/>
                <w:color w:val="000000"/>
              </w:rPr>
              <w:t>10%</w:t>
            </w:r>
          </w:p>
        </w:tc>
        <w:tc>
          <w:tcPr>
            <w:tcW w:w="531" w:type="pct"/>
            <w:tcBorders>
              <w:top w:val="single" w:color="000000" w:sz="4" w:space="0"/>
              <w:left w:val="nil"/>
              <w:bottom w:val="nil"/>
              <w:right w:val="nil"/>
            </w:tcBorders>
            <w:shd w:val="clear" w:color="auto" w:fill="FFFFFF"/>
            <w:vAlign w:val="center"/>
          </w:tcPr>
          <w:p w14:paraId="5038B1F6">
            <w:pPr>
              <w:pStyle w:val="13"/>
              <w:widowControl/>
              <w:wordWrap/>
              <w:bidi w:val="0"/>
              <w:rPr>
                <w:b w:val="0"/>
                <w:color w:val="000000"/>
              </w:rPr>
            </w:pPr>
            <w:r>
              <w:rPr>
                <w:b w:val="0"/>
                <w:color w:val="000000"/>
              </w:rPr>
              <w:t>42,415</w:t>
            </w:r>
          </w:p>
        </w:tc>
        <w:tc>
          <w:tcPr>
            <w:tcBorders>
              <w:top w:val="single" w:color="000000" w:sz="4" w:space="0"/>
              <w:left w:val="nil"/>
              <w:bottom w:val="nil"/>
              <w:right w:val="nil"/>
            </w:tcBorders>
            <w:shd w:val="clear" w:color="auto" w:fill="FFFFFF"/>
            <w:vAlign w:val="center"/>
          </w:tcPr>
          <w:p w14:paraId="18A5BC93">
            <w:pPr>
              <w:pStyle w:val="13"/>
              <w:widowControl/>
              <w:wordWrap/>
              <w:bidi w:val="0"/>
              <w:rPr>
                <w:b w:val="0"/>
                <w:color w:val="000000"/>
              </w:rPr>
            </w:pPr>
            <w:r>
              <w:rPr>
                <w:b w:val="0"/>
                <w:color w:val="000000"/>
              </w:rPr>
              <w:t>16.675 / 0.930</w:t>
            </w:r>
          </w:p>
        </w:tc>
        <w:tc>
          <w:tcPr>
            <w:tcBorders>
              <w:top w:val="single" w:color="000000" w:sz="4" w:space="0"/>
              <w:left w:val="nil"/>
              <w:bottom w:val="nil"/>
              <w:right w:val="nil"/>
            </w:tcBorders>
            <w:shd w:val="clear" w:color="auto" w:fill="FFFFFF"/>
            <w:vAlign w:val="center"/>
          </w:tcPr>
          <w:p w14:paraId="33981AD1">
            <w:pPr>
              <w:pStyle w:val="13"/>
              <w:widowControl/>
              <w:wordWrap/>
              <w:bidi w:val="0"/>
              <w:rPr>
                <w:b w:val="0"/>
                <w:color w:val="000000"/>
              </w:rPr>
            </w:pPr>
            <w:r>
              <w:rPr>
                <w:b w:val="0"/>
                <w:color w:val="000000"/>
              </w:rPr>
              <w:t>17.192 / 0.860</w:t>
            </w:r>
          </w:p>
        </w:tc>
        <w:tc>
          <w:tcPr>
            <w:tcBorders>
              <w:top w:val="single" w:color="000000" w:sz="4" w:space="0"/>
              <w:left w:val="nil"/>
              <w:bottom w:val="nil"/>
              <w:right w:val="nil"/>
            </w:tcBorders>
            <w:shd w:val="clear" w:color="auto" w:fill="FFFFFF"/>
            <w:vAlign w:val="center"/>
          </w:tcPr>
          <w:p w14:paraId="453830EA">
            <w:pPr>
              <w:pStyle w:val="13"/>
              <w:widowControl/>
              <w:wordWrap/>
              <w:bidi w:val="0"/>
              <w:rPr>
                <w:b w:val="0"/>
                <w:color w:val="000000"/>
              </w:rPr>
            </w:pPr>
            <w:r>
              <w:rPr>
                <w:b w:val="0"/>
                <w:color w:val="000000"/>
              </w:rPr>
              <w:t>2,543.682</w:t>
            </w:r>
          </w:p>
        </w:tc>
        <w:tc>
          <w:tcPr>
            <w:tcBorders>
              <w:top w:val="single" w:color="000000" w:sz="4" w:space="0"/>
              <w:left w:val="nil"/>
              <w:bottom w:val="nil"/>
              <w:right w:val="nil"/>
            </w:tcBorders>
            <w:shd w:val="clear" w:color="auto" w:fill="FFFFFF"/>
            <w:vAlign w:val="center"/>
          </w:tcPr>
          <w:p w14:paraId="0DA81BF9">
            <w:pPr>
              <w:pStyle w:val="13"/>
              <w:widowControl/>
              <w:wordWrap/>
              <w:bidi w:val="0"/>
              <w:rPr>
                <w:b w:val="0"/>
                <w:color w:val="000000"/>
              </w:rPr>
            </w:pPr>
            <w:r>
              <w:rPr>
                <w:b w:val="0"/>
                <w:color w:val="000000"/>
              </w:rPr>
              <w:t>2,467.202</w:t>
            </w:r>
          </w:p>
        </w:tc>
        <w:tc>
          <w:tcPr>
            <w:tcBorders>
              <w:top w:val="single" w:color="000000" w:sz="4" w:space="0"/>
              <w:left w:val="nil"/>
              <w:bottom w:val="nil"/>
              <w:right w:val="nil"/>
            </w:tcBorders>
            <w:shd w:val="clear" w:color="auto" w:fill="FFFFFF"/>
            <w:vAlign w:val="center"/>
          </w:tcPr>
          <w:p w14:paraId="40741CBC">
            <w:pPr>
              <w:pStyle w:val="13"/>
              <w:widowControl/>
              <w:wordWrap/>
              <w:bidi w:val="0"/>
              <w:rPr>
                <w:b w:val="0"/>
                <w:color w:val="000000"/>
              </w:rPr>
            </w:pPr>
            <w:r>
              <w:rPr>
                <w:b w:val="0"/>
                <w:color w:val="000000"/>
              </w:rPr>
              <w:t>430.027</w:t>
            </w:r>
          </w:p>
        </w:tc>
      </w:tr>
      <w:tr w14:paraId="7BE3E98C">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6CDE3C13">
            <w:pPr>
              <w:pStyle w:val="13"/>
              <w:widowControl/>
              <w:wordWrap/>
              <w:bidi w:val="0"/>
              <w:rPr>
                <w:b w:val="0"/>
                <w:color w:val="000000"/>
              </w:rPr>
            </w:pPr>
            <w:r>
              <w:rPr>
                <w:b w:val="0"/>
                <w:color w:val="000000"/>
              </w:rPr>
              <w:t>25%</w:t>
            </w:r>
          </w:p>
        </w:tc>
        <w:tc>
          <w:tcPr>
            <w:tcW w:w="531" w:type="pct"/>
            <w:tcBorders>
              <w:top w:val="nil"/>
              <w:left w:val="nil"/>
              <w:bottom w:val="nil"/>
              <w:right w:val="nil"/>
            </w:tcBorders>
            <w:shd w:val="clear" w:color="auto" w:fill="FFFFFF"/>
            <w:vAlign w:val="center"/>
          </w:tcPr>
          <w:p w14:paraId="0CACD401">
            <w:pPr>
              <w:pStyle w:val="13"/>
              <w:widowControl/>
              <w:wordWrap/>
              <w:bidi w:val="0"/>
              <w:rPr>
                <w:b w:val="0"/>
                <w:color w:val="000000"/>
              </w:rPr>
            </w:pPr>
            <w:r>
              <w:rPr>
                <w:b w:val="0"/>
                <w:color w:val="000000"/>
              </w:rPr>
              <w:t>106,037</w:t>
            </w:r>
          </w:p>
        </w:tc>
        <w:tc>
          <w:tcPr>
            <w:tcBorders>
              <w:top w:val="nil"/>
              <w:left w:val="nil"/>
              <w:bottom w:val="nil"/>
              <w:right w:val="nil"/>
            </w:tcBorders>
            <w:shd w:val="clear" w:color="auto" w:fill="FFFFFF"/>
            <w:vAlign w:val="center"/>
          </w:tcPr>
          <w:p w14:paraId="0C586D92">
            <w:pPr>
              <w:pStyle w:val="13"/>
              <w:widowControl/>
              <w:wordWrap/>
              <w:bidi w:val="0"/>
              <w:rPr>
                <w:b w:val="0"/>
                <w:color w:val="000000"/>
              </w:rPr>
            </w:pPr>
            <w:r>
              <w:rPr>
                <w:b w:val="0"/>
                <w:color w:val="000000"/>
              </w:rPr>
              <w:t>21.433 / 2.985</w:t>
            </w:r>
          </w:p>
        </w:tc>
        <w:tc>
          <w:tcPr>
            <w:tcBorders>
              <w:top w:val="nil"/>
              <w:left w:val="nil"/>
              <w:bottom w:val="nil"/>
              <w:right w:val="nil"/>
            </w:tcBorders>
            <w:shd w:val="clear" w:color="auto" w:fill="FFFFFF"/>
            <w:vAlign w:val="center"/>
          </w:tcPr>
          <w:p w14:paraId="4B7648DA">
            <w:pPr>
              <w:pStyle w:val="13"/>
              <w:widowControl/>
              <w:wordWrap/>
              <w:bidi w:val="0"/>
              <w:rPr>
                <w:b w:val="0"/>
                <w:color w:val="000000"/>
              </w:rPr>
            </w:pPr>
            <w:r>
              <w:rPr>
                <w:b w:val="0"/>
                <w:color w:val="000000"/>
              </w:rPr>
              <w:t>21.927 / 3.617</w:t>
            </w:r>
          </w:p>
        </w:tc>
        <w:tc>
          <w:tcPr>
            <w:tcBorders>
              <w:top w:val="nil"/>
              <w:left w:val="nil"/>
              <w:bottom w:val="nil"/>
              <w:right w:val="nil"/>
            </w:tcBorders>
            <w:shd w:val="clear" w:color="auto" w:fill="FFFFFF"/>
            <w:vAlign w:val="center"/>
          </w:tcPr>
          <w:p w14:paraId="488686E5">
            <w:pPr>
              <w:pStyle w:val="13"/>
              <w:widowControl/>
              <w:wordWrap/>
              <w:bidi w:val="0"/>
              <w:rPr>
                <w:b w:val="0"/>
                <w:color w:val="000000"/>
              </w:rPr>
            </w:pPr>
            <w:r>
              <w:rPr>
                <w:b w:val="0"/>
                <w:color w:val="000000"/>
              </w:rPr>
              <w:t>4,947.455</w:t>
            </w:r>
          </w:p>
        </w:tc>
        <w:tc>
          <w:tcPr>
            <w:tcBorders>
              <w:top w:val="nil"/>
              <w:left w:val="nil"/>
              <w:bottom w:val="nil"/>
              <w:right w:val="nil"/>
            </w:tcBorders>
            <w:shd w:val="clear" w:color="auto" w:fill="FFFFFF"/>
            <w:vAlign w:val="center"/>
          </w:tcPr>
          <w:p w14:paraId="18657A03">
            <w:pPr>
              <w:pStyle w:val="13"/>
              <w:widowControl/>
              <w:wordWrap/>
              <w:bidi w:val="0"/>
              <w:rPr>
                <w:b w:val="0"/>
                <w:color w:val="000000"/>
              </w:rPr>
            </w:pPr>
            <w:r>
              <w:rPr>
                <w:b w:val="0"/>
                <w:color w:val="000000"/>
              </w:rPr>
              <w:t>4,835.870</w:t>
            </w:r>
          </w:p>
        </w:tc>
        <w:tc>
          <w:tcPr>
            <w:tcBorders>
              <w:top w:val="nil"/>
              <w:left w:val="nil"/>
              <w:bottom w:val="nil"/>
              <w:right w:val="nil"/>
            </w:tcBorders>
            <w:shd w:val="clear" w:color="auto" w:fill="FFFFFF"/>
            <w:vAlign w:val="center"/>
          </w:tcPr>
          <w:p w14:paraId="30AD8D02">
            <w:pPr>
              <w:pStyle w:val="13"/>
              <w:widowControl/>
              <w:wordWrap/>
              <w:bidi w:val="0"/>
              <w:rPr>
                <w:b w:val="0"/>
                <w:color w:val="000000"/>
              </w:rPr>
            </w:pPr>
            <w:r>
              <w:rPr>
                <w:b w:val="0"/>
                <w:color w:val="000000"/>
              </w:rPr>
              <w:t>540.115</w:t>
            </w:r>
          </w:p>
        </w:tc>
      </w:tr>
      <w:tr w14:paraId="0BE74954">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36C8A055">
            <w:pPr>
              <w:pStyle w:val="13"/>
              <w:widowControl/>
              <w:wordWrap/>
              <w:bidi w:val="0"/>
              <w:rPr>
                <w:b w:val="0"/>
                <w:color w:val="000000"/>
              </w:rPr>
            </w:pPr>
            <w:r>
              <w:rPr>
                <w:b w:val="0"/>
                <w:color w:val="000000"/>
              </w:rPr>
              <w:t>50%</w:t>
            </w:r>
          </w:p>
        </w:tc>
        <w:tc>
          <w:tcPr>
            <w:tcW w:w="531" w:type="pct"/>
            <w:tcBorders>
              <w:top w:val="nil"/>
              <w:left w:val="nil"/>
              <w:bottom w:val="nil"/>
              <w:right w:val="nil"/>
            </w:tcBorders>
            <w:shd w:val="clear" w:color="auto" w:fill="FFFFFF"/>
            <w:vAlign w:val="center"/>
          </w:tcPr>
          <w:p w14:paraId="519B7E3F">
            <w:pPr>
              <w:pStyle w:val="13"/>
              <w:widowControl/>
              <w:wordWrap/>
              <w:bidi w:val="0"/>
              <w:rPr>
                <w:b w:val="0"/>
                <w:color w:val="000000"/>
              </w:rPr>
            </w:pPr>
            <w:r>
              <w:rPr>
                <w:b w:val="0"/>
                <w:color w:val="000000"/>
              </w:rPr>
              <w:t>212,075</w:t>
            </w:r>
          </w:p>
        </w:tc>
        <w:tc>
          <w:tcPr>
            <w:tcBorders>
              <w:top w:val="nil"/>
              <w:left w:val="nil"/>
              <w:bottom w:val="nil"/>
              <w:right w:val="nil"/>
            </w:tcBorders>
            <w:shd w:val="clear" w:color="auto" w:fill="FFFFFF"/>
            <w:vAlign w:val="center"/>
          </w:tcPr>
          <w:p w14:paraId="32AE6572">
            <w:pPr>
              <w:pStyle w:val="13"/>
              <w:widowControl/>
              <w:wordWrap/>
              <w:bidi w:val="0"/>
              <w:rPr>
                <w:b w:val="0"/>
                <w:color w:val="000000"/>
              </w:rPr>
            </w:pPr>
            <w:r>
              <w:rPr>
                <w:b w:val="0"/>
                <w:color w:val="000000"/>
              </w:rPr>
              <w:t>32.530 / 3.975</w:t>
            </w:r>
          </w:p>
        </w:tc>
        <w:tc>
          <w:tcPr>
            <w:tcBorders>
              <w:top w:val="nil"/>
              <w:left w:val="nil"/>
              <w:bottom w:val="nil"/>
              <w:right w:val="nil"/>
            </w:tcBorders>
            <w:shd w:val="clear" w:color="auto" w:fill="FFFFFF"/>
            <w:vAlign w:val="center"/>
          </w:tcPr>
          <w:p w14:paraId="05306D2D">
            <w:pPr>
              <w:pStyle w:val="13"/>
              <w:widowControl/>
              <w:wordWrap/>
              <w:bidi w:val="0"/>
              <w:rPr>
                <w:b w:val="0"/>
                <w:color w:val="000000"/>
              </w:rPr>
            </w:pPr>
            <w:r>
              <w:rPr>
                <w:b w:val="0"/>
                <w:color w:val="000000"/>
              </w:rPr>
              <w:t>33.033 / 4.331</w:t>
            </w:r>
          </w:p>
        </w:tc>
        <w:tc>
          <w:tcPr>
            <w:tcBorders>
              <w:top w:val="nil"/>
              <w:left w:val="nil"/>
              <w:bottom w:val="nil"/>
              <w:right w:val="nil"/>
            </w:tcBorders>
            <w:shd w:val="clear" w:color="auto" w:fill="FFFFFF"/>
            <w:vAlign w:val="center"/>
          </w:tcPr>
          <w:p w14:paraId="3864D750">
            <w:pPr>
              <w:pStyle w:val="13"/>
              <w:widowControl/>
              <w:wordWrap/>
              <w:bidi w:val="0"/>
              <w:rPr>
                <w:b w:val="0"/>
                <w:color w:val="000000"/>
              </w:rPr>
            </w:pPr>
            <w:r>
              <w:rPr>
                <w:b w:val="0"/>
                <w:color w:val="000000"/>
              </w:rPr>
              <w:t>6,519.291</w:t>
            </w:r>
          </w:p>
        </w:tc>
        <w:tc>
          <w:tcPr>
            <w:tcBorders>
              <w:top w:val="nil"/>
              <w:left w:val="nil"/>
              <w:bottom w:val="nil"/>
              <w:right w:val="nil"/>
            </w:tcBorders>
            <w:shd w:val="clear" w:color="auto" w:fill="FFFFFF"/>
            <w:vAlign w:val="center"/>
          </w:tcPr>
          <w:p w14:paraId="4DABD6AD">
            <w:pPr>
              <w:pStyle w:val="13"/>
              <w:widowControl/>
              <w:wordWrap/>
              <w:bidi w:val="0"/>
              <w:rPr>
                <w:b w:val="0"/>
                <w:color w:val="000000"/>
              </w:rPr>
            </w:pPr>
            <w:r>
              <w:rPr>
                <w:b w:val="0"/>
                <w:color w:val="000000"/>
              </w:rPr>
              <w:t>6,420.045</w:t>
            </w:r>
          </w:p>
        </w:tc>
        <w:tc>
          <w:tcPr>
            <w:tcBorders>
              <w:top w:val="nil"/>
              <w:left w:val="nil"/>
              <w:bottom w:val="nil"/>
              <w:right w:val="nil"/>
            </w:tcBorders>
            <w:shd w:val="clear" w:color="auto" w:fill="FFFFFF"/>
            <w:vAlign w:val="center"/>
          </w:tcPr>
          <w:p w14:paraId="6FE9A8DA">
            <w:pPr>
              <w:pStyle w:val="13"/>
              <w:widowControl/>
              <w:wordWrap/>
              <w:bidi w:val="0"/>
              <w:rPr>
                <w:b w:val="0"/>
                <w:color w:val="000000"/>
              </w:rPr>
            </w:pPr>
            <w:r>
              <w:rPr>
                <w:b w:val="0"/>
                <w:color w:val="000000"/>
              </w:rPr>
              <w:t>845.173</w:t>
            </w:r>
          </w:p>
        </w:tc>
      </w:tr>
      <w:tr w14:paraId="55DC0A7B">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1B3F60BA">
            <w:pPr>
              <w:pStyle w:val="13"/>
              <w:widowControl/>
              <w:wordWrap/>
              <w:bidi w:val="0"/>
              <w:rPr>
                <w:b w:val="0"/>
                <w:color w:val="000000"/>
              </w:rPr>
            </w:pPr>
            <w:r>
              <w:rPr>
                <w:b w:val="0"/>
                <w:color w:val="000000"/>
              </w:rPr>
              <w:t>75%</w:t>
            </w:r>
          </w:p>
        </w:tc>
        <w:tc>
          <w:tcPr>
            <w:tcW w:w="531" w:type="pct"/>
            <w:tcBorders>
              <w:top w:val="nil"/>
              <w:left w:val="nil"/>
              <w:bottom w:val="nil"/>
              <w:right w:val="nil"/>
            </w:tcBorders>
            <w:shd w:val="clear" w:color="auto" w:fill="FFFFFF"/>
            <w:vAlign w:val="center"/>
          </w:tcPr>
          <w:p w14:paraId="720FDAB3">
            <w:pPr>
              <w:pStyle w:val="13"/>
              <w:widowControl/>
              <w:wordWrap/>
              <w:bidi w:val="0"/>
              <w:rPr>
                <w:b w:val="0"/>
                <w:color w:val="000000"/>
              </w:rPr>
            </w:pPr>
            <w:r>
              <w:rPr>
                <w:b w:val="0"/>
                <w:color w:val="000000"/>
              </w:rPr>
              <w:t>318,112</w:t>
            </w:r>
          </w:p>
        </w:tc>
        <w:tc>
          <w:tcPr>
            <w:tcBorders>
              <w:top w:val="nil"/>
              <w:left w:val="nil"/>
              <w:bottom w:val="nil"/>
              <w:right w:val="nil"/>
            </w:tcBorders>
            <w:shd w:val="clear" w:color="auto" w:fill="FFFFFF"/>
            <w:vAlign w:val="center"/>
          </w:tcPr>
          <w:p w14:paraId="6CE821AC">
            <w:pPr>
              <w:pStyle w:val="13"/>
              <w:widowControl/>
              <w:wordWrap/>
              <w:bidi w:val="0"/>
              <w:rPr>
                <w:b w:val="0"/>
                <w:color w:val="000000"/>
              </w:rPr>
            </w:pPr>
            <w:r>
              <w:rPr>
                <w:b w:val="0"/>
                <w:color w:val="000000"/>
              </w:rPr>
              <w:t>41.195 / 1.893</w:t>
            </w:r>
          </w:p>
        </w:tc>
        <w:tc>
          <w:tcPr>
            <w:tcBorders>
              <w:top w:val="nil"/>
              <w:left w:val="nil"/>
              <w:bottom w:val="nil"/>
              <w:right w:val="nil"/>
            </w:tcBorders>
            <w:shd w:val="clear" w:color="auto" w:fill="FFFFFF"/>
            <w:vAlign w:val="center"/>
          </w:tcPr>
          <w:p w14:paraId="19108355">
            <w:pPr>
              <w:pStyle w:val="13"/>
              <w:widowControl/>
              <w:wordWrap/>
              <w:bidi w:val="0"/>
              <w:rPr>
                <w:b w:val="0"/>
                <w:color w:val="000000"/>
              </w:rPr>
            </w:pPr>
            <w:r>
              <w:rPr>
                <w:b w:val="0"/>
                <w:color w:val="000000"/>
              </w:rPr>
              <w:t>41.911 / 2.022</w:t>
            </w:r>
          </w:p>
        </w:tc>
        <w:tc>
          <w:tcPr>
            <w:tcBorders>
              <w:top w:val="nil"/>
              <w:left w:val="nil"/>
              <w:bottom w:val="nil"/>
              <w:right w:val="nil"/>
            </w:tcBorders>
            <w:shd w:val="clear" w:color="auto" w:fill="FFFFFF"/>
            <w:vAlign w:val="center"/>
          </w:tcPr>
          <w:p w14:paraId="1B3FA943">
            <w:pPr>
              <w:pStyle w:val="13"/>
              <w:widowControl/>
              <w:wordWrap/>
              <w:bidi w:val="0"/>
              <w:rPr>
                <w:b w:val="0"/>
                <w:color w:val="000000"/>
              </w:rPr>
            </w:pPr>
            <w:r>
              <w:rPr>
                <w:b w:val="0"/>
                <w:color w:val="000000"/>
              </w:rPr>
              <w:t>7,722.055</w:t>
            </w:r>
          </w:p>
        </w:tc>
        <w:tc>
          <w:tcPr>
            <w:tcBorders>
              <w:top w:val="nil"/>
              <w:left w:val="nil"/>
              <w:bottom w:val="nil"/>
              <w:right w:val="nil"/>
            </w:tcBorders>
            <w:shd w:val="clear" w:color="auto" w:fill="FFFFFF"/>
            <w:vAlign w:val="center"/>
          </w:tcPr>
          <w:p w14:paraId="3CD7AF06">
            <w:pPr>
              <w:pStyle w:val="13"/>
              <w:widowControl/>
              <w:wordWrap/>
              <w:bidi w:val="0"/>
              <w:rPr>
                <w:b w:val="0"/>
                <w:color w:val="000000"/>
              </w:rPr>
            </w:pPr>
            <w:r>
              <w:rPr>
                <w:b w:val="0"/>
                <w:color w:val="000000"/>
              </w:rPr>
              <w:t>7,590.241</w:t>
            </w:r>
          </w:p>
        </w:tc>
        <w:tc>
          <w:tcPr>
            <w:tcBorders>
              <w:top w:val="nil"/>
              <w:left w:val="nil"/>
              <w:bottom w:val="nil"/>
              <w:right w:val="nil"/>
            </w:tcBorders>
            <w:shd w:val="clear" w:color="auto" w:fill="FFFFFF"/>
            <w:vAlign w:val="center"/>
          </w:tcPr>
          <w:p w14:paraId="0123CA49">
            <w:pPr>
              <w:pStyle w:val="13"/>
              <w:widowControl/>
              <w:wordWrap/>
              <w:bidi w:val="0"/>
              <w:rPr>
                <w:b w:val="0"/>
                <w:color w:val="000000"/>
              </w:rPr>
            </w:pPr>
            <w:r>
              <w:rPr>
                <w:b w:val="0"/>
                <w:color w:val="000000"/>
              </w:rPr>
              <w:t>1,147.044</w:t>
            </w:r>
          </w:p>
        </w:tc>
      </w:tr>
      <w:tr w14:paraId="2C5B4279">
        <w:tblPrEx>
          <w:tblCellMar>
            <w:top w:w="0" w:type="dxa"/>
            <w:left w:w="108" w:type="dxa"/>
            <w:bottom w:w="0" w:type="dxa"/>
            <w:right w:w="108" w:type="dxa"/>
          </w:tblCellMar>
        </w:tblPrEx>
        <w:trPr>
          <w:cantSplit/>
          <w:jc w:val="center"/>
        </w:trPr>
        <w:tc>
          <w:tcPr>
            <w:tcW w:w="481" w:type="pct"/>
            <w:tcBorders>
              <w:top w:val="nil"/>
              <w:left w:val="nil"/>
              <w:bottom w:val="single" w:color="000000" w:sz="12" w:space="0"/>
              <w:right w:val="nil"/>
            </w:tcBorders>
            <w:shd w:val="clear" w:color="auto" w:fill="FFFFFF"/>
            <w:vAlign w:val="center"/>
          </w:tcPr>
          <w:p w14:paraId="7654AE8C">
            <w:pPr>
              <w:pStyle w:val="13"/>
              <w:widowControl/>
              <w:wordWrap/>
              <w:bidi w:val="0"/>
              <w:rPr>
                <w:b w:val="0"/>
                <w:color w:val="000000"/>
              </w:rPr>
            </w:pPr>
            <w:r>
              <w:rPr>
                <w:b w:val="0"/>
                <w:color w:val="000000"/>
              </w:rPr>
              <w:t>100%</w:t>
            </w:r>
          </w:p>
        </w:tc>
        <w:tc>
          <w:tcPr>
            <w:tcW w:w="531" w:type="pct"/>
            <w:tcBorders>
              <w:top w:val="nil"/>
              <w:left w:val="nil"/>
              <w:bottom w:val="single" w:color="000000" w:sz="12" w:space="0"/>
              <w:right w:val="nil"/>
            </w:tcBorders>
            <w:shd w:val="clear" w:color="auto" w:fill="FFFFFF"/>
            <w:vAlign w:val="center"/>
          </w:tcPr>
          <w:p w14:paraId="067FB451">
            <w:pPr>
              <w:pStyle w:val="13"/>
              <w:widowControl/>
              <w:wordWrap/>
              <w:bidi w:val="0"/>
              <w:rPr>
                <w:b w:val="0"/>
                <w:color w:val="000000"/>
              </w:rPr>
            </w:pPr>
            <w:r>
              <w:rPr>
                <w:b w:val="0"/>
                <w:color w:val="000000"/>
              </w:rPr>
              <w:t>424,150</w:t>
            </w:r>
          </w:p>
        </w:tc>
        <w:tc>
          <w:tcPr>
            <w:tcBorders>
              <w:top w:val="nil"/>
              <w:left w:val="nil"/>
              <w:bottom w:val="single" w:color="000000" w:sz="12" w:space="0"/>
              <w:right w:val="nil"/>
            </w:tcBorders>
            <w:shd w:val="clear" w:color="auto" w:fill="FFFFFF"/>
            <w:vAlign w:val="center"/>
          </w:tcPr>
          <w:p w14:paraId="771E19E7">
            <w:pPr>
              <w:pStyle w:val="13"/>
              <w:widowControl/>
              <w:wordWrap/>
              <w:bidi w:val="0"/>
              <w:rPr>
                <w:b w:val="0"/>
                <w:color w:val="000000"/>
              </w:rPr>
            </w:pPr>
            <w:r>
              <w:rPr>
                <w:b w:val="0"/>
                <w:color w:val="000000"/>
              </w:rPr>
              <w:t>45.900 / 2.165</w:t>
            </w:r>
          </w:p>
        </w:tc>
        <w:tc>
          <w:tcPr>
            <w:tcBorders>
              <w:top w:val="nil"/>
              <w:left w:val="nil"/>
              <w:bottom w:val="single" w:color="000000" w:sz="12" w:space="0"/>
              <w:right w:val="nil"/>
            </w:tcBorders>
            <w:shd w:val="clear" w:color="auto" w:fill="FFFFFF"/>
            <w:vAlign w:val="center"/>
          </w:tcPr>
          <w:p w14:paraId="3FE06480">
            <w:pPr>
              <w:pStyle w:val="13"/>
              <w:widowControl/>
              <w:wordWrap/>
              <w:bidi w:val="0"/>
              <w:rPr>
                <w:b w:val="0"/>
                <w:color w:val="000000"/>
              </w:rPr>
            </w:pPr>
            <w:r>
              <w:rPr>
                <w:b w:val="0"/>
                <w:color w:val="000000"/>
              </w:rPr>
              <w:t>46.749 / 2.101</w:t>
            </w:r>
          </w:p>
        </w:tc>
        <w:tc>
          <w:tcPr>
            <w:tcBorders>
              <w:top w:val="nil"/>
              <w:left w:val="nil"/>
              <w:bottom w:val="single" w:color="000000" w:sz="12" w:space="0"/>
              <w:right w:val="nil"/>
            </w:tcBorders>
            <w:shd w:val="clear" w:color="auto" w:fill="FFFFFF"/>
            <w:vAlign w:val="center"/>
          </w:tcPr>
          <w:p w14:paraId="3ECBB294">
            <w:pPr>
              <w:pStyle w:val="13"/>
              <w:widowControl/>
              <w:wordWrap/>
              <w:bidi w:val="0"/>
              <w:rPr>
                <w:b w:val="0"/>
                <w:color w:val="000000"/>
              </w:rPr>
            </w:pPr>
            <w:r>
              <w:rPr>
                <w:b w:val="0"/>
                <w:color w:val="000000"/>
              </w:rPr>
              <w:t>9,240.761</w:t>
            </w:r>
          </w:p>
        </w:tc>
        <w:tc>
          <w:tcPr>
            <w:tcBorders>
              <w:top w:val="nil"/>
              <w:left w:val="nil"/>
              <w:bottom w:val="single" w:color="000000" w:sz="12" w:space="0"/>
              <w:right w:val="nil"/>
            </w:tcBorders>
            <w:shd w:val="clear" w:color="auto" w:fill="FFFFFF"/>
            <w:vAlign w:val="center"/>
          </w:tcPr>
          <w:p w14:paraId="0E09148B">
            <w:pPr>
              <w:pStyle w:val="13"/>
              <w:widowControl/>
              <w:wordWrap/>
              <w:bidi w:val="0"/>
              <w:rPr>
                <w:b w:val="0"/>
                <w:color w:val="000000"/>
              </w:rPr>
            </w:pPr>
            <w:r>
              <w:rPr>
                <w:b w:val="0"/>
                <w:color w:val="000000"/>
              </w:rPr>
              <w:t>9,073.015</w:t>
            </w:r>
          </w:p>
        </w:tc>
        <w:tc>
          <w:tcPr>
            <w:tcBorders>
              <w:top w:val="nil"/>
              <w:left w:val="nil"/>
              <w:bottom w:val="single" w:color="000000" w:sz="12" w:space="0"/>
              <w:right w:val="nil"/>
            </w:tcBorders>
            <w:shd w:val="clear" w:color="auto" w:fill="FFFFFF"/>
            <w:vAlign w:val="center"/>
          </w:tcPr>
          <w:p w14:paraId="7DD2A460">
            <w:pPr>
              <w:pStyle w:val="13"/>
              <w:widowControl/>
              <w:wordWrap/>
              <w:bidi w:val="0"/>
              <w:rPr>
                <w:b w:val="0"/>
                <w:color w:val="000000"/>
              </w:rPr>
            </w:pPr>
            <w:r>
              <w:rPr>
                <w:b w:val="0"/>
                <w:color w:val="000000"/>
              </w:rPr>
              <w:t>1,428.836</w:t>
            </w:r>
          </w:p>
        </w:tc>
      </w:tr>
    </w:tbl>
    <w:p w14:paraId="215B4561">
      <w:pPr>
        <w:pStyle w:val="3"/>
        <w:widowControl/>
        <w:wordWrap/>
        <w:jc w:val="both"/>
      </w:pPr>
      <w:r>
        <w:rPr>
          <w:rFonts w:hint="eastAsia"/>
        </w:rPr>
        <w:t>100%规模下，424,150条知识陈述的热启动中位时间为45.900 s，含本地模型加载为46.749 s，相差0.849 s；对应吞吐为9,240.761条/s，峰值RSS为1,428.836 MB。图8展示五档规模的时间、吞吐和内存。这些数值刻画当前硬件与实现中的本地确定性链路，并为后续纳入OCR、远程服务和大语言模型实时调用的全流程评测提供性能基线。</w:t>
      </w:r>
    </w:p>
    <w:p w14:paraId="26624736">
      <w:pPr>
        <w:wordWrap/>
        <w:bidi w:val="0"/>
        <w:ind w:left="0" w:leftChars="0" w:firstLine="0" w:firstLineChars="0"/>
      </w:pPr>
      <w:r>
        <w:drawing>
          <wp:inline distT="0" distB="0" distL="114300" distR="114300">
            <wp:extent cx="5831840" cy="1802765"/>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15"/>
                    <a:srcRect b="9557"/>
                    <a:stretch>
                      <a:fillRect/>
                    </a:stretch>
                  </pic:blipFill>
                  <pic:spPr>
                    <a:xfrm>
                      <a:off x="0" y="0"/>
                      <a:ext cx="5832000" cy="1802765"/>
                    </a:xfrm>
                    <a:prstGeom prst="rect">
                      <a:avLst/>
                    </a:prstGeom>
                    <a:noFill/>
                    <a:ln w="9525">
                      <a:noFill/>
                    </a:ln>
                  </pic:spPr>
                </pic:pic>
              </a:graphicData>
            </a:graphic>
          </wp:inline>
        </w:drawing>
      </w:r>
    </w:p>
    <w:p w14:paraId="2BFEB9B2">
      <w:pPr>
        <w:pStyle w:val="6"/>
        <w:widowControl/>
        <w:wordWrap/>
        <w:bidi w:val="0"/>
        <w:spacing w:before="40" w:after="40" w:line="240" w:lineRule="auto"/>
        <w:ind w:left="0" w:leftChars="0" w:firstLine="0" w:firstLineChars="0"/>
        <w:rPr>
          <w:rFonts w:hint="eastAsia" w:eastAsia="宋体"/>
          <w:lang w:eastAsia="zh-CN"/>
        </w:rPr>
      </w:pPr>
      <w:r>
        <w:rPr>
          <w:sz w:val="17"/>
        </w:rPr>
        <w:t>图 8 五档规模下的本地确定性构建链效率；English: Figure 8 Efficiency of the local deterministic graph-construction pipeline at five scales</w:t>
      </w:r>
    </w:p>
    <w:p w14:paraId="12A2473C">
      <w:pPr>
        <w:pStyle w:val="3"/>
        <w:keepLines w:val="0"/>
        <w:widowControl/>
        <w:wordWrap/>
        <w:spacing w:before="0" w:after="0" w:line="360" w:lineRule="auto"/>
        <w:ind w:firstLine="420"/>
        <w:jc w:val="both"/>
      </w:pPr>
      <w:r>
        <w:rPr>
          <w:rFonts w:hint="eastAsia" w:ascii="Times New Roman" w:hAnsi="Times New Roman" w:eastAsia="宋体"/>
          <w:b w:val="0"/>
          <w:sz w:val="21"/>
        </w:rPr>
        <w:t>在100%规模的本地执行阶段，来源读取中位耗时36.125 s，占含加载总时间约77.47%；规则与标注、特征向量化、时空与归属检查、本地分类器推理分别为5.188 s、1.788 s、0.772 s和0.165 s。当前测量范围内的主要瓶颈是来源读取与关联装配，后续实现优化应优先评估来源索引和批量读取路径。该结果明确了本地确定性阶段的性能构成，也为全流程各环节的分项计时提供了参照。</w:t>
      </w:r>
    </w:p>
    <w:bookmarkEnd w:id="1"/>
    <w:p w14:paraId="08B09F57">
      <w:pPr>
        <w:pStyle w:val="2"/>
        <w:keepNext/>
        <w:keepLines/>
        <w:widowControl/>
        <w:wordWrap/>
        <w:rPr>
          <w:rFonts w:hint="eastAsia"/>
        </w:rPr>
      </w:pPr>
      <w:bookmarkStart w:id="4" w:name="讨论与结论"/>
      <w:r>
        <w:t>5 讨论</w:t>
      </w:r>
      <w:bookmarkStart w:id="5" w:name="结论"/>
    </w:p>
    <w:p w14:paraId="4BFD92E1">
      <w:pPr>
        <w:widowControl/>
        <w:wordWrap/>
        <w:bidi w:val="0"/>
        <w:rPr>
          <w:rFonts w:hint="eastAsia"/>
        </w:rPr>
      </w:pPr>
      <w:r>
        <w:rPr>
          <w:rFonts w:hint="eastAsia"/>
        </w:rPr>
        <w:t>本研究的主要贡献是面向历史文献知识图谱建立“语义可接受—结构可发布—证据可返回”的连续质量控制框架。选择性预测控制候选相对于集成参考标注的错误暴露，结构准入保障严格语义层的身份、关系和时空合规，来源绑定维持知识陈述返回原始文本的路径。三者共同形成从候选生成、风险判定到分层发布和史料复核的可审计闭环。</w:t>
      </w:r>
    </w:p>
    <w:p w14:paraId="2EDEFA7A">
      <w:pPr>
        <w:widowControl/>
        <w:wordWrap/>
        <w:bidi w:val="0"/>
        <w:rPr>
          <w:rFonts w:hint="eastAsia"/>
        </w:rPr>
      </w:pPr>
      <w:r>
        <w:rPr>
          <w:rFonts w:hint="eastAsia"/>
        </w:rPr>
        <w:t>（1）选择性预测通过显式保留不确定性，限制低可靠候选进入自动发布通道。规则—Qwen一致性选择在核心评价集上接受116/152条，其中115条与集成参考标注一致；相较全覆盖本地分类器，这一结果清晰呈现了覆盖率与错误暴露之间的可控取舍。当前参考标注和缓存模型输出共同构成可复核的评价基线，也为后续文献类型与模型版本扩展提供比较坐标。</w:t>
      </w:r>
    </w:p>
    <w:p w14:paraId="4FAC2A55">
      <w:pPr>
        <w:widowControl/>
        <w:wordWrap/>
        <w:bidi w:val="0"/>
        <w:rPr>
          <w:rFonts w:hint="eastAsia"/>
        </w:rPr>
      </w:pPr>
      <w:r>
        <w:rPr>
          <w:rFonts w:hint="eastAsia"/>
        </w:rPr>
        <w:t>（2）结构准入提供与语义判定正交的发布控制。身份投影、关系契约和时空归属重校验可以发现或隔离模型分数难以表达的类型与归属问题；去除关系契约后新增3,412条类型违例，说明结构规则具有实际拦截作用。在冻结规范和当前检查器下，严格语义层未检出已定义违规，由此形成从约束定义、实例校验到发布验证的结构质量闭环。</w:t>
      </w:r>
    </w:p>
    <w:p w14:paraId="61DA5753">
      <w:pPr>
        <w:widowControl/>
        <w:wordWrap/>
        <w:bidi w:val="0"/>
        <w:rPr>
          <w:rFonts w:hint="eastAsia"/>
        </w:rPr>
      </w:pPr>
      <w:r>
        <w:rPr>
          <w:rFonts w:hint="eastAsia"/>
        </w:rPr>
        <w:t>（3）事件框架把人物、组织、事件和来源记录组织到同一查询单元，为观察“组织—人物—事件”关系提供结构化入口。图5和图6以“南昌起义”“八七会议”为例展示了事件中心网络的组织方式，使分散在不同文献中的参与者、时空信息和来源证据能够围绕统一事件节点汇聚，并为跨事件比较和网络统计提供标准化分析单元。</w:t>
      </w:r>
    </w:p>
    <w:p w14:paraId="6AD8ACC6">
      <w:pPr>
        <w:widowControl/>
        <w:wordWrap/>
        <w:bidi w:val="0"/>
        <w:rPr>
          <w:rFonts w:hint="eastAsia"/>
        </w:rPr>
      </w:pPr>
      <w:r>
        <w:rPr>
          <w:rFonts w:hint="eastAsia"/>
        </w:rPr>
        <w:t>（4）时空角色—归属对象表示区分事件发生、人物生平、组织存续、作品形成和来源年代等语境，避免把所有时间、地点都附着到当前事件。208条作用域调整表明，该表示能够直接改变知识的实际发布结果。它进一步把“复合历史空间”等宏观议题转化为可按区域、时期和角色进行统计检验的研究假设，连接了知识表示与历史时空分析。</w:t>
      </w:r>
    </w:p>
    <w:p w14:paraId="78EB8A4D">
      <w:pPr>
        <w:widowControl/>
        <w:wordWrap/>
        <w:bidi w:val="0"/>
        <w:rPr>
          <w:rFonts w:hint="eastAsia"/>
        </w:rPr>
      </w:pPr>
      <w:r>
        <w:rPr>
          <w:rFonts w:hint="eastAsia"/>
        </w:rPr>
        <w:t>（5）文化状态由严格语义层依据预设聚合规则构造，用于连接文化主体、形态、阶段、区域与支持事件。该分析层允许研究者从状态节点返回支持事件和原始来源，并可比较不同时期、不同区域的文化形态，为识别事件积累与阶段性变化提供可追溯的结构化起点。</w:t>
      </w:r>
    </w:p>
    <w:p w14:paraId="0232772F">
      <w:pPr>
        <w:widowControl/>
        <w:wordWrap/>
        <w:bidi w:val="0"/>
        <w:rPr>
          <w:rFonts w:hint="eastAsia"/>
        </w:rPr>
      </w:pPr>
      <w:r>
        <w:rPr>
          <w:rFonts w:hint="eastAsia"/>
        </w:rPr>
        <w:t>总体而言，本研究的方法贡献在于把多通道语义证据、结构发布条件和来源定位统一到同一记录生命周期，并以分层发布保存不同证据状态。由此形成的时空知识图谱能够同时支持跨文献实体检索、事件比较、时空查询和人工复核，并将区域联系、组织行动与文化演变等议题转化为具有来源依据的可计算研究问题。</w:t>
      </w:r>
    </w:p>
    <w:p w14:paraId="01422A87">
      <w:pPr>
        <w:widowControl/>
        <w:wordWrap/>
        <w:bidi w:val="0"/>
        <w:rPr>
          <w:rFonts w:hint="eastAsia"/>
        </w:rPr>
      </w:pPr>
      <w:r>
        <w:rPr>
          <w:rFonts w:hint="eastAsia"/>
          <w:b w:val="0"/>
        </w:rPr>
        <w:t>面向实际应用，后续</w:t>
      </w:r>
      <w:r>
        <w:rPr>
          <w:rFonts w:hint="eastAsia"/>
          <w:b w:val="0"/>
          <w:lang w:val="en-US" w:eastAsia="zh-CN"/>
        </w:rPr>
        <w:t>可</w:t>
      </w:r>
      <w:r>
        <w:rPr>
          <w:rFonts w:hint="eastAsia"/>
          <w:b w:val="0"/>
        </w:rPr>
        <w:t>持续扩展关系契约与时空角色集合，记录结构规范、检查器和模型版本，并把OCR及大语言模型实时推理纳入分项效率评测。在此基础上，可通过预注册的图统计指标和史料问题，把图谱提出的区域联系、组织行动与文化演变</w:t>
      </w:r>
      <w:bookmarkStart w:id="46" w:name="_GoBack"/>
      <w:bookmarkEnd w:id="46"/>
      <w:r>
        <w:rPr>
          <w:rFonts w:hint="eastAsia"/>
          <w:b w:val="0"/>
        </w:rPr>
        <w:t>假设转化为可重复的比较研究。上述扩展将进一步增强分层图谱在党史资料整理、证据核查和专题研究中的适用性。</w:t>
      </w:r>
    </w:p>
    <w:p w14:paraId="40667D93">
      <w:pPr>
        <w:pStyle w:val="2"/>
        <w:keepNext/>
        <w:keepLines/>
        <w:widowControl/>
        <w:wordWrap/>
        <w:bidi w:val="0"/>
        <w:rPr>
          <w:rFonts w:hint="eastAsia"/>
        </w:rPr>
      </w:pPr>
      <w:r>
        <w:rPr>
          <w:rFonts w:hint="eastAsia"/>
        </w:rPr>
        <w:t>6 结论</w:t>
      </w:r>
    </w:p>
    <w:p w14:paraId="79B4B20C">
      <w:pPr>
        <w:widowControl/>
        <w:wordWrap/>
        <w:bidi w:val="0"/>
        <w:rPr>
          <w:rFonts w:hint="eastAsia"/>
        </w:rPr>
      </w:pPr>
      <w:r>
        <w:rPr>
          <w:rFonts w:hint="eastAsia"/>
        </w:rPr>
        <w:t>本文面向长江流域983册中共党史文献，提出选择性预测与结构准入协同的时空知识图谱流程。其核心创新是把候选语义接受、结构发布资格和来源定位组织为可追踪的连续决策，并以严格语义层、上下文层和未决集合保存不同证据状态。</w:t>
      </w:r>
    </w:p>
    <w:p w14:paraId="11EDDD31">
      <w:pPr>
        <w:widowControl/>
        <w:wordWrap/>
        <w:bidi w:val="0"/>
        <w:rPr>
          <w:rFonts w:hint="eastAsia"/>
        </w:rPr>
      </w:pPr>
      <w:r>
        <w:rPr>
          <w:rFonts w:hint="eastAsia"/>
        </w:rPr>
        <w:t>最终图谱包含152,979个规范实体和424,150条知识陈述，其中112,158条进入严格语义层。规则—Qwen一致性选择在152条核心评价样本上覆盖116条，并有115条与集成参考标注一致；冻结规范与当前检查器下，严格层未检出已定义的关系类型和强时空归属违例。这些结果共同表明，两级质量控制链能够在保持较高接受样本一致率的同时实施结构发布控制，并以来源关联支撑后续证据复核。</w:t>
      </w:r>
    </w:p>
    <w:p w14:paraId="3FA7A092">
      <w:pPr>
        <w:widowControl/>
        <w:wordWrap/>
        <w:bidi w:val="0"/>
      </w:pPr>
      <w:r>
        <w:rPr>
          <w:rFonts w:hint="eastAsia"/>
        </w:rPr>
        <w:t>该图谱为跨文献实体检索、事件中心查询、时空角色区分和来源回溯提供了数据基础。后续研究可通过扩大专家核验与来源隔离评价、记录大语言模型版本与成本，并以明确指标和系统样本检验图谱提出的史学假设，持续提升分析深度。分层图谱由此把机器可检验的结构组织与基于史料的历史解释连接起来，为长江流域中共党史的数字化整理与专题研究提供可扩展的知识基础设施。</w:t>
      </w:r>
    </w:p>
    <w:bookmarkEnd w:id="4"/>
    <w:bookmarkEnd w:id="5"/>
    <w:p w14:paraId="2396136B">
      <w:pPr>
        <w:pStyle w:val="2"/>
        <w:keepNext/>
        <w:keepLines/>
        <w:widowControl/>
        <w:wordWrap/>
        <w:bidi w:val="0"/>
        <w:rPr>
          <w:rFonts w:hint="eastAsia"/>
          <w:lang w:val="en-US" w:eastAsia="zh-CN"/>
        </w:rPr>
      </w:pPr>
      <w:r>
        <w:rPr>
          <w:rFonts w:hint="eastAsia"/>
          <w:lang w:val="en-US" w:eastAsia="zh-CN"/>
        </w:rPr>
        <w:t>参考文献</w:t>
      </w:r>
    </w:p>
    <w:p w14:paraId="07CEA08E">
      <w:pPr>
        <w:keepLines/>
        <w:widowControl/>
        <w:numPr>
          <w:ilvl w:val="0"/>
          <w:numId w:val="1"/>
        </w:numPr>
        <w:wordWrap/>
        <w:ind w:left="425" w:leftChars="0" w:hanging="425" w:firstLineChars="0"/>
        <w:rPr>
          <w:rFonts w:hint="default"/>
          <w:lang w:val="en-US" w:eastAsia="zh-CN"/>
        </w:rPr>
      </w:pPr>
      <w:bookmarkStart w:id="6" w:name="_Ref2131"/>
      <w:r>
        <w:rPr>
          <w:rFonts w:hint="default"/>
          <w:lang w:val="en-US" w:eastAsia="zh-CN"/>
        </w:rPr>
        <w:t>岳文玉, 曹树金, 赵怡珑. 基于知识图谱的中共党史知识索引设计与实现[J]. 图书馆论坛, 2025, 45(3): 110-119.</w:t>
      </w:r>
      <w:bookmarkEnd w:id="6"/>
    </w:p>
    <w:p w14:paraId="20066FB9">
      <w:pPr>
        <w:keepLines/>
        <w:widowControl/>
        <w:numPr>
          <w:ilvl w:val="0"/>
          <w:numId w:val="1"/>
        </w:numPr>
        <w:wordWrap/>
        <w:snapToGrid w:val="0"/>
        <w:ind w:left="425" w:leftChars="0" w:hanging="425" w:firstLineChars="0"/>
        <w:jc w:val="left"/>
        <w:rPr>
          <w:rFonts w:hint="default"/>
          <w:lang w:val="en-US" w:eastAsia="zh-CN"/>
        </w:rPr>
      </w:pPr>
      <w:bookmarkStart w:id="7" w:name="_Ref2199"/>
      <w:r>
        <w:rPr>
          <w:rFonts w:hint="default" w:ascii="Times New Roman" w:hAnsi="Times New Roman" w:eastAsia="Times New Roman"/>
          <w:lang w:val="en-US" w:eastAsia="en-US"/>
        </w:rPr>
        <w:t>SCHIMMENTI A, PASQUAL V, VITALI F, et al. Knowledge graphs generation from cultural heritage texts: combining LLMs and ontological engineering for scholarly debates[J]. Journal of Documentation, 2026, 82(7): 206-250.</w:t>
      </w:r>
      <w:bookmarkEnd w:id="7"/>
    </w:p>
    <w:p w14:paraId="157DE822">
      <w:pPr>
        <w:keepLines/>
        <w:widowControl/>
        <w:numPr>
          <w:ilvl w:val="0"/>
          <w:numId w:val="1"/>
        </w:numPr>
        <w:wordWrap/>
        <w:snapToGrid w:val="0"/>
        <w:ind w:left="425" w:leftChars="0" w:hanging="425" w:firstLineChars="0"/>
        <w:jc w:val="left"/>
        <w:rPr>
          <w:rFonts w:hint="default"/>
          <w:lang w:val="en-US" w:eastAsia="zh-CN"/>
        </w:rPr>
      </w:pPr>
      <w:bookmarkStart w:id="8" w:name="_Ref2216"/>
      <w:r>
        <w:rPr>
          <w:rFonts w:hint="default" w:ascii="Times New Roman" w:hAnsi="Times New Roman" w:eastAsia="Times New Roman"/>
          <w:lang w:val="en-US" w:eastAsia="en-US"/>
        </w:rPr>
        <w:t>PAN S, LUO L, WANG Y, et al. Unifying large language models and knowledge graphs: a roadmap[J]. IEEE Transactions on Knowledge and Data Engineering, 2024, 36(7): 3580-3599.</w:t>
      </w:r>
      <w:bookmarkEnd w:id="8"/>
    </w:p>
    <w:p w14:paraId="3013EA3B">
      <w:pPr>
        <w:keepLines/>
        <w:widowControl/>
        <w:numPr>
          <w:ilvl w:val="0"/>
          <w:numId w:val="1"/>
        </w:numPr>
        <w:wordWrap/>
        <w:snapToGrid w:val="0"/>
        <w:ind w:left="425" w:leftChars="0" w:hanging="425" w:firstLineChars="0"/>
        <w:jc w:val="left"/>
        <w:rPr>
          <w:rFonts w:hint="default"/>
          <w:lang w:val="en-US" w:eastAsia="zh-CN"/>
        </w:rPr>
      </w:pPr>
      <w:bookmarkStart w:id="9" w:name="_Ref2242"/>
      <w:r>
        <w:rPr>
          <w:rFonts w:hint="default" w:ascii="Times New Roman" w:hAnsi="Times New Roman" w:eastAsia="Times New Roman"/>
          <w:lang w:val="en-US" w:eastAsia="en-US"/>
        </w:rPr>
        <w:t>HENDRICKX K, PERINI L, VAN DER PLAS D, et al. Machine learning with a reject option: a survey[J]. Machine Learning, 2024, 113(5): 3073-3110.</w:t>
      </w:r>
      <w:bookmarkEnd w:id="9"/>
      <w:bookmarkStart w:id="10" w:name="_Ref2268"/>
    </w:p>
    <w:p w14:paraId="0C68DD41">
      <w:pPr>
        <w:keepLines/>
        <w:widowControl/>
        <w:numPr>
          <w:ilvl w:val="0"/>
          <w:numId w:val="1"/>
        </w:numPr>
        <w:wordWrap/>
        <w:snapToGrid w:val="0"/>
        <w:ind w:left="425" w:leftChars="0" w:hanging="425" w:firstLineChars="0"/>
        <w:jc w:val="left"/>
        <w:rPr>
          <w:rFonts w:hint="default"/>
          <w:lang w:val="en-US" w:eastAsia="zh-CN"/>
        </w:rPr>
      </w:pPr>
      <w:r>
        <w:rPr>
          <w:rFonts w:hint="default" w:ascii="Times New Roman" w:hAnsi="Times New Roman" w:eastAsia="Times New Roman"/>
          <w:lang w:val="en-US" w:eastAsia="en-US"/>
        </w:rPr>
        <w:t>XUE B, ZOU L. Knowledge graph quality management: a comprehensive survey[J]. IEEE Transactions on Knowledge and Data Engineering, 2023, 35(5): 4969-4988.</w:t>
      </w:r>
      <w:bookmarkEnd w:id="10"/>
    </w:p>
    <w:p w14:paraId="469C4C83">
      <w:pPr>
        <w:keepLines/>
        <w:widowControl/>
        <w:numPr>
          <w:ilvl w:val="0"/>
          <w:numId w:val="1"/>
        </w:numPr>
        <w:wordWrap/>
        <w:snapToGrid w:val="0"/>
        <w:ind w:left="425" w:leftChars="0" w:hanging="425" w:firstLineChars="0"/>
        <w:jc w:val="left"/>
        <w:rPr>
          <w:rFonts w:hint="default"/>
          <w:lang w:val="en-US" w:eastAsia="zh-CN"/>
        </w:rPr>
      </w:pPr>
      <w:bookmarkStart w:id="11" w:name="_Ref2284"/>
      <w:r>
        <w:rPr>
          <w:rFonts w:hint="default" w:ascii="Times New Roman" w:hAnsi="Times New Roman" w:eastAsia="Times New Roman"/>
          <w:lang w:val="en-US" w:eastAsia="en-US"/>
        </w:rPr>
        <w:t>HERSCHEL M, DIESTELKÄMPER R, BEN LAHMAR H. A survey on provenance: what for? What form? What from?[J]. The VLDB Journal, 2017, 26(6): 881-906.</w:t>
      </w:r>
      <w:bookmarkEnd w:id="11"/>
    </w:p>
    <w:p w14:paraId="75B0D081">
      <w:pPr>
        <w:keepLines/>
        <w:widowControl/>
        <w:numPr>
          <w:ilvl w:val="0"/>
          <w:numId w:val="1"/>
        </w:numPr>
        <w:wordWrap/>
        <w:snapToGrid w:val="0"/>
        <w:ind w:left="425" w:leftChars="0" w:hanging="425" w:firstLineChars="0"/>
        <w:jc w:val="left"/>
        <w:rPr>
          <w:rFonts w:hint="default"/>
          <w:lang w:val="en-US" w:eastAsia="zh-CN"/>
        </w:rPr>
      </w:pPr>
      <w:bookmarkStart w:id="12" w:name="_Ref2314"/>
      <w:r>
        <w:rPr>
          <w:rFonts w:hint="default" w:ascii="Times New Roman" w:hAnsi="Times New Roman" w:eastAsia="Times New Roman"/>
          <w:lang w:val="en-US" w:eastAsia="en-US"/>
        </w:rPr>
        <w:t xml:space="preserve">文化和旅游部. 《长江国家文化公园建设保护规划》出台[EB/OL]. (2025-01-10)[2026-08-06]. </w:t>
      </w:r>
      <w:r>
        <w:rPr>
          <w:rFonts w:hint="default" w:ascii="Times New Roman" w:hAnsi="Times New Roman" w:eastAsia="Times New Roman"/>
          <w:color w:val="auto"/>
          <w:u w:val="none"/>
          <w:lang w:val="en-US" w:eastAsia="en-US"/>
        </w:rPr>
        <w:t>https://www.mct.gov.cn/wlbphone/wlbydd/xxfb/jiaodianxinwen/202501/t20250110_957787.html.</w:t>
      </w:r>
      <w:bookmarkEnd w:id="12"/>
    </w:p>
    <w:p w14:paraId="54181DA5">
      <w:pPr>
        <w:keepLines/>
        <w:widowControl/>
        <w:numPr>
          <w:ilvl w:val="0"/>
          <w:numId w:val="1"/>
        </w:numPr>
        <w:wordWrap/>
        <w:ind w:left="425" w:leftChars="0" w:hanging="425" w:firstLineChars="0"/>
        <w:rPr>
          <w:rFonts w:hint="default" w:ascii="Times New Roman" w:hAnsi="Times New Roman" w:eastAsia="宋体"/>
          <w:lang w:val="en-US" w:eastAsia="zh-CN"/>
        </w:rPr>
      </w:pPr>
      <w:bookmarkStart w:id="13" w:name="_Ref5040"/>
      <w:r>
        <w:rPr>
          <w:rFonts w:hint="default" w:ascii="Times New Roman" w:hAnsi="Times New Roman" w:eastAsia="宋体"/>
          <w:lang w:val="en-US" w:eastAsia="zh-CN"/>
        </w:rPr>
        <w:t>丁怡, 李刚, 魏弋. 红色数字人文：概念内涵、发展现状与建设措施[J]. 图书馆杂志, 2023, 42(7): 94-101.</w:t>
      </w:r>
      <w:bookmarkEnd w:id="13"/>
    </w:p>
    <w:p w14:paraId="3F91EA4C">
      <w:pPr>
        <w:keepLines/>
        <w:widowControl/>
        <w:numPr>
          <w:ilvl w:val="0"/>
          <w:numId w:val="1"/>
        </w:numPr>
        <w:wordWrap/>
        <w:ind w:left="425" w:leftChars="0" w:hanging="425" w:firstLineChars="0"/>
        <w:rPr>
          <w:rFonts w:hint="default" w:ascii="Times New Roman" w:hAnsi="Times New Roman" w:eastAsia="宋体"/>
          <w:lang w:val="en-US" w:eastAsia="zh-CN"/>
        </w:rPr>
      </w:pPr>
      <w:bookmarkStart w:id="14" w:name="_Ref5070"/>
      <w:r>
        <w:rPr>
          <w:rFonts w:hint="default" w:ascii="Times New Roman" w:hAnsi="Times New Roman" w:eastAsia="宋体"/>
          <w:lang w:val="en-US" w:eastAsia="zh-CN"/>
        </w:rPr>
        <w:t>陈涛, 刘炜, 单蓉蓉, 等. 知识图谱在数字人文中的应用研究[J]. 中国图书馆学报, 2019, 45(6): 34-49.</w:t>
      </w:r>
      <w:bookmarkEnd w:id="14"/>
    </w:p>
    <w:p w14:paraId="09F07AAD">
      <w:pPr>
        <w:keepLines/>
        <w:widowControl/>
        <w:numPr>
          <w:ilvl w:val="0"/>
          <w:numId w:val="1"/>
        </w:numPr>
        <w:wordWrap/>
        <w:ind w:left="425" w:leftChars="0" w:hanging="425" w:firstLineChars="0"/>
        <w:rPr>
          <w:rFonts w:hint="default" w:ascii="Times New Roman" w:hAnsi="Times New Roman" w:eastAsia="宋体"/>
          <w:lang w:val="en-US" w:eastAsia="zh-CN"/>
        </w:rPr>
      </w:pPr>
      <w:bookmarkStart w:id="15" w:name="_Ref5089"/>
      <w:r>
        <w:rPr>
          <w:rFonts w:hint="default" w:ascii="Times New Roman" w:hAnsi="Times New Roman" w:eastAsia="宋体"/>
          <w:lang w:val="en-US" w:eastAsia="zh-CN"/>
        </w:rPr>
        <w:t>岳文玉,曹树金.基于知识图谱的中国共产党历史知识双层语义索引研究[J/OL].图书馆杂志,1-11[2026-08-06].https://link.cnki.net/urlid/31.1108.G2.20260403.1758.009.</w:t>
      </w:r>
      <w:bookmarkEnd w:id="15"/>
    </w:p>
    <w:p w14:paraId="0F8F74BC">
      <w:pPr>
        <w:keepLines/>
        <w:widowControl/>
        <w:numPr>
          <w:ilvl w:val="0"/>
          <w:numId w:val="1"/>
        </w:numPr>
        <w:wordWrap/>
        <w:ind w:left="425" w:leftChars="0" w:hanging="425" w:firstLineChars="0"/>
        <w:rPr>
          <w:rFonts w:hint="default" w:ascii="Times New Roman" w:hAnsi="Times New Roman" w:eastAsia="宋体"/>
          <w:lang w:val="en-US" w:eastAsia="zh-CN"/>
        </w:rPr>
      </w:pPr>
      <w:bookmarkStart w:id="16" w:name="_Ref5109"/>
      <w:r>
        <w:rPr>
          <w:rFonts w:hint="default" w:ascii="Times New Roman" w:hAnsi="Times New Roman" w:eastAsia="宋体"/>
          <w:lang w:val="en-US" w:eastAsia="zh-CN"/>
        </w:rPr>
        <w:t>刘竟, 王萌, 刘桂锋, 等. 数字人文视角下红色文化资源知识图谱构建研究[J]. 图书馆杂志, 2023, 42(7): 102-109, 125.</w:t>
      </w:r>
      <w:bookmarkEnd w:id="16"/>
    </w:p>
    <w:p w14:paraId="379B064F">
      <w:pPr>
        <w:keepLines/>
        <w:widowControl/>
        <w:numPr>
          <w:ilvl w:val="0"/>
          <w:numId w:val="1"/>
        </w:numPr>
        <w:wordWrap/>
        <w:ind w:left="425" w:leftChars="0" w:hanging="425" w:firstLineChars="0"/>
        <w:rPr>
          <w:rFonts w:hint="default" w:ascii="Times New Roman" w:hAnsi="Times New Roman" w:eastAsia="宋体"/>
          <w:lang w:val="en-US" w:eastAsia="zh-CN"/>
        </w:rPr>
      </w:pPr>
      <w:bookmarkStart w:id="17" w:name="_Ref5128"/>
      <w:r>
        <w:rPr>
          <w:rFonts w:hint="default" w:ascii="Times New Roman" w:hAnsi="Times New Roman" w:eastAsia="宋体"/>
          <w:lang w:val="en-US" w:eastAsia="zh-CN"/>
        </w:rPr>
        <w:t>张云中, 郭冬, 王亚鸽, 等. 基于知识图谱的红色历史人物知识问答服务框架研究[J]. 图书情报工作, 2021, 65(16): 108-117.</w:t>
      </w:r>
      <w:bookmarkEnd w:id="17"/>
    </w:p>
    <w:p w14:paraId="2C68A8E0">
      <w:pPr>
        <w:keepLines/>
        <w:widowControl/>
        <w:numPr>
          <w:ilvl w:val="0"/>
          <w:numId w:val="1"/>
        </w:numPr>
        <w:wordWrap/>
        <w:ind w:left="425" w:leftChars="0" w:hanging="425" w:firstLineChars="0"/>
        <w:rPr>
          <w:rFonts w:hint="default" w:ascii="Times New Roman" w:hAnsi="Times New Roman" w:eastAsia="宋体"/>
          <w:lang w:val="en-US" w:eastAsia="zh-CN"/>
        </w:rPr>
      </w:pPr>
      <w:bookmarkStart w:id="18" w:name="_Ref5151"/>
      <w:r>
        <w:rPr>
          <w:rFonts w:hint="default" w:ascii="Times New Roman" w:hAnsi="Times New Roman" w:eastAsia="宋体"/>
          <w:lang w:val="en-US" w:eastAsia="zh-CN"/>
        </w:rPr>
        <w:t>李肖俊, 赵燕清, 卢恒. 基于本体的山东红色革命人物知识图谱构建方法研究[J]. 新世纪图书馆, 2026(6): 22-31.</w:t>
      </w:r>
      <w:bookmarkEnd w:id="18"/>
    </w:p>
    <w:p w14:paraId="1F4FEA3A">
      <w:pPr>
        <w:keepLines/>
        <w:widowControl/>
        <w:numPr>
          <w:ilvl w:val="0"/>
          <w:numId w:val="1"/>
        </w:numPr>
        <w:wordWrap/>
        <w:ind w:left="425" w:leftChars="0" w:hanging="425" w:firstLineChars="0"/>
        <w:rPr>
          <w:rFonts w:hint="default" w:ascii="Times New Roman" w:hAnsi="Times New Roman" w:eastAsia="宋体"/>
          <w:lang w:val="en-US" w:eastAsia="zh-CN"/>
        </w:rPr>
      </w:pPr>
      <w:bookmarkStart w:id="19" w:name="_Ref5174"/>
      <w:r>
        <w:rPr>
          <w:rFonts w:hint="default" w:ascii="Times New Roman" w:hAnsi="Times New Roman" w:eastAsia="宋体"/>
          <w:lang w:val="en-US" w:eastAsia="zh-CN"/>
        </w:rPr>
        <w:t>周林兴, 崔云萍. 区域性红色档案资源的协同开发利用探析：以长三角区域为分析对象[J]. 档案学通讯, 2021(5): 4-13.</w:t>
      </w:r>
      <w:bookmarkEnd w:id="19"/>
    </w:p>
    <w:p w14:paraId="0D7C56C5">
      <w:pPr>
        <w:keepLines/>
        <w:widowControl/>
        <w:numPr>
          <w:ilvl w:val="0"/>
          <w:numId w:val="1"/>
        </w:numPr>
        <w:wordWrap/>
        <w:ind w:left="425" w:leftChars="0" w:hanging="425" w:firstLineChars="0"/>
        <w:rPr>
          <w:rFonts w:hint="default" w:ascii="Times New Roman" w:hAnsi="Times New Roman" w:eastAsia="宋体"/>
          <w:lang w:val="en-US" w:eastAsia="zh-CN"/>
        </w:rPr>
      </w:pPr>
      <w:bookmarkStart w:id="20" w:name="_Ref5200"/>
      <w:r>
        <w:rPr>
          <w:rFonts w:hint="default" w:ascii="Times New Roman" w:hAnsi="Times New Roman" w:eastAsia="宋体"/>
          <w:lang w:val="en-US" w:eastAsia="zh-CN"/>
        </w:rPr>
        <w:t>李蔷, 邸焕双. 长江经济带红色档案资源协同开发水平评估及对策研究[J]. 情报科学, 2025, 43(12): 125-131.</w:t>
      </w:r>
      <w:bookmarkEnd w:id="20"/>
    </w:p>
    <w:p w14:paraId="48548062">
      <w:pPr>
        <w:keepLines/>
        <w:widowControl/>
        <w:numPr>
          <w:ilvl w:val="0"/>
          <w:numId w:val="1"/>
        </w:numPr>
        <w:wordWrap/>
        <w:ind w:left="425" w:leftChars="0" w:hanging="425" w:firstLineChars="0"/>
        <w:rPr>
          <w:rFonts w:hint="default" w:ascii="Times New Roman" w:hAnsi="Times New Roman" w:eastAsia="宋体"/>
          <w:lang w:val="en-US" w:eastAsia="zh-CN"/>
        </w:rPr>
      </w:pPr>
      <w:bookmarkStart w:id="21" w:name="_Ref5230"/>
      <w:r>
        <w:rPr>
          <w:rFonts w:hint="default" w:ascii="Times New Roman" w:hAnsi="Times New Roman" w:eastAsia="宋体"/>
          <w:lang w:val="en-US" w:eastAsia="zh-CN"/>
        </w:rPr>
        <w:t>隋安, 童永生, 高宁. 大语言模型驱动的《活计档》知识图谱构建[J]. 信息资源管理学报, 2026, 16(1): 116-130.</w:t>
      </w:r>
      <w:bookmarkEnd w:id="21"/>
    </w:p>
    <w:p w14:paraId="3D73F977">
      <w:pPr>
        <w:keepLines/>
        <w:widowControl/>
        <w:numPr>
          <w:ilvl w:val="0"/>
          <w:numId w:val="1"/>
        </w:numPr>
        <w:wordWrap/>
        <w:ind w:left="425" w:leftChars="0" w:hanging="425" w:firstLineChars="0"/>
        <w:rPr>
          <w:rFonts w:hint="default" w:ascii="Times New Roman" w:hAnsi="Times New Roman" w:eastAsia="宋体"/>
          <w:lang w:val="en-US" w:eastAsia="zh-CN"/>
        </w:rPr>
      </w:pPr>
      <w:bookmarkStart w:id="22" w:name="_Ref5275"/>
      <w:r>
        <w:rPr>
          <w:rFonts w:hint="default" w:ascii="Times New Roman" w:hAnsi="Times New Roman" w:eastAsia="宋体"/>
          <w:lang w:val="en-US" w:eastAsia="zh-CN"/>
        </w:rPr>
        <w:t>张卫东, 陈希鹏, 翁慧诠. 基于大模型与LoRA的东北抗联红色人物知识图谱构建方法研究[J]. 情报理论与实践, 2025, 48(8): 187-195.</w:t>
      </w:r>
      <w:bookmarkEnd w:id="22"/>
    </w:p>
    <w:p w14:paraId="29A5F702">
      <w:pPr>
        <w:keepLines/>
        <w:widowControl/>
        <w:numPr>
          <w:ilvl w:val="0"/>
          <w:numId w:val="1"/>
        </w:numPr>
        <w:wordWrap/>
        <w:ind w:left="425" w:leftChars="0" w:hanging="425" w:firstLineChars="0"/>
        <w:rPr>
          <w:rFonts w:hint="default" w:ascii="Times New Roman" w:hAnsi="Times New Roman" w:eastAsia="宋体"/>
          <w:lang w:val="en-US" w:eastAsia="zh-CN"/>
        </w:rPr>
      </w:pPr>
      <w:bookmarkStart w:id="23" w:name="_Ref5295"/>
      <w:r>
        <w:rPr>
          <w:rFonts w:hint="default" w:ascii="Times New Roman" w:hAnsi="Times New Roman" w:eastAsia="宋体"/>
          <w:lang w:val="en-US" w:eastAsia="zh-CN"/>
        </w:rPr>
        <w:t>崔鸿飞, 王梓洁. 大模型辅助的多源文献知识图谱高质量构建、注释与应用研究[J]. 图书情报工作, 2026, 70(7): 101-117.</w:t>
      </w:r>
      <w:bookmarkEnd w:id="23"/>
    </w:p>
    <w:p w14:paraId="214F42F6">
      <w:pPr>
        <w:keepLines/>
        <w:widowControl/>
        <w:numPr>
          <w:ilvl w:val="0"/>
          <w:numId w:val="1"/>
        </w:numPr>
        <w:wordWrap/>
        <w:ind w:left="425" w:leftChars="0" w:hanging="425" w:firstLineChars="0"/>
        <w:rPr>
          <w:rFonts w:hint="default" w:ascii="Times New Roman" w:hAnsi="Times New Roman" w:eastAsia="宋体"/>
          <w:lang w:val="en-US" w:eastAsia="zh-CN"/>
        </w:rPr>
      </w:pPr>
      <w:bookmarkStart w:id="24" w:name="_Ref5321"/>
      <w:r>
        <w:rPr>
          <w:rFonts w:hint="default" w:ascii="Times New Roman" w:hAnsi="Times New Roman" w:eastAsia="宋体"/>
          <w:lang w:val="en-US" w:eastAsia="zh-CN"/>
        </w:rPr>
        <w:t>屈王静. 档案语料的语义标注与知识图谱构建：理论、方法与应用研究[J]. 山西档案, 2024(11): 29-31.</w:t>
      </w:r>
      <w:bookmarkEnd w:id="24"/>
    </w:p>
    <w:p w14:paraId="462CD377">
      <w:pPr>
        <w:keepLines/>
        <w:widowControl/>
        <w:numPr>
          <w:ilvl w:val="0"/>
          <w:numId w:val="1"/>
        </w:numPr>
        <w:wordWrap/>
        <w:ind w:left="425" w:leftChars="0" w:hanging="425" w:firstLineChars="0"/>
        <w:rPr>
          <w:rFonts w:hint="default" w:ascii="Times New Roman" w:hAnsi="Times New Roman" w:eastAsia="宋体"/>
          <w:lang w:val="en-US" w:eastAsia="zh-CN"/>
        </w:rPr>
      </w:pPr>
      <w:bookmarkStart w:id="25" w:name="_Ref5337"/>
      <w:r>
        <w:rPr>
          <w:rFonts w:hint="default" w:ascii="Times New Roman" w:hAnsi="Times New Roman" w:eastAsia="宋体"/>
          <w:lang w:val="en-US" w:eastAsia="zh-CN"/>
        </w:rPr>
        <w:t>韩镁. 人工智能赋能红色出版知识图谱的构建与应用思考[J]. 中国出版, 2025(11): 39-44.</w:t>
      </w:r>
      <w:bookmarkEnd w:id="25"/>
    </w:p>
    <w:p w14:paraId="5D958D7E">
      <w:pPr>
        <w:keepLines/>
        <w:widowControl/>
        <w:numPr>
          <w:ilvl w:val="0"/>
          <w:numId w:val="1"/>
        </w:numPr>
        <w:wordWrap/>
        <w:ind w:left="425" w:leftChars="0" w:hanging="425" w:firstLineChars="0"/>
        <w:rPr>
          <w:rFonts w:hint="default" w:ascii="Times New Roman" w:hAnsi="Times New Roman" w:eastAsia="宋体"/>
          <w:lang w:val="en-US" w:eastAsia="zh-CN"/>
        </w:rPr>
      </w:pPr>
      <w:bookmarkStart w:id="26" w:name="_Ref5364"/>
      <w:r>
        <w:rPr>
          <w:rFonts w:hint="default" w:ascii="Times New Roman" w:hAnsi="Times New Roman" w:eastAsia="宋体"/>
          <w:lang w:val="en-US" w:eastAsia="zh-CN"/>
        </w:rPr>
        <w:t>汪晨亮, 赵佳乐, 葛星彤, 等. 面向历史文献的大模型图谱增强时空叙事方法研究[J]. 计算机工程.</w:t>
      </w:r>
      <w:bookmarkEnd w:id="26"/>
    </w:p>
    <w:p w14:paraId="16A01935">
      <w:pPr>
        <w:keepLines/>
        <w:widowControl/>
        <w:numPr>
          <w:ilvl w:val="0"/>
          <w:numId w:val="1"/>
        </w:numPr>
        <w:wordWrap/>
        <w:ind w:left="425" w:leftChars="0" w:hanging="425" w:firstLineChars="0"/>
        <w:rPr>
          <w:rFonts w:hint="default" w:ascii="Times New Roman" w:hAnsi="Times New Roman" w:eastAsia="宋体"/>
          <w:lang w:val="en-US" w:eastAsia="zh-CN"/>
        </w:rPr>
      </w:pPr>
      <w:bookmarkStart w:id="27" w:name="_Ref5396"/>
      <w:r>
        <w:rPr>
          <w:rFonts w:hint="default" w:ascii="Times New Roman" w:hAnsi="Times New Roman" w:eastAsia="宋体"/>
          <w:lang w:val="en-US" w:eastAsia="zh-CN"/>
        </w:rPr>
        <w:t>李相成, 汪永伟, 李强, 等. ERC-KG：结合大语言模型的领域知识图谱构建方法[J]. 计算机工程与科学.</w:t>
      </w:r>
      <w:bookmarkEnd w:id="27"/>
    </w:p>
    <w:p w14:paraId="16D20F45">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8" w:name="_Ref5494"/>
      <w:r>
        <w:rPr>
          <w:rFonts w:hint="default" w:ascii="Times New Roman" w:hAnsi="Times New Roman" w:eastAsia="Times New Roman"/>
          <w:lang w:val="en-US" w:eastAsia="en-US"/>
        </w:rPr>
        <w:t>ZHAO X, DENG Y, YANG M, et al. A comprehensive survey on relation extraction: recent advances and new frontiers[J]. ACM Computing Surveys, 2024, 56(11): 293:1-293:39.</w:t>
      </w:r>
      <w:bookmarkEnd w:id="28"/>
    </w:p>
    <w:p w14:paraId="6C9A59C7">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9" w:name="_Ref5520"/>
      <w:r>
        <w:rPr>
          <w:rFonts w:hint="default" w:ascii="Times New Roman" w:hAnsi="Times New Roman" w:eastAsia="Times New Roman"/>
          <w:lang w:val="en-US" w:eastAsia="en-US"/>
        </w:rPr>
        <w:t>ZHOU Z H. A brief introduction to weakly supervised learning[J]. National Science Review, 2018, 5(1): 44-53.</w:t>
      </w:r>
      <w:bookmarkEnd w:id="29"/>
    </w:p>
    <w:p w14:paraId="5B76C181">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0" w:name="_Ref5543"/>
      <w:r>
        <w:rPr>
          <w:rFonts w:hint="default" w:ascii="Times New Roman" w:hAnsi="Times New Roman" w:eastAsia="Times New Roman"/>
          <w:lang w:val="en-US" w:eastAsia="en-US"/>
        </w:rPr>
        <w:t>ABDAR M, POURPANAH F, HUSSAIN S, et al. A review of uncertainty quantification in deep learning: techniques, applications and challenges[J]. Information Fusion, 2021, 76: 243-297.</w:t>
      </w:r>
      <w:bookmarkEnd w:id="30"/>
    </w:p>
    <w:p w14:paraId="29EB5F9E">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1" w:name="_Ref5566"/>
      <w:r>
        <w:rPr>
          <w:rFonts w:hint="default" w:ascii="Times New Roman" w:hAnsi="Times New Roman" w:eastAsia="Times New Roman"/>
          <w:lang w:val="en-US" w:eastAsia="en-US"/>
        </w:rPr>
        <w:t>GAWLIKOWSKI J, TASSI C R N, ALI M, et al. A survey of uncertainty in deep neural networks[J]. Artificial Intelligence Review, 2023, 56(Suppl 1): 1513-1589.</w:t>
      </w:r>
      <w:bookmarkEnd w:id="31"/>
    </w:p>
    <w:p w14:paraId="161F9240">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2" w:name="_Ref5582"/>
      <w:r>
        <w:rPr>
          <w:rFonts w:hint="default" w:ascii="Times New Roman" w:hAnsi="Times New Roman" w:eastAsia="Times New Roman"/>
          <w:lang w:val="en-US" w:eastAsia="en-US"/>
        </w:rPr>
        <w:t xml:space="preserve">CHRISTOPHIDES V, EFTHYMIOU V, PALPANAS T, et al. An overview of end-to-end entity resolution for big data[J]. ACM Computing Surveys, 2021, 53(6): 127:1-127:42. </w:t>
      </w:r>
      <w:bookmarkEnd w:id="32"/>
    </w:p>
    <w:p w14:paraId="2CE58B29">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3" w:name="_Ref5609"/>
      <w:r>
        <w:rPr>
          <w:rFonts w:hint="default" w:ascii="Times New Roman" w:hAnsi="Times New Roman" w:eastAsia="Times New Roman"/>
          <w:lang w:val="en-US" w:eastAsia="en-US"/>
        </w:rPr>
        <w:t xml:space="preserve">ELMAGARMID A K, IPEIROTIS P G, VERYKIOS V S. Duplicate record detection: a survey[J]. IEEE Transactions on Knowledge and Data Engineering, 2007, 19(1): 1-16. </w:t>
      </w:r>
      <w:bookmarkEnd w:id="33"/>
    </w:p>
    <w:p w14:paraId="1210C44D">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4" w:name="_Ref5638"/>
      <w:r>
        <w:rPr>
          <w:rFonts w:hint="default" w:ascii="Times New Roman" w:hAnsi="Times New Roman" w:eastAsia="Times New Roman"/>
          <w:lang w:val="en-US" w:eastAsia="en-US"/>
        </w:rPr>
        <w:t xml:space="preserve">HOGAN A, BLOMQVIST E, COCHEZ M, et al. Knowledge graphs[J]. ACM Computing Surveys, 2021, 54(4): 71:1-71:37. </w:t>
      </w:r>
      <w:bookmarkEnd w:id="34"/>
    </w:p>
    <w:p w14:paraId="11E763A1">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5" w:name="_Ref5661"/>
      <w:r>
        <w:rPr>
          <w:rFonts w:hint="default" w:ascii="Times New Roman" w:hAnsi="Times New Roman" w:eastAsia="Times New Roman"/>
          <w:lang w:val="en-US" w:eastAsia="en-US"/>
        </w:rPr>
        <w:t>ABU-SALIH B. Domain-specific knowledge graphs: a survey[J]. Journal of Network and Computer Applications, 2021, 185: 103076.</w:t>
      </w:r>
      <w:bookmarkEnd w:id="35"/>
    </w:p>
    <w:p w14:paraId="28B2F8AD">
      <w:pPr>
        <w:keepLines/>
        <w:widowControl/>
        <w:numPr>
          <w:ilvl w:val="0"/>
          <w:numId w:val="1"/>
        </w:numPr>
        <w:wordWrap/>
        <w:ind w:left="425" w:leftChars="0" w:hanging="425" w:firstLineChars="0"/>
        <w:rPr>
          <w:rFonts w:hint="default" w:ascii="Times New Roman" w:hAnsi="Times New Roman" w:eastAsia="宋体"/>
          <w:lang w:val="en-US" w:eastAsia="zh-CN"/>
        </w:rPr>
      </w:pPr>
      <w:bookmarkStart w:id="36" w:name="_Ref5687"/>
      <w:r>
        <w:rPr>
          <w:rFonts w:hint="default" w:ascii="Times New Roman" w:hAnsi="Times New Roman" w:eastAsia="宋体"/>
          <w:lang w:val="en-US" w:eastAsia="zh-CN"/>
        </w:rPr>
        <w:t>陆泉, 陈静宇, 陈帅朴, 等. 场景化知识图谱及构建方法[J]. 情报科学, 2024, 42(3): 1-9, 32.</w:t>
      </w:r>
      <w:bookmarkEnd w:id="36"/>
    </w:p>
    <w:p w14:paraId="0EB24719">
      <w:pPr>
        <w:keepLines/>
        <w:widowControl/>
        <w:numPr>
          <w:ilvl w:val="0"/>
          <w:numId w:val="1"/>
        </w:numPr>
        <w:wordWrap/>
        <w:ind w:left="425" w:leftChars="0" w:hanging="425" w:firstLineChars="0"/>
        <w:rPr>
          <w:rFonts w:hint="default" w:ascii="Times New Roman" w:hAnsi="Times New Roman" w:eastAsia="宋体"/>
          <w:lang w:val="en-US" w:eastAsia="zh-CN"/>
        </w:rPr>
      </w:pPr>
      <w:bookmarkStart w:id="37" w:name="_Ref5827"/>
      <w:r>
        <w:rPr>
          <w:rFonts w:hint="default" w:ascii="Times New Roman" w:hAnsi="Times New Roman" w:eastAsia="宋体"/>
          <w:lang w:val="en-US" w:eastAsia="zh-CN"/>
        </w:rPr>
        <w:t>韩炳, 曲腾腾, 刘颢, 等. 网格时空知识图谱构建及时空知识判定应用[J]. 指挥与控制学报, 2025, 11(3): 253-264.</w:t>
      </w:r>
      <w:bookmarkEnd w:id="37"/>
    </w:p>
    <w:p w14:paraId="75A5CBF6">
      <w:pPr>
        <w:keepLines/>
        <w:widowControl/>
        <w:numPr>
          <w:ilvl w:val="0"/>
          <w:numId w:val="1"/>
        </w:numPr>
        <w:wordWrap/>
        <w:bidi w:val="0"/>
        <w:rPr>
          <w:rFonts w:hint="default"/>
          <w:lang w:val="en-US" w:eastAsia="zh-CN"/>
        </w:rPr>
      </w:pPr>
      <w:bookmarkStart w:id="38" w:name="_Ref5847"/>
      <w:r>
        <w:rPr>
          <w:rFonts w:hint="default"/>
          <w:lang w:val="en-US" w:eastAsia="zh-CN"/>
        </w:rPr>
        <w:t>马汉达, 费凡. 时空融合的时序知识图谱多跳推理模型[J]. 计算机应用研究, 2026, 43(4): 1013-1020.</w:t>
      </w:r>
      <w:bookmarkEnd w:id="38"/>
    </w:p>
    <w:p w14:paraId="39CAB318">
      <w:pPr>
        <w:keepLines/>
        <w:widowControl/>
        <w:numPr>
          <w:ilvl w:val="0"/>
          <w:numId w:val="1"/>
        </w:numPr>
        <w:wordWrap/>
        <w:bidi w:val="0"/>
        <w:snapToGrid w:val="0"/>
        <w:jc w:val="left"/>
        <w:rPr>
          <w:rFonts w:hint="default"/>
          <w:lang w:val="en-US" w:eastAsia="zh-CN"/>
        </w:rPr>
      </w:pPr>
      <w:bookmarkStart w:id="39" w:name="_Ref5863"/>
      <w:r>
        <w:rPr>
          <w:rFonts w:hint="default" w:ascii="Times New Roman" w:hAnsi="Times New Roman" w:eastAsia="Times New Roman"/>
          <w:lang w:val="en-US" w:eastAsia="en-US"/>
        </w:rPr>
        <w:t>ZHANG Y, KONG X, SHEN Z, et al. A survey on temporal knowledge graph embedding: models and applications[J]. Knowledge-Based Systems, 2024, 304: 112454.</w:t>
      </w:r>
      <w:bookmarkEnd w:id="39"/>
    </w:p>
    <w:p w14:paraId="612B29B1">
      <w:pPr>
        <w:keepLines/>
        <w:widowControl/>
        <w:numPr>
          <w:ilvl w:val="0"/>
          <w:numId w:val="1"/>
        </w:numPr>
        <w:wordWrap/>
        <w:bidi w:val="0"/>
        <w:snapToGrid w:val="0"/>
        <w:jc w:val="left"/>
        <w:rPr>
          <w:rFonts w:hint="default"/>
          <w:lang w:val="en-US" w:eastAsia="zh-CN"/>
        </w:rPr>
      </w:pPr>
      <w:bookmarkStart w:id="40" w:name="_Ref5886"/>
      <w:r>
        <w:rPr>
          <w:rFonts w:hint="default" w:ascii="Times New Roman" w:hAnsi="Times New Roman" w:eastAsia="Times New Roman"/>
          <w:lang w:val="en-US" w:eastAsia="en-US"/>
        </w:rPr>
        <w:t>MOREAU L, CLIFFORD B, FREIRE J, et al. The Open Provenance Model core specification (v1.1)[J]. Future Generation Computer Systems, 2011, 27(6): 743-756.</w:t>
      </w:r>
      <w:bookmarkEnd w:id="40"/>
    </w:p>
    <w:p w14:paraId="78E3D5F5">
      <w:pPr>
        <w:keepLines/>
        <w:widowControl/>
        <w:numPr>
          <w:ilvl w:val="0"/>
          <w:numId w:val="1"/>
        </w:numPr>
        <w:wordWrap/>
        <w:bidi w:val="0"/>
        <w:snapToGrid w:val="0"/>
        <w:jc w:val="left"/>
        <w:rPr>
          <w:rFonts w:hint="default"/>
          <w:lang w:val="en-US" w:eastAsia="zh-CN"/>
        </w:rPr>
      </w:pPr>
      <w:bookmarkStart w:id="41" w:name="_Ref5915"/>
      <w:r>
        <w:rPr>
          <w:rFonts w:hint="default" w:ascii="Times New Roman" w:hAnsi="Times New Roman" w:eastAsia="Times New Roman"/>
          <w:lang w:val="en-US" w:eastAsia="en-US"/>
        </w:rPr>
        <w:t>BARONCINI S, SARTINI B, VAN ERP M, et al. Is dc enough? A landscape on iconography and iconology statements of knowledge graphs in the semantic web[J]. Journal of Documentation, 2023, 79(7): 115-136.</w:t>
      </w:r>
      <w:bookmarkEnd w:id="41"/>
    </w:p>
    <w:p w14:paraId="2474B4BD">
      <w:pPr>
        <w:pStyle w:val="21"/>
        <w:keepLines/>
        <w:widowControl/>
        <w:numPr>
          <w:ilvl w:val="0"/>
          <w:numId w:val="1"/>
        </w:numPr>
        <w:wordWrap/>
        <w:snapToGrid w:val="0"/>
        <w:ind w:left="425" w:leftChars="0" w:hanging="425" w:firstLineChars="0"/>
        <w:jc w:val="left"/>
      </w:pPr>
      <w:bookmarkStart w:id="42" w:name="_Ref5304"/>
      <w:r>
        <w:rPr>
          <w:rFonts w:hint="default" w:ascii="Times New Roman" w:hAnsi="Times New Roman" w:eastAsia="Times New Roman"/>
          <w:lang w:val="en-US" w:eastAsia="en-US"/>
        </w:rPr>
        <w:t>LI J, SUN A, HAN J, et al. A Survey on Deep Learning for Named Entity Recognition[J]. IEEE Transactions on Knowledge and Data Engineering, 2022, 34(1): 50-70. DOI: 10.1109/TKDE.2020.2981314.</w:t>
      </w:r>
      <w:bookmarkEnd w:id="42"/>
    </w:p>
    <w:p w14:paraId="3F44C356">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SMIRNOVA A, CUDRÉ-MAUROUX P. Relation Extraction Using Distant Supervision: A Survey[J]. ACM Computing Surveys, 2018, 51(5): 106:1-106:35. DOI: 10.1145/3241741.</w:t>
      </w:r>
    </w:p>
    <w:p w14:paraId="2E3D25DA">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NASAR Z, JAFFRY S W, MALIK M K. Named Entity Recognition and Relation Extraction: State-of-the-Art[J]. ACM Computing Surveys, 2021, 54(1): 20:1-20:39. DOI: 10.1145/3445965.</w:t>
      </w:r>
    </w:p>
    <w:p w14:paraId="0AFFA7ED">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WANG Y, TONG H, ZHU Z, et al. Nested Named Entity Recognition: A Survey[J]. ACM Transactions on Knowledge Discovery from Data, 2022, 16(6): 108:1-108:29. DOI: 10.1145/3522593.</w:t>
      </w:r>
    </w:p>
    <w:p w14:paraId="0B5EBC4B">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HE W, JIANG Z, XIAO T, et al. A Survey on Uncertainty Quantification Methods for Deep Learning[J]. ACM Computing Surveys, 2026, 58(7): 179:1-179:35. DOI: 10.1145/3786319.</w:t>
      </w:r>
    </w:p>
    <w:p w14:paraId="7A4DFD8F">
      <w:pPr>
        <w:pStyle w:val="21"/>
        <w:keepLines/>
        <w:widowControl/>
        <w:numPr>
          <w:ilvl w:val="0"/>
          <w:numId w:val="1"/>
        </w:numPr>
        <w:wordWrap/>
        <w:snapToGrid w:val="0"/>
        <w:ind w:left="425" w:leftChars="0" w:hanging="425" w:firstLineChars="0"/>
        <w:jc w:val="left"/>
      </w:pPr>
      <w:bookmarkStart w:id="43" w:name="_Ref30452"/>
      <w:r>
        <w:rPr>
          <w:rFonts w:hint="default" w:ascii="Times New Roman" w:hAnsi="Times New Roman" w:eastAsia="Times New Roman"/>
          <w:lang w:val="en-US" w:eastAsia="en-US"/>
        </w:rPr>
        <w:t>CHRISTEN P. A Survey of Indexing Techniques for Scalable Record Linkage and Deduplication[J]. IEEE Transactions on Knowledge and Data Engineering, 2012, 24(9): 1537-1555. DOI: 10.1109/TKDE.2011.127.</w:t>
      </w:r>
      <w:bookmarkEnd w:id="43"/>
    </w:p>
    <w:p w14:paraId="0A8AC855">
      <w:pPr>
        <w:pStyle w:val="21"/>
        <w:keepLines/>
        <w:widowControl/>
        <w:numPr>
          <w:ilvl w:val="0"/>
          <w:numId w:val="1"/>
        </w:numPr>
        <w:wordWrap/>
        <w:ind w:left="425" w:leftChars="0" w:hanging="425" w:firstLineChars="0"/>
      </w:pPr>
      <w:bookmarkStart w:id="44" w:name="_Ref30507"/>
      <w:r>
        <w:t>李佳,李静,刘海砚,陆川伟,陈晓慧,刘俊楠,石文. 地理知识图谱增强与多时空条件约束的轨迹预测[J].测绘学报,2024,53 (10):2021-2033.</w:t>
      </w:r>
      <w:bookmarkEnd w:id="44"/>
    </w:p>
    <w:p w14:paraId="1B310717">
      <w:pPr>
        <w:pStyle w:val="21"/>
        <w:keepLines/>
        <w:widowControl/>
        <w:numPr>
          <w:ilvl w:val="0"/>
          <w:numId w:val="1"/>
        </w:numPr>
        <w:wordWrap/>
        <w:ind w:left="425" w:leftChars="0" w:hanging="425" w:firstLineChars="0"/>
      </w:pPr>
      <w:r>
        <w:t>赵成原,刘名威,彭鑫,陈碧欢,赵文耘. 深度学习模型知识图谱构建方法[J].计算机应用与软件,2025,42 (11):17-24+51.</w:t>
      </w:r>
    </w:p>
    <w:p w14:paraId="4643DE3F">
      <w:pPr>
        <w:pStyle w:val="21"/>
        <w:keepLines/>
        <w:widowControl/>
        <w:numPr>
          <w:ilvl w:val="0"/>
          <w:numId w:val="1"/>
        </w:numPr>
        <w:wordWrap/>
        <w:snapToGrid w:val="0"/>
        <w:ind w:left="425" w:leftChars="0" w:hanging="425" w:firstLineChars="0"/>
        <w:jc w:val="left"/>
      </w:pPr>
      <w:bookmarkStart w:id="45" w:name="_Ref32625"/>
      <w:r>
        <w:rPr>
          <w:rFonts w:hint="default" w:ascii="Times New Roman" w:hAnsi="Times New Roman" w:eastAsia="Times New Roman"/>
          <w:lang w:val="en-US" w:eastAsia="en-US"/>
        </w:rPr>
        <w:t>JI S, PAN S, CAMBRIA E, et al. A Survey on Knowledge Graphs: Representation, Acquisition, and Applications[J]. IEEE Transactions on Neural Networks and Learning Systems, 2022, 33(2): 494-514. DOI: 10.1109/TNNLS.2021.3070843.</w:t>
      </w:r>
      <w:bookmarkEnd w:id="45"/>
    </w:p>
    <w:p w14:paraId="4CD63F39">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WANG S, QIU P, ZHU Y, et al. Review, framework, and future perspectives of Geographic Knowledge Graph (GeoKG) quality assessment[J]. Geo-spatial Information Science, 2025, 28(4): 1701-1721. DOI: 10.1080/10095020.2024.2403785.</w:t>
      </w:r>
    </w:p>
    <w:p>
      <w:pPr>
        <w:pStyle w:val="2"/>
      </w:pPr>
      <w:r>
        <w:t>作者贡献声明</w:t>
      </w:r>
    </w:p>
    <w:p>
      <w:pPr/>
      <w:r>
        <w:t>刘俊琦：提出研究问题和方法设计，完成实验设计与实现，撰写论文初稿。孙德忠：参与方法讨论和实验设计，提供数据支持，审阅论文。张忠家：提出研究方向和总体框架，指导研究工作，审阅和修改论文。</w:t>
      </w:r>
    </w:p>
    <w:p>
      <w:pPr>
        <w:pStyle w:val="2"/>
      </w:pPr>
      <w:r>
        <w:t>利益冲突声明</w:t>
      </w:r>
    </w:p>
    <w:p>
      <w:pPr/>
      <w:r>
        <w:t>作者声明不存在利益冲突。</w:t>
      </w:r>
    </w:p>
    <w:p>
      <w:pPr>
        <w:pStyle w:val="2"/>
      </w:pPr>
      <w:r>
        <w:t>AI使用声明</w:t>
      </w:r>
    </w:p>
    <w:p>
      <w:pPr/>
      <w:r>
        <w:t>本研究使用Qwen-3.5-122B-A10B对规则和本地分类器难以确定的候选知识进行升级裁决，并使用生成式AI工具辅助代码整理、文稿校对和格式检查。模型输出仅作为证据通道，所有进入严格语义层的记录仍需经过结构准入和来源绑定。</w:t>
      </w:r>
    </w:p>
    <w:p>
      <w:pPr>
        <w:pStyle w:val="2"/>
      </w:pPr>
      <w:r>
        <w:t>数据可用性声明</w:t>
      </w:r>
    </w:p>
    <w:p>
      <w:pPr/>
      <w:r>
        <w:t>本研究支撑数据将在论文录用后上传至ScienceDB数据社区或其他公共数据平台，并在正式公开后补充DOI和访问链接。当前整理包包含最终研究数据库、图谱导出、数据字典和复现说明。</w:t>
      </w:r>
    </w:p>
    <w:p>
      <w:pPr>
        <w:pStyle w:val="2"/>
      </w:pPr>
      <w:r>
        <w:t>代码可用性声明</w:t>
      </w:r>
    </w:p>
    <w:p>
      <w:pPr/>
      <w:r>
        <w:t>本研究的构建脚本、结构规范、查询文件、测试文件和复现说明已随投稿材料整理保存；正式公开代码链接将在作者确定公开平台后补充。</w:t>
      </w:r>
    </w:p>
    <w:sectPr>
      <w:headerReference r:id="rId5" w:type="default"/>
      <w:footerReference r:id="rId6" w:type="default"/>
      <w:footnotePr>
        <w:numRestart w:val="eachSect"/>
      </w:footnotePr>
      <w:pgSz w:w="11906" w:h="16838"/>
      <w:pgMar w:top="1247" w:right="1247" w:bottom="1134" w:left="1417" w:header="70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94410">
    <w:pPr>
      <w:jc w:val="center"/>
    </w:pP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PAGE</w:instrText>
    </w:r>
    <w:r>
      <w:rPr>
        <w:rFonts w:ascii="Times New Roman" w:hAnsi="Times New Roman" w:eastAsia="宋体" w:cs="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67EF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2C988F"/>
    <w:multiLevelType w:val="singleLevel"/>
    <w:tmpl w:val="732C988F"/>
    <w:lvl w:ilvl="0" w:tentative="0">
      <w:start w:val="1"/>
      <w:numFmt w:val="decimal"/>
      <w:lvlText w:val="[%1]"/>
      <w:lvlJc w:val="left"/>
      <w:pPr>
        <w:tabs>
          <w:tab w:val="left" w:pos="420"/>
        </w:tabs>
        <w:ind w:left="425" w:leftChars="0" w:hanging="425" w:firstLineChars="0"/>
      </w:pPr>
      <w:rPr>
        <w:rFonts w:hint="default"/>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09759B"/>
    <w:rsid w:val="00171018"/>
    <w:rsid w:val="001A2979"/>
    <w:rsid w:val="002F1478"/>
    <w:rsid w:val="00356C30"/>
    <w:rsid w:val="00372670"/>
    <w:rsid w:val="00594E26"/>
    <w:rsid w:val="00711C62"/>
    <w:rsid w:val="0076596C"/>
    <w:rsid w:val="008E3BD5"/>
    <w:rsid w:val="00A24A25"/>
    <w:rsid w:val="00B220C4"/>
    <w:rsid w:val="00EC2241"/>
    <w:rsid w:val="00ED107C"/>
    <w:rsid w:val="01072E95"/>
    <w:rsid w:val="010E7A34"/>
    <w:rsid w:val="012D1E13"/>
    <w:rsid w:val="012F2EAE"/>
    <w:rsid w:val="01555BBD"/>
    <w:rsid w:val="015A381B"/>
    <w:rsid w:val="01775083"/>
    <w:rsid w:val="018C1E6A"/>
    <w:rsid w:val="019C581E"/>
    <w:rsid w:val="01A00EE1"/>
    <w:rsid w:val="01CB5508"/>
    <w:rsid w:val="01D077B9"/>
    <w:rsid w:val="01E85211"/>
    <w:rsid w:val="01F860A1"/>
    <w:rsid w:val="01FC4123"/>
    <w:rsid w:val="01FF47C6"/>
    <w:rsid w:val="0206764B"/>
    <w:rsid w:val="020E6C6A"/>
    <w:rsid w:val="022F7B41"/>
    <w:rsid w:val="02303681"/>
    <w:rsid w:val="02344AD2"/>
    <w:rsid w:val="02394A56"/>
    <w:rsid w:val="02426A7B"/>
    <w:rsid w:val="02530245"/>
    <w:rsid w:val="026D6A93"/>
    <w:rsid w:val="027363C9"/>
    <w:rsid w:val="02843D6E"/>
    <w:rsid w:val="028C6396"/>
    <w:rsid w:val="029B463B"/>
    <w:rsid w:val="02A30B8C"/>
    <w:rsid w:val="02C87E57"/>
    <w:rsid w:val="02D93684"/>
    <w:rsid w:val="0301714F"/>
    <w:rsid w:val="030C00AF"/>
    <w:rsid w:val="031A0F44"/>
    <w:rsid w:val="032A35BF"/>
    <w:rsid w:val="03302715"/>
    <w:rsid w:val="033C7EF7"/>
    <w:rsid w:val="03442901"/>
    <w:rsid w:val="035E385F"/>
    <w:rsid w:val="03861FBF"/>
    <w:rsid w:val="03907419"/>
    <w:rsid w:val="03C4315E"/>
    <w:rsid w:val="03C71F01"/>
    <w:rsid w:val="03D578A2"/>
    <w:rsid w:val="040B36E6"/>
    <w:rsid w:val="040E2B65"/>
    <w:rsid w:val="04173770"/>
    <w:rsid w:val="0425215B"/>
    <w:rsid w:val="042A0A1C"/>
    <w:rsid w:val="043C421A"/>
    <w:rsid w:val="044D373D"/>
    <w:rsid w:val="04623A10"/>
    <w:rsid w:val="04696E20"/>
    <w:rsid w:val="047B6D1D"/>
    <w:rsid w:val="047E2C13"/>
    <w:rsid w:val="04830AA0"/>
    <w:rsid w:val="04876D3A"/>
    <w:rsid w:val="04923B3C"/>
    <w:rsid w:val="04B444B1"/>
    <w:rsid w:val="04D177B2"/>
    <w:rsid w:val="05125194"/>
    <w:rsid w:val="052C7096"/>
    <w:rsid w:val="05646F33"/>
    <w:rsid w:val="056910EE"/>
    <w:rsid w:val="056A131C"/>
    <w:rsid w:val="057132F2"/>
    <w:rsid w:val="05804AE7"/>
    <w:rsid w:val="059B3E36"/>
    <w:rsid w:val="059B4302"/>
    <w:rsid w:val="05D92EDF"/>
    <w:rsid w:val="05D95C88"/>
    <w:rsid w:val="05E3675F"/>
    <w:rsid w:val="05F849E1"/>
    <w:rsid w:val="06150DA8"/>
    <w:rsid w:val="061A28EF"/>
    <w:rsid w:val="064A6A98"/>
    <w:rsid w:val="06631F41"/>
    <w:rsid w:val="067419FD"/>
    <w:rsid w:val="06783724"/>
    <w:rsid w:val="067932CF"/>
    <w:rsid w:val="06906CFA"/>
    <w:rsid w:val="06A730F1"/>
    <w:rsid w:val="06A91D20"/>
    <w:rsid w:val="06CC0290"/>
    <w:rsid w:val="06DA1170"/>
    <w:rsid w:val="06E46818"/>
    <w:rsid w:val="06EF70EE"/>
    <w:rsid w:val="071C2F7D"/>
    <w:rsid w:val="071F4AB9"/>
    <w:rsid w:val="07496786"/>
    <w:rsid w:val="07577E67"/>
    <w:rsid w:val="077F547D"/>
    <w:rsid w:val="079C2F1C"/>
    <w:rsid w:val="07C937DB"/>
    <w:rsid w:val="07D57BF8"/>
    <w:rsid w:val="07FC337B"/>
    <w:rsid w:val="08040E53"/>
    <w:rsid w:val="081D6E13"/>
    <w:rsid w:val="082E381F"/>
    <w:rsid w:val="08346C38"/>
    <w:rsid w:val="083839C3"/>
    <w:rsid w:val="08455D67"/>
    <w:rsid w:val="084E25D9"/>
    <w:rsid w:val="086626DF"/>
    <w:rsid w:val="086D3024"/>
    <w:rsid w:val="087B04B5"/>
    <w:rsid w:val="089C14F6"/>
    <w:rsid w:val="08AE34F4"/>
    <w:rsid w:val="08D5014C"/>
    <w:rsid w:val="08EB66B2"/>
    <w:rsid w:val="08EE4BE3"/>
    <w:rsid w:val="08F25AD6"/>
    <w:rsid w:val="08F31F4B"/>
    <w:rsid w:val="09010BA2"/>
    <w:rsid w:val="09071B82"/>
    <w:rsid w:val="09130DE7"/>
    <w:rsid w:val="0934260D"/>
    <w:rsid w:val="093D1513"/>
    <w:rsid w:val="0954056A"/>
    <w:rsid w:val="096B1D71"/>
    <w:rsid w:val="097D715A"/>
    <w:rsid w:val="098C0445"/>
    <w:rsid w:val="099A1CF2"/>
    <w:rsid w:val="09CB7EEE"/>
    <w:rsid w:val="09D20C3D"/>
    <w:rsid w:val="09EF76E8"/>
    <w:rsid w:val="09F67800"/>
    <w:rsid w:val="0A006DA3"/>
    <w:rsid w:val="0A155064"/>
    <w:rsid w:val="0A36706E"/>
    <w:rsid w:val="0A4248DE"/>
    <w:rsid w:val="0A465512"/>
    <w:rsid w:val="0A4B3309"/>
    <w:rsid w:val="0A524C33"/>
    <w:rsid w:val="0A643B4A"/>
    <w:rsid w:val="0A6C6F89"/>
    <w:rsid w:val="0A7203BA"/>
    <w:rsid w:val="0A735D3C"/>
    <w:rsid w:val="0AA2364D"/>
    <w:rsid w:val="0AA870E5"/>
    <w:rsid w:val="0AAC3BA0"/>
    <w:rsid w:val="0AB27231"/>
    <w:rsid w:val="0AC20EA2"/>
    <w:rsid w:val="0AD4344F"/>
    <w:rsid w:val="0AE637EB"/>
    <w:rsid w:val="0AF21F58"/>
    <w:rsid w:val="0B0417A6"/>
    <w:rsid w:val="0B0D782C"/>
    <w:rsid w:val="0B190A48"/>
    <w:rsid w:val="0B1A1E92"/>
    <w:rsid w:val="0B225558"/>
    <w:rsid w:val="0B3359BA"/>
    <w:rsid w:val="0B647BE0"/>
    <w:rsid w:val="0B8D6B09"/>
    <w:rsid w:val="0B8F3289"/>
    <w:rsid w:val="0B9D1763"/>
    <w:rsid w:val="0BA46D33"/>
    <w:rsid w:val="0BC869D1"/>
    <w:rsid w:val="0BFD4011"/>
    <w:rsid w:val="0C320F27"/>
    <w:rsid w:val="0C3F42E2"/>
    <w:rsid w:val="0C5E3B4E"/>
    <w:rsid w:val="0C6F0A73"/>
    <w:rsid w:val="0C8D4FE4"/>
    <w:rsid w:val="0CAD0A14"/>
    <w:rsid w:val="0CE027EE"/>
    <w:rsid w:val="0CF94837"/>
    <w:rsid w:val="0CF967B6"/>
    <w:rsid w:val="0D173F98"/>
    <w:rsid w:val="0D2D518B"/>
    <w:rsid w:val="0D3B0859"/>
    <w:rsid w:val="0D406B46"/>
    <w:rsid w:val="0D5673AA"/>
    <w:rsid w:val="0D8006D4"/>
    <w:rsid w:val="0D90291C"/>
    <w:rsid w:val="0DD377F0"/>
    <w:rsid w:val="0E0359A8"/>
    <w:rsid w:val="0E1438DD"/>
    <w:rsid w:val="0E332AB7"/>
    <w:rsid w:val="0E437EEE"/>
    <w:rsid w:val="0E722F82"/>
    <w:rsid w:val="0E730F5C"/>
    <w:rsid w:val="0E87157C"/>
    <w:rsid w:val="0E962AEC"/>
    <w:rsid w:val="0EC02C47"/>
    <w:rsid w:val="0ED77F26"/>
    <w:rsid w:val="0F011CB7"/>
    <w:rsid w:val="0F03228E"/>
    <w:rsid w:val="0F112932"/>
    <w:rsid w:val="0F15242D"/>
    <w:rsid w:val="0F2D486C"/>
    <w:rsid w:val="0F413D73"/>
    <w:rsid w:val="0F9524AD"/>
    <w:rsid w:val="0FD947E3"/>
    <w:rsid w:val="0FDD4A1A"/>
    <w:rsid w:val="0FE24959"/>
    <w:rsid w:val="10325460"/>
    <w:rsid w:val="10424399"/>
    <w:rsid w:val="107B3695"/>
    <w:rsid w:val="10841703"/>
    <w:rsid w:val="10A678F5"/>
    <w:rsid w:val="10AE709F"/>
    <w:rsid w:val="10BB4EED"/>
    <w:rsid w:val="10CD1F95"/>
    <w:rsid w:val="10D14CCA"/>
    <w:rsid w:val="10E91DEF"/>
    <w:rsid w:val="10FB3D8A"/>
    <w:rsid w:val="11106DFE"/>
    <w:rsid w:val="11211073"/>
    <w:rsid w:val="113050BD"/>
    <w:rsid w:val="114C3A51"/>
    <w:rsid w:val="117C6DB8"/>
    <w:rsid w:val="11813649"/>
    <w:rsid w:val="118B050D"/>
    <w:rsid w:val="119736B4"/>
    <w:rsid w:val="11A97B4F"/>
    <w:rsid w:val="11C93F77"/>
    <w:rsid w:val="11E4679F"/>
    <w:rsid w:val="11FA219A"/>
    <w:rsid w:val="12072150"/>
    <w:rsid w:val="121D4D0B"/>
    <w:rsid w:val="12310209"/>
    <w:rsid w:val="12502AAF"/>
    <w:rsid w:val="125E0199"/>
    <w:rsid w:val="12733216"/>
    <w:rsid w:val="12750300"/>
    <w:rsid w:val="12807EA0"/>
    <w:rsid w:val="12830679"/>
    <w:rsid w:val="12B86B1D"/>
    <w:rsid w:val="12C37D9C"/>
    <w:rsid w:val="12C965B9"/>
    <w:rsid w:val="12CF7135"/>
    <w:rsid w:val="12DB6FAD"/>
    <w:rsid w:val="13034631"/>
    <w:rsid w:val="13125C68"/>
    <w:rsid w:val="131C5A74"/>
    <w:rsid w:val="132F4D9A"/>
    <w:rsid w:val="1340723C"/>
    <w:rsid w:val="134A42F6"/>
    <w:rsid w:val="13586E3C"/>
    <w:rsid w:val="136455B4"/>
    <w:rsid w:val="138D7731"/>
    <w:rsid w:val="139A7FE4"/>
    <w:rsid w:val="13A6258B"/>
    <w:rsid w:val="13C82A9F"/>
    <w:rsid w:val="13DA54BD"/>
    <w:rsid w:val="13E5474C"/>
    <w:rsid w:val="13E9084B"/>
    <w:rsid w:val="13E90AB8"/>
    <w:rsid w:val="13F06448"/>
    <w:rsid w:val="13F86EA2"/>
    <w:rsid w:val="1420495B"/>
    <w:rsid w:val="142F17DC"/>
    <w:rsid w:val="143A1338"/>
    <w:rsid w:val="146E14F6"/>
    <w:rsid w:val="14707730"/>
    <w:rsid w:val="14763DC6"/>
    <w:rsid w:val="14767DCA"/>
    <w:rsid w:val="148A734D"/>
    <w:rsid w:val="149D7BAF"/>
    <w:rsid w:val="14C06EFC"/>
    <w:rsid w:val="14C26C68"/>
    <w:rsid w:val="14D37DC3"/>
    <w:rsid w:val="14D61CDA"/>
    <w:rsid w:val="14DA1CDB"/>
    <w:rsid w:val="14E359FB"/>
    <w:rsid w:val="14E5039D"/>
    <w:rsid w:val="151F3093"/>
    <w:rsid w:val="153B4ABB"/>
    <w:rsid w:val="154926C1"/>
    <w:rsid w:val="155A5C88"/>
    <w:rsid w:val="156461C5"/>
    <w:rsid w:val="15827760"/>
    <w:rsid w:val="15870060"/>
    <w:rsid w:val="15880448"/>
    <w:rsid w:val="1589497E"/>
    <w:rsid w:val="15AB211A"/>
    <w:rsid w:val="15B1584E"/>
    <w:rsid w:val="15BF3ABA"/>
    <w:rsid w:val="15C96F1F"/>
    <w:rsid w:val="15E73475"/>
    <w:rsid w:val="15F053A7"/>
    <w:rsid w:val="15FE7DB1"/>
    <w:rsid w:val="1646627B"/>
    <w:rsid w:val="164F5B5D"/>
    <w:rsid w:val="1663713C"/>
    <w:rsid w:val="168A5599"/>
    <w:rsid w:val="16A313C2"/>
    <w:rsid w:val="16AA3717"/>
    <w:rsid w:val="16C247EF"/>
    <w:rsid w:val="16C255B1"/>
    <w:rsid w:val="16C9529E"/>
    <w:rsid w:val="16D24763"/>
    <w:rsid w:val="16D71651"/>
    <w:rsid w:val="16EC4369"/>
    <w:rsid w:val="16FA694D"/>
    <w:rsid w:val="16FB5D72"/>
    <w:rsid w:val="17212A7D"/>
    <w:rsid w:val="172E2568"/>
    <w:rsid w:val="17414DFA"/>
    <w:rsid w:val="174B251C"/>
    <w:rsid w:val="176247AA"/>
    <w:rsid w:val="176600E7"/>
    <w:rsid w:val="17751102"/>
    <w:rsid w:val="17796836"/>
    <w:rsid w:val="178C5DF0"/>
    <w:rsid w:val="1791041E"/>
    <w:rsid w:val="17A55A69"/>
    <w:rsid w:val="17AA3D49"/>
    <w:rsid w:val="17B70166"/>
    <w:rsid w:val="17B956C8"/>
    <w:rsid w:val="17C23793"/>
    <w:rsid w:val="17C303C1"/>
    <w:rsid w:val="17C507AD"/>
    <w:rsid w:val="17CA78E5"/>
    <w:rsid w:val="17D110E9"/>
    <w:rsid w:val="17D17D49"/>
    <w:rsid w:val="17E57E76"/>
    <w:rsid w:val="17F42485"/>
    <w:rsid w:val="17F6116D"/>
    <w:rsid w:val="17FA064C"/>
    <w:rsid w:val="18124F11"/>
    <w:rsid w:val="18314859"/>
    <w:rsid w:val="18463718"/>
    <w:rsid w:val="18470680"/>
    <w:rsid w:val="1853220B"/>
    <w:rsid w:val="185817F5"/>
    <w:rsid w:val="185856E4"/>
    <w:rsid w:val="186F2F91"/>
    <w:rsid w:val="18775CC6"/>
    <w:rsid w:val="189B2FA9"/>
    <w:rsid w:val="18DA5D5D"/>
    <w:rsid w:val="18DD3648"/>
    <w:rsid w:val="18E519A9"/>
    <w:rsid w:val="19032A35"/>
    <w:rsid w:val="19141EC6"/>
    <w:rsid w:val="191B532F"/>
    <w:rsid w:val="19251236"/>
    <w:rsid w:val="193024D5"/>
    <w:rsid w:val="19395013"/>
    <w:rsid w:val="193F17DD"/>
    <w:rsid w:val="193F2395"/>
    <w:rsid w:val="19522A60"/>
    <w:rsid w:val="19613A92"/>
    <w:rsid w:val="196A1096"/>
    <w:rsid w:val="19757E25"/>
    <w:rsid w:val="197B1F37"/>
    <w:rsid w:val="197C5580"/>
    <w:rsid w:val="19B17320"/>
    <w:rsid w:val="19BE77E9"/>
    <w:rsid w:val="19C6382F"/>
    <w:rsid w:val="19CB5B68"/>
    <w:rsid w:val="19CF1614"/>
    <w:rsid w:val="19F2038C"/>
    <w:rsid w:val="19FA611A"/>
    <w:rsid w:val="1A0019B4"/>
    <w:rsid w:val="1A2C302B"/>
    <w:rsid w:val="1A314FA0"/>
    <w:rsid w:val="1A321354"/>
    <w:rsid w:val="1A50298D"/>
    <w:rsid w:val="1A570ADD"/>
    <w:rsid w:val="1A6178C1"/>
    <w:rsid w:val="1AB25428"/>
    <w:rsid w:val="1AC34B08"/>
    <w:rsid w:val="1ACE533C"/>
    <w:rsid w:val="1AD3633E"/>
    <w:rsid w:val="1AD40225"/>
    <w:rsid w:val="1ADC1FC3"/>
    <w:rsid w:val="1AEF6D79"/>
    <w:rsid w:val="1AF81E8D"/>
    <w:rsid w:val="1B021D01"/>
    <w:rsid w:val="1B0421ED"/>
    <w:rsid w:val="1B427B1B"/>
    <w:rsid w:val="1B5D233C"/>
    <w:rsid w:val="1B7756BA"/>
    <w:rsid w:val="1B931FA7"/>
    <w:rsid w:val="1B9B4CED"/>
    <w:rsid w:val="1BC73364"/>
    <w:rsid w:val="1BD31720"/>
    <w:rsid w:val="1BEA146E"/>
    <w:rsid w:val="1BF322AD"/>
    <w:rsid w:val="1C18190D"/>
    <w:rsid w:val="1C2A1875"/>
    <w:rsid w:val="1C323A86"/>
    <w:rsid w:val="1C41646C"/>
    <w:rsid w:val="1C475729"/>
    <w:rsid w:val="1C5D7271"/>
    <w:rsid w:val="1C5F0806"/>
    <w:rsid w:val="1C6252D0"/>
    <w:rsid w:val="1C704EAB"/>
    <w:rsid w:val="1C8C2944"/>
    <w:rsid w:val="1C92207F"/>
    <w:rsid w:val="1C9C69A6"/>
    <w:rsid w:val="1CA42F86"/>
    <w:rsid w:val="1CA54A96"/>
    <w:rsid w:val="1CAD03D7"/>
    <w:rsid w:val="1CCC4933"/>
    <w:rsid w:val="1CD535CE"/>
    <w:rsid w:val="1CF27DBF"/>
    <w:rsid w:val="1CF83762"/>
    <w:rsid w:val="1D07477E"/>
    <w:rsid w:val="1D0D0A07"/>
    <w:rsid w:val="1D0E1F20"/>
    <w:rsid w:val="1D0E5820"/>
    <w:rsid w:val="1D156635"/>
    <w:rsid w:val="1D557D48"/>
    <w:rsid w:val="1D614512"/>
    <w:rsid w:val="1D6602BE"/>
    <w:rsid w:val="1D6C3058"/>
    <w:rsid w:val="1D763119"/>
    <w:rsid w:val="1D7A2C99"/>
    <w:rsid w:val="1D8C7BAB"/>
    <w:rsid w:val="1D9F5501"/>
    <w:rsid w:val="1DA7097F"/>
    <w:rsid w:val="1DBD6907"/>
    <w:rsid w:val="1DC12CA7"/>
    <w:rsid w:val="1DC22363"/>
    <w:rsid w:val="1DC645A2"/>
    <w:rsid w:val="1DC83502"/>
    <w:rsid w:val="1DCC131C"/>
    <w:rsid w:val="1DD957C9"/>
    <w:rsid w:val="1DE00444"/>
    <w:rsid w:val="1DE21FBE"/>
    <w:rsid w:val="1DE26756"/>
    <w:rsid w:val="1DE731DE"/>
    <w:rsid w:val="1DEF08ED"/>
    <w:rsid w:val="1DF0324F"/>
    <w:rsid w:val="1DFB267F"/>
    <w:rsid w:val="1DFE1930"/>
    <w:rsid w:val="1E04649C"/>
    <w:rsid w:val="1E161055"/>
    <w:rsid w:val="1E192916"/>
    <w:rsid w:val="1E1E31CB"/>
    <w:rsid w:val="1E207E80"/>
    <w:rsid w:val="1E270875"/>
    <w:rsid w:val="1E2763B8"/>
    <w:rsid w:val="1E3239BB"/>
    <w:rsid w:val="1E3B7B22"/>
    <w:rsid w:val="1E5662F7"/>
    <w:rsid w:val="1E585D80"/>
    <w:rsid w:val="1E5B7476"/>
    <w:rsid w:val="1E6734EF"/>
    <w:rsid w:val="1E68151D"/>
    <w:rsid w:val="1E734F4B"/>
    <w:rsid w:val="1E8D3571"/>
    <w:rsid w:val="1EC024F6"/>
    <w:rsid w:val="1EC71AB5"/>
    <w:rsid w:val="1EC90FE3"/>
    <w:rsid w:val="1ECE6467"/>
    <w:rsid w:val="1EDB1116"/>
    <w:rsid w:val="1EFB4546"/>
    <w:rsid w:val="1F025C97"/>
    <w:rsid w:val="1F1E4249"/>
    <w:rsid w:val="1F3A1030"/>
    <w:rsid w:val="1F533A5D"/>
    <w:rsid w:val="1F593D65"/>
    <w:rsid w:val="1F7A3B5B"/>
    <w:rsid w:val="1F954466"/>
    <w:rsid w:val="1FCF1D09"/>
    <w:rsid w:val="1FE06C33"/>
    <w:rsid w:val="1FE60F60"/>
    <w:rsid w:val="1FFC12EA"/>
    <w:rsid w:val="200F1025"/>
    <w:rsid w:val="20120F15"/>
    <w:rsid w:val="201C45B1"/>
    <w:rsid w:val="201D1230"/>
    <w:rsid w:val="206634AC"/>
    <w:rsid w:val="20750DF7"/>
    <w:rsid w:val="207F6FCB"/>
    <w:rsid w:val="208841E1"/>
    <w:rsid w:val="209B6891"/>
    <w:rsid w:val="209D7538"/>
    <w:rsid w:val="20AA13EC"/>
    <w:rsid w:val="20B41528"/>
    <w:rsid w:val="20B75510"/>
    <w:rsid w:val="20B9542D"/>
    <w:rsid w:val="20BB063F"/>
    <w:rsid w:val="20C75C68"/>
    <w:rsid w:val="210F7942"/>
    <w:rsid w:val="21176A07"/>
    <w:rsid w:val="211905FE"/>
    <w:rsid w:val="21276729"/>
    <w:rsid w:val="212C0BFF"/>
    <w:rsid w:val="21305ACA"/>
    <w:rsid w:val="216304E1"/>
    <w:rsid w:val="21682F2D"/>
    <w:rsid w:val="217558B9"/>
    <w:rsid w:val="21A141F3"/>
    <w:rsid w:val="222150FB"/>
    <w:rsid w:val="222E0DE7"/>
    <w:rsid w:val="2248145F"/>
    <w:rsid w:val="224847C7"/>
    <w:rsid w:val="22566673"/>
    <w:rsid w:val="22586C7B"/>
    <w:rsid w:val="22605760"/>
    <w:rsid w:val="22647531"/>
    <w:rsid w:val="2266128F"/>
    <w:rsid w:val="227F1A6E"/>
    <w:rsid w:val="22A27820"/>
    <w:rsid w:val="22A342CC"/>
    <w:rsid w:val="22A53E33"/>
    <w:rsid w:val="22B215B9"/>
    <w:rsid w:val="22E141CD"/>
    <w:rsid w:val="22E67AAD"/>
    <w:rsid w:val="22F4627B"/>
    <w:rsid w:val="22F779A4"/>
    <w:rsid w:val="23072080"/>
    <w:rsid w:val="23550A61"/>
    <w:rsid w:val="237155C9"/>
    <w:rsid w:val="23910614"/>
    <w:rsid w:val="23A067BF"/>
    <w:rsid w:val="23AA7BF6"/>
    <w:rsid w:val="23DA5FC1"/>
    <w:rsid w:val="23E862EE"/>
    <w:rsid w:val="24133456"/>
    <w:rsid w:val="24366431"/>
    <w:rsid w:val="243C1690"/>
    <w:rsid w:val="243D211F"/>
    <w:rsid w:val="245166AF"/>
    <w:rsid w:val="246353E2"/>
    <w:rsid w:val="247654E9"/>
    <w:rsid w:val="24CB59CB"/>
    <w:rsid w:val="24E5575F"/>
    <w:rsid w:val="24FF5548"/>
    <w:rsid w:val="25140E84"/>
    <w:rsid w:val="25303B17"/>
    <w:rsid w:val="253229D1"/>
    <w:rsid w:val="253B29A3"/>
    <w:rsid w:val="256005BC"/>
    <w:rsid w:val="25605CB2"/>
    <w:rsid w:val="2578755A"/>
    <w:rsid w:val="259D3570"/>
    <w:rsid w:val="25A305D0"/>
    <w:rsid w:val="25FB0A37"/>
    <w:rsid w:val="262376FF"/>
    <w:rsid w:val="263366D3"/>
    <w:rsid w:val="264F58FD"/>
    <w:rsid w:val="26570106"/>
    <w:rsid w:val="26701424"/>
    <w:rsid w:val="267947AB"/>
    <w:rsid w:val="269A32CF"/>
    <w:rsid w:val="26B66B9A"/>
    <w:rsid w:val="26B7326B"/>
    <w:rsid w:val="26C30B05"/>
    <w:rsid w:val="26CA72D0"/>
    <w:rsid w:val="26DA488F"/>
    <w:rsid w:val="26DE5EB1"/>
    <w:rsid w:val="26E23734"/>
    <w:rsid w:val="26EB4F41"/>
    <w:rsid w:val="27082736"/>
    <w:rsid w:val="27274966"/>
    <w:rsid w:val="27416FED"/>
    <w:rsid w:val="27435EA0"/>
    <w:rsid w:val="27497242"/>
    <w:rsid w:val="274B19BC"/>
    <w:rsid w:val="277252F9"/>
    <w:rsid w:val="27757FE5"/>
    <w:rsid w:val="278541A3"/>
    <w:rsid w:val="278670BD"/>
    <w:rsid w:val="27882A4F"/>
    <w:rsid w:val="27966187"/>
    <w:rsid w:val="279F2A45"/>
    <w:rsid w:val="27A9495E"/>
    <w:rsid w:val="27B45572"/>
    <w:rsid w:val="27B72E58"/>
    <w:rsid w:val="27CD2700"/>
    <w:rsid w:val="27D262BB"/>
    <w:rsid w:val="27FF37D5"/>
    <w:rsid w:val="281D582D"/>
    <w:rsid w:val="284A0CAA"/>
    <w:rsid w:val="28501AB5"/>
    <w:rsid w:val="28520E64"/>
    <w:rsid w:val="286B0262"/>
    <w:rsid w:val="28864691"/>
    <w:rsid w:val="28911DB0"/>
    <w:rsid w:val="28B94426"/>
    <w:rsid w:val="28C35B7E"/>
    <w:rsid w:val="28CE541E"/>
    <w:rsid w:val="28D7256F"/>
    <w:rsid w:val="28FD4819"/>
    <w:rsid w:val="290D0A2C"/>
    <w:rsid w:val="291C0EE6"/>
    <w:rsid w:val="291F7214"/>
    <w:rsid w:val="294B3478"/>
    <w:rsid w:val="29551A67"/>
    <w:rsid w:val="295A7083"/>
    <w:rsid w:val="296A361B"/>
    <w:rsid w:val="299F00BE"/>
    <w:rsid w:val="29AD20C2"/>
    <w:rsid w:val="29CE0666"/>
    <w:rsid w:val="29E379AE"/>
    <w:rsid w:val="29E621E0"/>
    <w:rsid w:val="29FB6E57"/>
    <w:rsid w:val="29FC0F5C"/>
    <w:rsid w:val="2A081442"/>
    <w:rsid w:val="2A0B6F8A"/>
    <w:rsid w:val="2A3C2291"/>
    <w:rsid w:val="2A44339A"/>
    <w:rsid w:val="2A521C5D"/>
    <w:rsid w:val="2A58598D"/>
    <w:rsid w:val="2A686820"/>
    <w:rsid w:val="2A745929"/>
    <w:rsid w:val="2A8255B3"/>
    <w:rsid w:val="2A9B2366"/>
    <w:rsid w:val="2AA42CAA"/>
    <w:rsid w:val="2AAB3A7B"/>
    <w:rsid w:val="2AC135BE"/>
    <w:rsid w:val="2ACC1EDF"/>
    <w:rsid w:val="2AD47934"/>
    <w:rsid w:val="2B0342E3"/>
    <w:rsid w:val="2B0A29F1"/>
    <w:rsid w:val="2B400E9E"/>
    <w:rsid w:val="2B566650"/>
    <w:rsid w:val="2B5D0CEF"/>
    <w:rsid w:val="2B6074F6"/>
    <w:rsid w:val="2B7C0C24"/>
    <w:rsid w:val="2BA6042A"/>
    <w:rsid w:val="2BC53530"/>
    <w:rsid w:val="2BCD6CF4"/>
    <w:rsid w:val="2BE26495"/>
    <w:rsid w:val="2BE76CC3"/>
    <w:rsid w:val="2BF66E96"/>
    <w:rsid w:val="2C1C0550"/>
    <w:rsid w:val="2C24724E"/>
    <w:rsid w:val="2C445352"/>
    <w:rsid w:val="2C4B082A"/>
    <w:rsid w:val="2C4D0C44"/>
    <w:rsid w:val="2C634B6E"/>
    <w:rsid w:val="2C8928A8"/>
    <w:rsid w:val="2CA7782F"/>
    <w:rsid w:val="2CA86F75"/>
    <w:rsid w:val="2CC52608"/>
    <w:rsid w:val="2CD83E8C"/>
    <w:rsid w:val="2CD9356D"/>
    <w:rsid w:val="2CDD0CF5"/>
    <w:rsid w:val="2CDF7355"/>
    <w:rsid w:val="2CE71918"/>
    <w:rsid w:val="2CED633D"/>
    <w:rsid w:val="2CF402AF"/>
    <w:rsid w:val="2CF60ADC"/>
    <w:rsid w:val="2D1A11EE"/>
    <w:rsid w:val="2D24754E"/>
    <w:rsid w:val="2D2C72EC"/>
    <w:rsid w:val="2D757D5B"/>
    <w:rsid w:val="2D8647A4"/>
    <w:rsid w:val="2D867724"/>
    <w:rsid w:val="2D9F1A0A"/>
    <w:rsid w:val="2DA151AC"/>
    <w:rsid w:val="2DE02413"/>
    <w:rsid w:val="2DE64438"/>
    <w:rsid w:val="2DE83487"/>
    <w:rsid w:val="2DF06016"/>
    <w:rsid w:val="2DF06402"/>
    <w:rsid w:val="2E095D3D"/>
    <w:rsid w:val="2E175187"/>
    <w:rsid w:val="2E3067A9"/>
    <w:rsid w:val="2E4A1E3F"/>
    <w:rsid w:val="2E4A7489"/>
    <w:rsid w:val="2E631136"/>
    <w:rsid w:val="2E754DE0"/>
    <w:rsid w:val="2E8B5CC2"/>
    <w:rsid w:val="2E9D093C"/>
    <w:rsid w:val="2EA2291C"/>
    <w:rsid w:val="2EB55589"/>
    <w:rsid w:val="2ECB1130"/>
    <w:rsid w:val="2EF15503"/>
    <w:rsid w:val="2EF473DB"/>
    <w:rsid w:val="2F0D407F"/>
    <w:rsid w:val="2F120948"/>
    <w:rsid w:val="2F532C5F"/>
    <w:rsid w:val="2F6B4596"/>
    <w:rsid w:val="2F701770"/>
    <w:rsid w:val="2F89103F"/>
    <w:rsid w:val="2F8B018D"/>
    <w:rsid w:val="2F8E4983"/>
    <w:rsid w:val="2F914B39"/>
    <w:rsid w:val="2F9A3535"/>
    <w:rsid w:val="2FBE580E"/>
    <w:rsid w:val="2FC33516"/>
    <w:rsid w:val="2FCB5ED3"/>
    <w:rsid w:val="2FCD1974"/>
    <w:rsid w:val="2FDA5C09"/>
    <w:rsid w:val="2FE54547"/>
    <w:rsid w:val="2FF12761"/>
    <w:rsid w:val="2FFD70E5"/>
    <w:rsid w:val="30151AD2"/>
    <w:rsid w:val="30206843"/>
    <w:rsid w:val="305E02D6"/>
    <w:rsid w:val="30816629"/>
    <w:rsid w:val="30833AAC"/>
    <w:rsid w:val="309B4439"/>
    <w:rsid w:val="30AA4B46"/>
    <w:rsid w:val="30CB742C"/>
    <w:rsid w:val="30DA0C8A"/>
    <w:rsid w:val="30E47145"/>
    <w:rsid w:val="30E95AFF"/>
    <w:rsid w:val="30EA5DB4"/>
    <w:rsid w:val="30F63FB2"/>
    <w:rsid w:val="312550E1"/>
    <w:rsid w:val="312E6700"/>
    <w:rsid w:val="313E4558"/>
    <w:rsid w:val="31521D8E"/>
    <w:rsid w:val="315465F8"/>
    <w:rsid w:val="31694871"/>
    <w:rsid w:val="317C482E"/>
    <w:rsid w:val="31833527"/>
    <w:rsid w:val="318B5312"/>
    <w:rsid w:val="31B66577"/>
    <w:rsid w:val="31BF3E47"/>
    <w:rsid w:val="31C26B68"/>
    <w:rsid w:val="31CD2891"/>
    <w:rsid w:val="31E6696B"/>
    <w:rsid w:val="31ED4F3D"/>
    <w:rsid w:val="31F43321"/>
    <w:rsid w:val="320329AC"/>
    <w:rsid w:val="32037F11"/>
    <w:rsid w:val="3208378D"/>
    <w:rsid w:val="320D41B2"/>
    <w:rsid w:val="322322AA"/>
    <w:rsid w:val="32357A75"/>
    <w:rsid w:val="323E4BA8"/>
    <w:rsid w:val="32523FAE"/>
    <w:rsid w:val="32771A9F"/>
    <w:rsid w:val="32A25569"/>
    <w:rsid w:val="32DE25C3"/>
    <w:rsid w:val="32E74A96"/>
    <w:rsid w:val="3318003D"/>
    <w:rsid w:val="33252ABB"/>
    <w:rsid w:val="33310395"/>
    <w:rsid w:val="33313B20"/>
    <w:rsid w:val="33467947"/>
    <w:rsid w:val="33623A8A"/>
    <w:rsid w:val="339B0479"/>
    <w:rsid w:val="33C21800"/>
    <w:rsid w:val="33DA6BC6"/>
    <w:rsid w:val="33DD112B"/>
    <w:rsid w:val="33EF26D7"/>
    <w:rsid w:val="33F720A1"/>
    <w:rsid w:val="3413480D"/>
    <w:rsid w:val="341A0189"/>
    <w:rsid w:val="342734BF"/>
    <w:rsid w:val="34283A0E"/>
    <w:rsid w:val="343A04DE"/>
    <w:rsid w:val="343A3796"/>
    <w:rsid w:val="343F03F0"/>
    <w:rsid w:val="345005B9"/>
    <w:rsid w:val="346026A0"/>
    <w:rsid w:val="34757872"/>
    <w:rsid w:val="34895A83"/>
    <w:rsid w:val="34A0133A"/>
    <w:rsid w:val="34A950EA"/>
    <w:rsid w:val="34AA0ECC"/>
    <w:rsid w:val="34AF7B9D"/>
    <w:rsid w:val="34B52B9E"/>
    <w:rsid w:val="351367BB"/>
    <w:rsid w:val="351A68C9"/>
    <w:rsid w:val="351D305C"/>
    <w:rsid w:val="352477B6"/>
    <w:rsid w:val="353A348C"/>
    <w:rsid w:val="355708B0"/>
    <w:rsid w:val="3557391B"/>
    <w:rsid w:val="35585E19"/>
    <w:rsid w:val="35854F99"/>
    <w:rsid w:val="35871FC4"/>
    <w:rsid w:val="35C26233"/>
    <w:rsid w:val="35D321A9"/>
    <w:rsid w:val="35FB5327"/>
    <w:rsid w:val="360603A9"/>
    <w:rsid w:val="360A672A"/>
    <w:rsid w:val="36316F7D"/>
    <w:rsid w:val="363F01EF"/>
    <w:rsid w:val="364F1858"/>
    <w:rsid w:val="364F241D"/>
    <w:rsid w:val="367F594E"/>
    <w:rsid w:val="368F43E0"/>
    <w:rsid w:val="36E90D5B"/>
    <w:rsid w:val="36F66EE7"/>
    <w:rsid w:val="370C42B7"/>
    <w:rsid w:val="37273D7D"/>
    <w:rsid w:val="373C3584"/>
    <w:rsid w:val="373D66F1"/>
    <w:rsid w:val="3747322D"/>
    <w:rsid w:val="376831B9"/>
    <w:rsid w:val="376A78C8"/>
    <w:rsid w:val="377B00B4"/>
    <w:rsid w:val="377D5C1C"/>
    <w:rsid w:val="379D5249"/>
    <w:rsid w:val="379E5D3D"/>
    <w:rsid w:val="37A230FF"/>
    <w:rsid w:val="37AC167E"/>
    <w:rsid w:val="37BA10DE"/>
    <w:rsid w:val="37C773D3"/>
    <w:rsid w:val="37E669A1"/>
    <w:rsid w:val="37ED00C6"/>
    <w:rsid w:val="37F53EBB"/>
    <w:rsid w:val="38251546"/>
    <w:rsid w:val="3849509C"/>
    <w:rsid w:val="384E6C42"/>
    <w:rsid w:val="38513E8F"/>
    <w:rsid w:val="38591FB6"/>
    <w:rsid w:val="38C271C8"/>
    <w:rsid w:val="38CC1183"/>
    <w:rsid w:val="38DE504C"/>
    <w:rsid w:val="38E33821"/>
    <w:rsid w:val="38EB2B94"/>
    <w:rsid w:val="38F15796"/>
    <w:rsid w:val="390C4DD4"/>
    <w:rsid w:val="390E1F69"/>
    <w:rsid w:val="396B548F"/>
    <w:rsid w:val="397235CE"/>
    <w:rsid w:val="398B0D75"/>
    <w:rsid w:val="39995501"/>
    <w:rsid w:val="399C42F8"/>
    <w:rsid w:val="3A0D4E79"/>
    <w:rsid w:val="3A272A9D"/>
    <w:rsid w:val="3A2962DD"/>
    <w:rsid w:val="3A3179D5"/>
    <w:rsid w:val="3A380EC4"/>
    <w:rsid w:val="3A3B37DE"/>
    <w:rsid w:val="3A3D3ECD"/>
    <w:rsid w:val="3A5515BA"/>
    <w:rsid w:val="3A6A4EEE"/>
    <w:rsid w:val="3A823B6D"/>
    <w:rsid w:val="3A8C518C"/>
    <w:rsid w:val="3AA87512"/>
    <w:rsid w:val="3AE12680"/>
    <w:rsid w:val="3AF9183A"/>
    <w:rsid w:val="3B064504"/>
    <w:rsid w:val="3B0E1285"/>
    <w:rsid w:val="3B241690"/>
    <w:rsid w:val="3B3064F6"/>
    <w:rsid w:val="3B354AC9"/>
    <w:rsid w:val="3B355AA4"/>
    <w:rsid w:val="3B3B7009"/>
    <w:rsid w:val="3B522843"/>
    <w:rsid w:val="3B575920"/>
    <w:rsid w:val="3B765BCA"/>
    <w:rsid w:val="3B822231"/>
    <w:rsid w:val="3B8C7879"/>
    <w:rsid w:val="3B9F46D7"/>
    <w:rsid w:val="3BD004D2"/>
    <w:rsid w:val="3BDC21CE"/>
    <w:rsid w:val="3BDD426E"/>
    <w:rsid w:val="3BE6707C"/>
    <w:rsid w:val="3BEA2DA0"/>
    <w:rsid w:val="3BEC4CD8"/>
    <w:rsid w:val="3BF6083C"/>
    <w:rsid w:val="3BFB4A2C"/>
    <w:rsid w:val="3C064535"/>
    <w:rsid w:val="3C1E18B4"/>
    <w:rsid w:val="3C360111"/>
    <w:rsid w:val="3C517328"/>
    <w:rsid w:val="3C78780F"/>
    <w:rsid w:val="3C7D02BA"/>
    <w:rsid w:val="3C912A11"/>
    <w:rsid w:val="3CA4075C"/>
    <w:rsid w:val="3CA94FCA"/>
    <w:rsid w:val="3CCE6DCA"/>
    <w:rsid w:val="3CE65EAB"/>
    <w:rsid w:val="3CF72D5D"/>
    <w:rsid w:val="3CFA3806"/>
    <w:rsid w:val="3D5171A9"/>
    <w:rsid w:val="3D61097A"/>
    <w:rsid w:val="3DBB3FBD"/>
    <w:rsid w:val="3DBB5EEB"/>
    <w:rsid w:val="3DD06D0A"/>
    <w:rsid w:val="3DF93BDF"/>
    <w:rsid w:val="3E1204A1"/>
    <w:rsid w:val="3E2E1B75"/>
    <w:rsid w:val="3E407452"/>
    <w:rsid w:val="3E4A1EFC"/>
    <w:rsid w:val="3E6B790F"/>
    <w:rsid w:val="3E8831B5"/>
    <w:rsid w:val="3E961B91"/>
    <w:rsid w:val="3EA903B7"/>
    <w:rsid w:val="3EAC1AD4"/>
    <w:rsid w:val="3EB26936"/>
    <w:rsid w:val="3EB53E39"/>
    <w:rsid w:val="3EE55728"/>
    <w:rsid w:val="3EE61719"/>
    <w:rsid w:val="3EE81B53"/>
    <w:rsid w:val="3F035D9A"/>
    <w:rsid w:val="3F0E0E85"/>
    <w:rsid w:val="3F0E44C8"/>
    <w:rsid w:val="3F3812D7"/>
    <w:rsid w:val="3F3C628C"/>
    <w:rsid w:val="3F555C23"/>
    <w:rsid w:val="3F6A7A3C"/>
    <w:rsid w:val="3F7D6037"/>
    <w:rsid w:val="3F865DDF"/>
    <w:rsid w:val="3F972EC8"/>
    <w:rsid w:val="3FC301EE"/>
    <w:rsid w:val="3FF602DB"/>
    <w:rsid w:val="3FFA7D91"/>
    <w:rsid w:val="40026792"/>
    <w:rsid w:val="400C073D"/>
    <w:rsid w:val="40277348"/>
    <w:rsid w:val="403D5C2C"/>
    <w:rsid w:val="40405688"/>
    <w:rsid w:val="40445BEE"/>
    <w:rsid w:val="405805C2"/>
    <w:rsid w:val="405C183D"/>
    <w:rsid w:val="40687737"/>
    <w:rsid w:val="406D0622"/>
    <w:rsid w:val="406D31B9"/>
    <w:rsid w:val="40C072C8"/>
    <w:rsid w:val="40C46CFB"/>
    <w:rsid w:val="40CF39DB"/>
    <w:rsid w:val="40D754E1"/>
    <w:rsid w:val="410313BC"/>
    <w:rsid w:val="41075810"/>
    <w:rsid w:val="41145B17"/>
    <w:rsid w:val="411C1689"/>
    <w:rsid w:val="415E4547"/>
    <w:rsid w:val="419249A3"/>
    <w:rsid w:val="41990393"/>
    <w:rsid w:val="41AE490D"/>
    <w:rsid w:val="41D573A4"/>
    <w:rsid w:val="41E2692B"/>
    <w:rsid w:val="41EB7E98"/>
    <w:rsid w:val="41EE55EF"/>
    <w:rsid w:val="41F62FE4"/>
    <w:rsid w:val="42046CD2"/>
    <w:rsid w:val="424A437B"/>
    <w:rsid w:val="42562CCF"/>
    <w:rsid w:val="42683015"/>
    <w:rsid w:val="42762478"/>
    <w:rsid w:val="427745FD"/>
    <w:rsid w:val="428D2C56"/>
    <w:rsid w:val="42962E61"/>
    <w:rsid w:val="42964753"/>
    <w:rsid w:val="42984601"/>
    <w:rsid w:val="42A752DE"/>
    <w:rsid w:val="42B71D4F"/>
    <w:rsid w:val="42BB542A"/>
    <w:rsid w:val="42C84490"/>
    <w:rsid w:val="42E00F40"/>
    <w:rsid w:val="42ED4397"/>
    <w:rsid w:val="4327700E"/>
    <w:rsid w:val="432B2DF1"/>
    <w:rsid w:val="434333A4"/>
    <w:rsid w:val="43462E94"/>
    <w:rsid w:val="43527F40"/>
    <w:rsid w:val="43633DA3"/>
    <w:rsid w:val="439255C5"/>
    <w:rsid w:val="439E1E86"/>
    <w:rsid w:val="43AE75D4"/>
    <w:rsid w:val="43B04DAE"/>
    <w:rsid w:val="43C95ED5"/>
    <w:rsid w:val="43D80ED4"/>
    <w:rsid w:val="43DC18FB"/>
    <w:rsid w:val="43E4091F"/>
    <w:rsid w:val="43E540F7"/>
    <w:rsid w:val="43F263E4"/>
    <w:rsid w:val="43F2734B"/>
    <w:rsid w:val="44493F10"/>
    <w:rsid w:val="446E5EC1"/>
    <w:rsid w:val="446F3945"/>
    <w:rsid w:val="44702128"/>
    <w:rsid w:val="44720C36"/>
    <w:rsid w:val="447C0F84"/>
    <w:rsid w:val="449206E3"/>
    <w:rsid w:val="449677E5"/>
    <w:rsid w:val="44AB6F52"/>
    <w:rsid w:val="44B62D5B"/>
    <w:rsid w:val="44EB63C4"/>
    <w:rsid w:val="44FD4933"/>
    <w:rsid w:val="451C5713"/>
    <w:rsid w:val="451D17E2"/>
    <w:rsid w:val="45226993"/>
    <w:rsid w:val="45280DF6"/>
    <w:rsid w:val="452833A6"/>
    <w:rsid w:val="453C6566"/>
    <w:rsid w:val="45590B7C"/>
    <w:rsid w:val="45612781"/>
    <w:rsid w:val="458504E4"/>
    <w:rsid w:val="45B3656E"/>
    <w:rsid w:val="45D74A72"/>
    <w:rsid w:val="45D75F59"/>
    <w:rsid w:val="45D82D45"/>
    <w:rsid w:val="45F25EF3"/>
    <w:rsid w:val="46290FD0"/>
    <w:rsid w:val="463C315C"/>
    <w:rsid w:val="46431678"/>
    <w:rsid w:val="46453982"/>
    <w:rsid w:val="465463FD"/>
    <w:rsid w:val="467965A4"/>
    <w:rsid w:val="4698205A"/>
    <w:rsid w:val="46B57E19"/>
    <w:rsid w:val="46F34618"/>
    <w:rsid w:val="46F76399"/>
    <w:rsid w:val="46F93F7E"/>
    <w:rsid w:val="46FD109D"/>
    <w:rsid w:val="47261F01"/>
    <w:rsid w:val="473408A4"/>
    <w:rsid w:val="4750108E"/>
    <w:rsid w:val="475A17D4"/>
    <w:rsid w:val="475F3ACF"/>
    <w:rsid w:val="4789550F"/>
    <w:rsid w:val="478D2946"/>
    <w:rsid w:val="47A6124E"/>
    <w:rsid w:val="47D33D92"/>
    <w:rsid w:val="481310F1"/>
    <w:rsid w:val="481827E3"/>
    <w:rsid w:val="48413791"/>
    <w:rsid w:val="485336CC"/>
    <w:rsid w:val="48537482"/>
    <w:rsid w:val="48735AC8"/>
    <w:rsid w:val="48881157"/>
    <w:rsid w:val="48894518"/>
    <w:rsid w:val="488C7D04"/>
    <w:rsid w:val="488F4899"/>
    <w:rsid w:val="489566C5"/>
    <w:rsid w:val="48A46C05"/>
    <w:rsid w:val="48A5093A"/>
    <w:rsid w:val="48AE2726"/>
    <w:rsid w:val="48D102C2"/>
    <w:rsid w:val="48DD767F"/>
    <w:rsid w:val="48FF038E"/>
    <w:rsid w:val="48FF2353"/>
    <w:rsid w:val="49140C84"/>
    <w:rsid w:val="493057EC"/>
    <w:rsid w:val="4932794D"/>
    <w:rsid w:val="4937696C"/>
    <w:rsid w:val="493A368B"/>
    <w:rsid w:val="493A43D3"/>
    <w:rsid w:val="493C5DDE"/>
    <w:rsid w:val="494F692A"/>
    <w:rsid w:val="49521ED5"/>
    <w:rsid w:val="49756432"/>
    <w:rsid w:val="497940D9"/>
    <w:rsid w:val="497A44A8"/>
    <w:rsid w:val="49944420"/>
    <w:rsid w:val="49A24DA4"/>
    <w:rsid w:val="49A91FC8"/>
    <w:rsid w:val="49CD38A0"/>
    <w:rsid w:val="49F5348C"/>
    <w:rsid w:val="4A0949C8"/>
    <w:rsid w:val="4A0F353D"/>
    <w:rsid w:val="4A1B1CCE"/>
    <w:rsid w:val="4A6A2ACE"/>
    <w:rsid w:val="4A75754E"/>
    <w:rsid w:val="4A7A1BA9"/>
    <w:rsid w:val="4A7A7339"/>
    <w:rsid w:val="4A7B5A49"/>
    <w:rsid w:val="4ABA6371"/>
    <w:rsid w:val="4ACF6189"/>
    <w:rsid w:val="4AD72B5F"/>
    <w:rsid w:val="4ADC0FC4"/>
    <w:rsid w:val="4AE64330"/>
    <w:rsid w:val="4AE67012"/>
    <w:rsid w:val="4AEF03CC"/>
    <w:rsid w:val="4AF5115D"/>
    <w:rsid w:val="4AF913D5"/>
    <w:rsid w:val="4AFB546E"/>
    <w:rsid w:val="4B0E1085"/>
    <w:rsid w:val="4B127573"/>
    <w:rsid w:val="4B274B2E"/>
    <w:rsid w:val="4B3B3A34"/>
    <w:rsid w:val="4B555A56"/>
    <w:rsid w:val="4B82302E"/>
    <w:rsid w:val="4B94032C"/>
    <w:rsid w:val="4B947919"/>
    <w:rsid w:val="4BA26E34"/>
    <w:rsid w:val="4BAB3AF5"/>
    <w:rsid w:val="4BB50760"/>
    <w:rsid w:val="4BC747F8"/>
    <w:rsid w:val="4BD65A9E"/>
    <w:rsid w:val="4BE83A70"/>
    <w:rsid w:val="4BF57913"/>
    <w:rsid w:val="4C014BAA"/>
    <w:rsid w:val="4C04631F"/>
    <w:rsid w:val="4C087374"/>
    <w:rsid w:val="4C0A291E"/>
    <w:rsid w:val="4C304508"/>
    <w:rsid w:val="4C310F3A"/>
    <w:rsid w:val="4C4A1D8B"/>
    <w:rsid w:val="4C5F3158"/>
    <w:rsid w:val="4C615650"/>
    <w:rsid w:val="4C683F69"/>
    <w:rsid w:val="4C7E0612"/>
    <w:rsid w:val="4C881F68"/>
    <w:rsid w:val="4CB16E18"/>
    <w:rsid w:val="4CBF4AB0"/>
    <w:rsid w:val="4CDA47C8"/>
    <w:rsid w:val="4CDA6905"/>
    <w:rsid w:val="4CE35D9D"/>
    <w:rsid w:val="4CF50356"/>
    <w:rsid w:val="4CFD4F66"/>
    <w:rsid w:val="4D0C7870"/>
    <w:rsid w:val="4D1F4506"/>
    <w:rsid w:val="4D223F58"/>
    <w:rsid w:val="4D2F6B18"/>
    <w:rsid w:val="4D3B3DB6"/>
    <w:rsid w:val="4D6536CD"/>
    <w:rsid w:val="4D7134A5"/>
    <w:rsid w:val="4DA67EF5"/>
    <w:rsid w:val="4DD11ACE"/>
    <w:rsid w:val="4DE508A7"/>
    <w:rsid w:val="4DEB11D3"/>
    <w:rsid w:val="4E077C2F"/>
    <w:rsid w:val="4E133E85"/>
    <w:rsid w:val="4E1B1DBB"/>
    <w:rsid w:val="4E1D6D93"/>
    <w:rsid w:val="4E322FCC"/>
    <w:rsid w:val="4E3D3756"/>
    <w:rsid w:val="4E5710AF"/>
    <w:rsid w:val="4E8C2E26"/>
    <w:rsid w:val="4E8E7C18"/>
    <w:rsid w:val="4EC302A1"/>
    <w:rsid w:val="4EE335CE"/>
    <w:rsid w:val="4F06315F"/>
    <w:rsid w:val="4F0F121E"/>
    <w:rsid w:val="4F12697F"/>
    <w:rsid w:val="4F151289"/>
    <w:rsid w:val="4F4E1BEC"/>
    <w:rsid w:val="4F4E55AA"/>
    <w:rsid w:val="4FA8453F"/>
    <w:rsid w:val="4FB7737D"/>
    <w:rsid w:val="4FC63B51"/>
    <w:rsid w:val="4FE24CF7"/>
    <w:rsid w:val="4FE60625"/>
    <w:rsid w:val="4FF77255"/>
    <w:rsid w:val="4FFA65E3"/>
    <w:rsid w:val="4FFB6AB2"/>
    <w:rsid w:val="50245B11"/>
    <w:rsid w:val="502F777F"/>
    <w:rsid w:val="50756C7B"/>
    <w:rsid w:val="508C2217"/>
    <w:rsid w:val="50906A20"/>
    <w:rsid w:val="509329D7"/>
    <w:rsid w:val="50A317C8"/>
    <w:rsid w:val="50B63888"/>
    <w:rsid w:val="50CB397B"/>
    <w:rsid w:val="50CD65BC"/>
    <w:rsid w:val="51112691"/>
    <w:rsid w:val="511E3234"/>
    <w:rsid w:val="51386D8D"/>
    <w:rsid w:val="513C4B21"/>
    <w:rsid w:val="51457D88"/>
    <w:rsid w:val="5151208B"/>
    <w:rsid w:val="51815B8E"/>
    <w:rsid w:val="519E6520"/>
    <w:rsid w:val="51A57B29"/>
    <w:rsid w:val="51B24853"/>
    <w:rsid w:val="51CC33D7"/>
    <w:rsid w:val="51D45DE9"/>
    <w:rsid w:val="51DA3B6C"/>
    <w:rsid w:val="51EA431E"/>
    <w:rsid w:val="51EA6D96"/>
    <w:rsid w:val="51FD11FD"/>
    <w:rsid w:val="520004C6"/>
    <w:rsid w:val="52034E1E"/>
    <w:rsid w:val="52082F79"/>
    <w:rsid w:val="52392A37"/>
    <w:rsid w:val="52553AB0"/>
    <w:rsid w:val="52564B46"/>
    <w:rsid w:val="526419C4"/>
    <w:rsid w:val="526F57C8"/>
    <w:rsid w:val="527524E4"/>
    <w:rsid w:val="5277467D"/>
    <w:rsid w:val="529845E4"/>
    <w:rsid w:val="52A10B1E"/>
    <w:rsid w:val="52A26FA6"/>
    <w:rsid w:val="52A84085"/>
    <w:rsid w:val="52C3396B"/>
    <w:rsid w:val="52C66AAB"/>
    <w:rsid w:val="52E05C74"/>
    <w:rsid w:val="52F226F8"/>
    <w:rsid w:val="52FD18C9"/>
    <w:rsid w:val="53032461"/>
    <w:rsid w:val="532A6270"/>
    <w:rsid w:val="533A4BAF"/>
    <w:rsid w:val="535924E6"/>
    <w:rsid w:val="536B499A"/>
    <w:rsid w:val="536F3CEC"/>
    <w:rsid w:val="53717FD9"/>
    <w:rsid w:val="538038A0"/>
    <w:rsid w:val="539538E6"/>
    <w:rsid w:val="539931AE"/>
    <w:rsid w:val="53A5251E"/>
    <w:rsid w:val="53D00331"/>
    <w:rsid w:val="53D77463"/>
    <w:rsid w:val="53DD513B"/>
    <w:rsid w:val="53E11F57"/>
    <w:rsid w:val="53F065CE"/>
    <w:rsid w:val="53F20950"/>
    <w:rsid w:val="53F401A2"/>
    <w:rsid w:val="53F82D6E"/>
    <w:rsid w:val="54284D3A"/>
    <w:rsid w:val="543E3367"/>
    <w:rsid w:val="544701D8"/>
    <w:rsid w:val="54485543"/>
    <w:rsid w:val="54536F27"/>
    <w:rsid w:val="545C7201"/>
    <w:rsid w:val="546B2C0C"/>
    <w:rsid w:val="54716232"/>
    <w:rsid w:val="54873729"/>
    <w:rsid w:val="54B94BDB"/>
    <w:rsid w:val="54C76B43"/>
    <w:rsid w:val="54D1214D"/>
    <w:rsid w:val="550668D4"/>
    <w:rsid w:val="55151E2C"/>
    <w:rsid w:val="551A2E8A"/>
    <w:rsid w:val="553A6E4F"/>
    <w:rsid w:val="55555D17"/>
    <w:rsid w:val="555673A9"/>
    <w:rsid w:val="556752CF"/>
    <w:rsid w:val="556D5CC2"/>
    <w:rsid w:val="557D65A0"/>
    <w:rsid w:val="55815881"/>
    <w:rsid w:val="5583529F"/>
    <w:rsid w:val="558D313F"/>
    <w:rsid w:val="55A91D92"/>
    <w:rsid w:val="55AE6607"/>
    <w:rsid w:val="55B16B73"/>
    <w:rsid w:val="55BD6B5F"/>
    <w:rsid w:val="55DA0B12"/>
    <w:rsid w:val="55ED1F11"/>
    <w:rsid w:val="55FA7CD4"/>
    <w:rsid w:val="56043A25"/>
    <w:rsid w:val="560B5297"/>
    <w:rsid w:val="56125F32"/>
    <w:rsid w:val="561F3C1F"/>
    <w:rsid w:val="562608B9"/>
    <w:rsid w:val="562D74EF"/>
    <w:rsid w:val="56617CA8"/>
    <w:rsid w:val="56633ABE"/>
    <w:rsid w:val="56723B1D"/>
    <w:rsid w:val="568B1124"/>
    <w:rsid w:val="569A2D50"/>
    <w:rsid w:val="56A01191"/>
    <w:rsid w:val="56B174CD"/>
    <w:rsid w:val="56B46E01"/>
    <w:rsid w:val="56B726F2"/>
    <w:rsid w:val="56C24F40"/>
    <w:rsid w:val="56D94142"/>
    <w:rsid w:val="56DE17E7"/>
    <w:rsid w:val="56E17F16"/>
    <w:rsid w:val="56F80C62"/>
    <w:rsid w:val="570B2765"/>
    <w:rsid w:val="571615DD"/>
    <w:rsid w:val="57634D02"/>
    <w:rsid w:val="576D0685"/>
    <w:rsid w:val="57CA3B61"/>
    <w:rsid w:val="57DA1EE9"/>
    <w:rsid w:val="57DE23C5"/>
    <w:rsid w:val="581E0CB1"/>
    <w:rsid w:val="581E34DD"/>
    <w:rsid w:val="58205B1B"/>
    <w:rsid w:val="5874174D"/>
    <w:rsid w:val="587F6713"/>
    <w:rsid w:val="58DB21F6"/>
    <w:rsid w:val="58E657C7"/>
    <w:rsid w:val="58E920B3"/>
    <w:rsid w:val="59093179"/>
    <w:rsid w:val="5927236F"/>
    <w:rsid w:val="595200AA"/>
    <w:rsid w:val="595906BF"/>
    <w:rsid w:val="59821FCF"/>
    <w:rsid w:val="598771D6"/>
    <w:rsid w:val="598E6F39"/>
    <w:rsid w:val="59AF0377"/>
    <w:rsid w:val="59B17780"/>
    <w:rsid w:val="59B4489E"/>
    <w:rsid w:val="59C71EC7"/>
    <w:rsid w:val="59C76B21"/>
    <w:rsid w:val="59CB558F"/>
    <w:rsid w:val="59D260EC"/>
    <w:rsid w:val="59D956FF"/>
    <w:rsid w:val="5A010242"/>
    <w:rsid w:val="5A125DFA"/>
    <w:rsid w:val="5A1559FF"/>
    <w:rsid w:val="5A1D693A"/>
    <w:rsid w:val="5A321933"/>
    <w:rsid w:val="5A461F55"/>
    <w:rsid w:val="5A4A46B2"/>
    <w:rsid w:val="5A733116"/>
    <w:rsid w:val="5A9A2EF8"/>
    <w:rsid w:val="5A9D0A15"/>
    <w:rsid w:val="5A9E2DFB"/>
    <w:rsid w:val="5AAC2E6A"/>
    <w:rsid w:val="5AAF578C"/>
    <w:rsid w:val="5AC03748"/>
    <w:rsid w:val="5AD42B3A"/>
    <w:rsid w:val="5B1E6A9E"/>
    <w:rsid w:val="5B2D660B"/>
    <w:rsid w:val="5B313661"/>
    <w:rsid w:val="5B4D6EAF"/>
    <w:rsid w:val="5B786E7A"/>
    <w:rsid w:val="5B836703"/>
    <w:rsid w:val="5B893306"/>
    <w:rsid w:val="5BAA65B6"/>
    <w:rsid w:val="5BAB2C66"/>
    <w:rsid w:val="5BCB1751"/>
    <w:rsid w:val="5BD47FBC"/>
    <w:rsid w:val="5BE02FE7"/>
    <w:rsid w:val="5BE9027F"/>
    <w:rsid w:val="5BF779BF"/>
    <w:rsid w:val="5C0772E7"/>
    <w:rsid w:val="5C1A2C7F"/>
    <w:rsid w:val="5C1E76FB"/>
    <w:rsid w:val="5C270B97"/>
    <w:rsid w:val="5C306C04"/>
    <w:rsid w:val="5C365B67"/>
    <w:rsid w:val="5C377E7F"/>
    <w:rsid w:val="5C4008F1"/>
    <w:rsid w:val="5C6B4A88"/>
    <w:rsid w:val="5C78171D"/>
    <w:rsid w:val="5CA05557"/>
    <w:rsid w:val="5CAD3D53"/>
    <w:rsid w:val="5CB377C1"/>
    <w:rsid w:val="5CBF0AB9"/>
    <w:rsid w:val="5CBF1B93"/>
    <w:rsid w:val="5CD6167C"/>
    <w:rsid w:val="5CE74A46"/>
    <w:rsid w:val="5CEF6256"/>
    <w:rsid w:val="5CFF4B3C"/>
    <w:rsid w:val="5D0677CA"/>
    <w:rsid w:val="5D523FD7"/>
    <w:rsid w:val="5D571AB3"/>
    <w:rsid w:val="5D7C48F8"/>
    <w:rsid w:val="5D882A30"/>
    <w:rsid w:val="5DAA6A78"/>
    <w:rsid w:val="5DC21447"/>
    <w:rsid w:val="5DC91AFC"/>
    <w:rsid w:val="5DCB3D34"/>
    <w:rsid w:val="5DCF2C17"/>
    <w:rsid w:val="5DCF79F3"/>
    <w:rsid w:val="5DEA6696"/>
    <w:rsid w:val="5DF03461"/>
    <w:rsid w:val="5DF43F1D"/>
    <w:rsid w:val="5DF6429E"/>
    <w:rsid w:val="5E336948"/>
    <w:rsid w:val="5E524C15"/>
    <w:rsid w:val="5E5B12F6"/>
    <w:rsid w:val="5E5E473B"/>
    <w:rsid w:val="5E6442EE"/>
    <w:rsid w:val="5E711F07"/>
    <w:rsid w:val="5E9956F8"/>
    <w:rsid w:val="5EA6244B"/>
    <w:rsid w:val="5EB3267A"/>
    <w:rsid w:val="5EB602A2"/>
    <w:rsid w:val="5EB63AAA"/>
    <w:rsid w:val="5EBD2878"/>
    <w:rsid w:val="5EC167DA"/>
    <w:rsid w:val="5ECB6060"/>
    <w:rsid w:val="5ECC7DE7"/>
    <w:rsid w:val="5ED0295C"/>
    <w:rsid w:val="5EDC1F0B"/>
    <w:rsid w:val="5EF231A4"/>
    <w:rsid w:val="5EF9041B"/>
    <w:rsid w:val="5F024EED"/>
    <w:rsid w:val="5F2B7B38"/>
    <w:rsid w:val="5F372CD1"/>
    <w:rsid w:val="5F6E2185"/>
    <w:rsid w:val="5F6F0DDD"/>
    <w:rsid w:val="5F755F57"/>
    <w:rsid w:val="5F8E24C6"/>
    <w:rsid w:val="5FA41E59"/>
    <w:rsid w:val="5FE10623"/>
    <w:rsid w:val="5FE321D1"/>
    <w:rsid w:val="5FE508D0"/>
    <w:rsid w:val="6009754D"/>
    <w:rsid w:val="600F6594"/>
    <w:rsid w:val="601C2D7E"/>
    <w:rsid w:val="60215CCD"/>
    <w:rsid w:val="602F16F8"/>
    <w:rsid w:val="60340051"/>
    <w:rsid w:val="60441CC5"/>
    <w:rsid w:val="60620F3F"/>
    <w:rsid w:val="60823E54"/>
    <w:rsid w:val="60924A16"/>
    <w:rsid w:val="609E57E5"/>
    <w:rsid w:val="609F068A"/>
    <w:rsid w:val="60A27E92"/>
    <w:rsid w:val="60AC408B"/>
    <w:rsid w:val="60B358F9"/>
    <w:rsid w:val="60C31EEE"/>
    <w:rsid w:val="60C72E2C"/>
    <w:rsid w:val="60F94928"/>
    <w:rsid w:val="60FE5AE9"/>
    <w:rsid w:val="6114729D"/>
    <w:rsid w:val="612D2CE1"/>
    <w:rsid w:val="613F48C0"/>
    <w:rsid w:val="61413E31"/>
    <w:rsid w:val="6148030E"/>
    <w:rsid w:val="61524AAF"/>
    <w:rsid w:val="615824FA"/>
    <w:rsid w:val="616A4D59"/>
    <w:rsid w:val="61755DE9"/>
    <w:rsid w:val="6193091D"/>
    <w:rsid w:val="61970898"/>
    <w:rsid w:val="61984A08"/>
    <w:rsid w:val="61B31D14"/>
    <w:rsid w:val="61B5782C"/>
    <w:rsid w:val="61C250D7"/>
    <w:rsid w:val="61C45617"/>
    <w:rsid w:val="61E03E92"/>
    <w:rsid w:val="61E8413C"/>
    <w:rsid w:val="62192C70"/>
    <w:rsid w:val="6224001F"/>
    <w:rsid w:val="62675AA8"/>
    <w:rsid w:val="62A958CE"/>
    <w:rsid w:val="62CB02DA"/>
    <w:rsid w:val="62D4193E"/>
    <w:rsid w:val="62DB465A"/>
    <w:rsid w:val="62EC0D9C"/>
    <w:rsid w:val="62FC1CEF"/>
    <w:rsid w:val="62FD3A32"/>
    <w:rsid w:val="631D06C7"/>
    <w:rsid w:val="63235C5B"/>
    <w:rsid w:val="63AE6718"/>
    <w:rsid w:val="63CC4E19"/>
    <w:rsid w:val="63D76F9A"/>
    <w:rsid w:val="63F049AF"/>
    <w:rsid w:val="63F91F91"/>
    <w:rsid w:val="640B2E77"/>
    <w:rsid w:val="640E7A90"/>
    <w:rsid w:val="6410689E"/>
    <w:rsid w:val="64123482"/>
    <w:rsid w:val="642C6431"/>
    <w:rsid w:val="642C660A"/>
    <w:rsid w:val="6445719D"/>
    <w:rsid w:val="64470AE2"/>
    <w:rsid w:val="64646474"/>
    <w:rsid w:val="646C37FC"/>
    <w:rsid w:val="64702842"/>
    <w:rsid w:val="647A532A"/>
    <w:rsid w:val="648740B1"/>
    <w:rsid w:val="649531B7"/>
    <w:rsid w:val="64BC2114"/>
    <w:rsid w:val="64D717B5"/>
    <w:rsid w:val="64DF5038"/>
    <w:rsid w:val="64E20E40"/>
    <w:rsid w:val="64E576F5"/>
    <w:rsid w:val="64E65C15"/>
    <w:rsid w:val="64F55AAC"/>
    <w:rsid w:val="65145219"/>
    <w:rsid w:val="652C02B0"/>
    <w:rsid w:val="654D71A0"/>
    <w:rsid w:val="65504685"/>
    <w:rsid w:val="656156C8"/>
    <w:rsid w:val="65664F74"/>
    <w:rsid w:val="65784328"/>
    <w:rsid w:val="657859CA"/>
    <w:rsid w:val="657E46A0"/>
    <w:rsid w:val="6580594F"/>
    <w:rsid w:val="65AD1643"/>
    <w:rsid w:val="65AE0F5D"/>
    <w:rsid w:val="65D96936"/>
    <w:rsid w:val="65EA158B"/>
    <w:rsid w:val="65F75730"/>
    <w:rsid w:val="66016C13"/>
    <w:rsid w:val="660B7804"/>
    <w:rsid w:val="660D4D0B"/>
    <w:rsid w:val="663842B3"/>
    <w:rsid w:val="665D2C5D"/>
    <w:rsid w:val="66614D94"/>
    <w:rsid w:val="66634406"/>
    <w:rsid w:val="666E5522"/>
    <w:rsid w:val="667906D8"/>
    <w:rsid w:val="66BC50BA"/>
    <w:rsid w:val="66CB0D7A"/>
    <w:rsid w:val="66F37397"/>
    <w:rsid w:val="67013579"/>
    <w:rsid w:val="67046057"/>
    <w:rsid w:val="671245C7"/>
    <w:rsid w:val="671B007A"/>
    <w:rsid w:val="672E2BAD"/>
    <w:rsid w:val="673969A5"/>
    <w:rsid w:val="676127FB"/>
    <w:rsid w:val="67647ED3"/>
    <w:rsid w:val="67A5646D"/>
    <w:rsid w:val="67B66680"/>
    <w:rsid w:val="67CD2982"/>
    <w:rsid w:val="67D01DD5"/>
    <w:rsid w:val="67DD4344"/>
    <w:rsid w:val="680A7335"/>
    <w:rsid w:val="680D3536"/>
    <w:rsid w:val="683C7159"/>
    <w:rsid w:val="68531FA2"/>
    <w:rsid w:val="687006E2"/>
    <w:rsid w:val="68777E5F"/>
    <w:rsid w:val="68827C71"/>
    <w:rsid w:val="689B6EBF"/>
    <w:rsid w:val="68B07575"/>
    <w:rsid w:val="68BC5ACB"/>
    <w:rsid w:val="68C951D9"/>
    <w:rsid w:val="68CE6AF8"/>
    <w:rsid w:val="68CF18AE"/>
    <w:rsid w:val="68D76D79"/>
    <w:rsid w:val="68D87BD4"/>
    <w:rsid w:val="68D93CD6"/>
    <w:rsid w:val="68E1520A"/>
    <w:rsid w:val="690005E3"/>
    <w:rsid w:val="691350E5"/>
    <w:rsid w:val="69336304"/>
    <w:rsid w:val="6935246B"/>
    <w:rsid w:val="69361BC6"/>
    <w:rsid w:val="694A5C01"/>
    <w:rsid w:val="694F6290"/>
    <w:rsid w:val="695665A2"/>
    <w:rsid w:val="697A5E96"/>
    <w:rsid w:val="69845E4D"/>
    <w:rsid w:val="698A7304"/>
    <w:rsid w:val="69A014D9"/>
    <w:rsid w:val="69AE70D3"/>
    <w:rsid w:val="69C43B29"/>
    <w:rsid w:val="69EE6056"/>
    <w:rsid w:val="69FC4240"/>
    <w:rsid w:val="6A09759B"/>
    <w:rsid w:val="6A1D1829"/>
    <w:rsid w:val="6A253BAB"/>
    <w:rsid w:val="6AC013CF"/>
    <w:rsid w:val="6AD11722"/>
    <w:rsid w:val="6AD85FE8"/>
    <w:rsid w:val="6AE5338F"/>
    <w:rsid w:val="6AEA227F"/>
    <w:rsid w:val="6AF2118F"/>
    <w:rsid w:val="6B1D74AC"/>
    <w:rsid w:val="6B546909"/>
    <w:rsid w:val="6B553D1D"/>
    <w:rsid w:val="6B6D5BE2"/>
    <w:rsid w:val="6B815788"/>
    <w:rsid w:val="6B8943C7"/>
    <w:rsid w:val="6BA436B2"/>
    <w:rsid w:val="6BAC1714"/>
    <w:rsid w:val="6BB46E31"/>
    <w:rsid w:val="6BD01C4E"/>
    <w:rsid w:val="6BDE11FF"/>
    <w:rsid w:val="6BEC38F3"/>
    <w:rsid w:val="6BFF2904"/>
    <w:rsid w:val="6C030FA7"/>
    <w:rsid w:val="6C1103CD"/>
    <w:rsid w:val="6C1C59FC"/>
    <w:rsid w:val="6C2B3BDC"/>
    <w:rsid w:val="6C3F67B8"/>
    <w:rsid w:val="6C436AD7"/>
    <w:rsid w:val="6C4A1F4A"/>
    <w:rsid w:val="6C522C09"/>
    <w:rsid w:val="6C8C2576"/>
    <w:rsid w:val="6C8D76F6"/>
    <w:rsid w:val="6C8D7DBF"/>
    <w:rsid w:val="6C9423AB"/>
    <w:rsid w:val="6CB44BAF"/>
    <w:rsid w:val="6CB54B5E"/>
    <w:rsid w:val="6CD12A32"/>
    <w:rsid w:val="6D282CB5"/>
    <w:rsid w:val="6D3712D6"/>
    <w:rsid w:val="6D430B03"/>
    <w:rsid w:val="6D585169"/>
    <w:rsid w:val="6D6D1403"/>
    <w:rsid w:val="6D7D3F3B"/>
    <w:rsid w:val="6DBB5988"/>
    <w:rsid w:val="6DE44E78"/>
    <w:rsid w:val="6DEB6DA4"/>
    <w:rsid w:val="6E0972AF"/>
    <w:rsid w:val="6E126777"/>
    <w:rsid w:val="6E18665C"/>
    <w:rsid w:val="6E3A3D7B"/>
    <w:rsid w:val="6E407722"/>
    <w:rsid w:val="6E6D0070"/>
    <w:rsid w:val="6E840FBA"/>
    <w:rsid w:val="6E8505C2"/>
    <w:rsid w:val="6E9D318A"/>
    <w:rsid w:val="6EB131C0"/>
    <w:rsid w:val="6ECA06FC"/>
    <w:rsid w:val="6ED37B46"/>
    <w:rsid w:val="6F201F3E"/>
    <w:rsid w:val="6F260C53"/>
    <w:rsid w:val="6F3C7B43"/>
    <w:rsid w:val="6F44415A"/>
    <w:rsid w:val="6F61564B"/>
    <w:rsid w:val="6F686DE6"/>
    <w:rsid w:val="6F706BC7"/>
    <w:rsid w:val="6F7A4F52"/>
    <w:rsid w:val="6F7B2D1F"/>
    <w:rsid w:val="6F8B59AF"/>
    <w:rsid w:val="6F8F352C"/>
    <w:rsid w:val="6FA80360"/>
    <w:rsid w:val="6FBE1049"/>
    <w:rsid w:val="6FC11959"/>
    <w:rsid w:val="6FC8281A"/>
    <w:rsid w:val="6FF71F91"/>
    <w:rsid w:val="702C0DD0"/>
    <w:rsid w:val="70334D8F"/>
    <w:rsid w:val="703F7290"/>
    <w:rsid w:val="70660CDC"/>
    <w:rsid w:val="706B1C56"/>
    <w:rsid w:val="706D7810"/>
    <w:rsid w:val="70871907"/>
    <w:rsid w:val="708B4AC4"/>
    <w:rsid w:val="70A03D2A"/>
    <w:rsid w:val="70A40663"/>
    <w:rsid w:val="70AB365A"/>
    <w:rsid w:val="70B62304"/>
    <w:rsid w:val="70CC521D"/>
    <w:rsid w:val="70CD2AF0"/>
    <w:rsid w:val="70D64BC3"/>
    <w:rsid w:val="70DE0CF9"/>
    <w:rsid w:val="71041462"/>
    <w:rsid w:val="712A3EC9"/>
    <w:rsid w:val="712F512F"/>
    <w:rsid w:val="715669FC"/>
    <w:rsid w:val="715E0B31"/>
    <w:rsid w:val="71764E40"/>
    <w:rsid w:val="71785A75"/>
    <w:rsid w:val="71855EEC"/>
    <w:rsid w:val="71880C1A"/>
    <w:rsid w:val="718F78E0"/>
    <w:rsid w:val="71A83FAE"/>
    <w:rsid w:val="71C73927"/>
    <w:rsid w:val="71D66BE0"/>
    <w:rsid w:val="71E80863"/>
    <w:rsid w:val="71F44076"/>
    <w:rsid w:val="71FC6F84"/>
    <w:rsid w:val="72092052"/>
    <w:rsid w:val="722302B1"/>
    <w:rsid w:val="72801868"/>
    <w:rsid w:val="72A555A1"/>
    <w:rsid w:val="72A82997"/>
    <w:rsid w:val="72B27805"/>
    <w:rsid w:val="72CD1B50"/>
    <w:rsid w:val="72D27F6F"/>
    <w:rsid w:val="72E4245D"/>
    <w:rsid w:val="72E61009"/>
    <w:rsid w:val="731D58F6"/>
    <w:rsid w:val="732353D8"/>
    <w:rsid w:val="734E2256"/>
    <w:rsid w:val="735E2C60"/>
    <w:rsid w:val="736917D4"/>
    <w:rsid w:val="739872F2"/>
    <w:rsid w:val="73A52BF4"/>
    <w:rsid w:val="74462248"/>
    <w:rsid w:val="745D0683"/>
    <w:rsid w:val="749B4461"/>
    <w:rsid w:val="74AC31D7"/>
    <w:rsid w:val="74AE02BB"/>
    <w:rsid w:val="74C07D72"/>
    <w:rsid w:val="74D86AFA"/>
    <w:rsid w:val="74E419B9"/>
    <w:rsid w:val="751C71A2"/>
    <w:rsid w:val="75277204"/>
    <w:rsid w:val="75292904"/>
    <w:rsid w:val="752F15C0"/>
    <w:rsid w:val="754A3FC8"/>
    <w:rsid w:val="757C4250"/>
    <w:rsid w:val="7583207C"/>
    <w:rsid w:val="758F0667"/>
    <w:rsid w:val="75962AB7"/>
    <w:rsid w:val="759D1294"/>
    <w:rsid w:val="759F23D3"/>
    <w:rsid w:val="75A23216"/>
    <w:rsid w:val="75B10D28"/>
    <w:rsid w:val="75BA589C"/>
    <w:rsid w:val="75BB2386"/>
    <w:rsid w:val="75BD6FDC"/>
    <w:rsid w:val="75D74F1F"/>
    <w:rsid w:val="75E54A5F"/>
    <w:rsid w:val="75E55570"/>
    <w:rsid w:val="75E935CF"/>
    <w:rsid w:val="760579C3"/>
    <w:rsid w:val="7612611B"/>
    <w:rsid w:val="761E45EF"/>
    <w:rsid w:val="76270EA3"/>
    <w:rsid w:val="76297EB2"/>
    <w:rsid w:val="7638785F"/>
    <w:rsid w:val="7647684A"/>
    <w:rsid w:val="764A1D4A"/>
    <w:rsid w:val="764D6153"/>
    <w:rsid w:val="765D64F9"/>
    <w:rsid w:val="765F3060"/>
    <w:rsid w:val="76646C31"/>
    <w:rsid w:val="76755765"/>
    <w:rsid w:val="76BF4C62"/>
    <w:rsid w:val="76D53F9B"/>
    <w:rsid w:val="76E82AD8"/>
    <w:rsid w:val="76F045CD"/>
    <w:rsid w:val="76FC2040"/>
    <w:rsid w:val="77012DBA"/>
    <w:rsid w:val="7705172F"/>
    <w:rsid w:val="77347225"/>
    <w:rsid w:val="773E5602"/>
    <w:rsid w:val="774B25DB"/>
    <w:rsid w:val="7754469A"/>
    <w:rsid w:val="775C36D9"/>
    <w:rsid w:val="776A7980"/>
    <w:rsid w:val="776D12CB"/>
    <w:rsid w:val="77700C2C"/>
    <w:rsid w:val="77A20428"/>
    <w:rsid w:val="77A53234"/>
    <w:rsid w:val="77AD7DDE"/>
    <w:rsid w:val="77AF061B"/>
    <w:rsid w:val="77C76B1F"/>
    <w:rsid w:val="77E31A6A"/>
    <w:rsid w:val="77E63C8A"/>
    <w:rsid w:val="77E7124F"/>
    <w:rsid w:val="78050913"/>
    <w:rsid w:val="78052026"/>
    <w:rsid w:val="780F1F4E"/>
    <w:rsid w:val="781B4AB6"/>
    <w:rsid w:val="781E5C35"/>
    <w:rsid w:val="78354918"/>
    <w:rsid w:val="786D2623"/>
    <w:rsid w:val="786F5743"/>
    <w:rsid w:val="788F3205"/>
    <w:rsid w:val="78A61A80"/>
    <w:rsid w:val="78A824A7"/>
    <w:rsid w:val="78B201A1"/>
    <w:rsid w:val="793348BD"/>
    <w:rsid w:val="79343BD7"/>
    <w:rsid w:val="79440B1A"/>
    <w:rsid w:val="795A7C4F"/>
    <w:rsid w:val="795F2617"/>
    <w:rsid w:val="79605506"/>
    <w:rsid w:val="7964427B"/>
    <w:rsid w:val="796C764B"/>
    <w:rsid w:val="798004C4"/>
    <w:rsid w:val="799B67DF"/>
    <w:rsid w:val="799C4845"/>
    <w:rsid w:val="79B01907"/>
    <w:rsid w:val="79B14A15"/>
    <w:rsid w:val="79BD7CE4"/>
    <w:rsid w:val="79D3274D"/>
    <w:rsid w:val="79E22398"/>
    <w:rsid w:val="79E5478A"/>
    <w:rsid w:val="7A1205B7"/>
    <w:rsid w:val="7A5F4519"/>
    <w:rsid w:val="7A657E05"/>
    <w:rsid w:val="7A85352B"/>
    <w:rsid w:val="7A87580E"/>
    <w:rsid w:val="7A881025"/>
    <w:rsid w:val="7A9E36B6"/>
    <w:rsid w:val="7AAB6F2B"/>
    <w:rsid w:val="7AC679D4"/>
    <w:rsid w:val="7AD74C4F"/>
    <w:rsid w:val="7AD94270"/>
    <w:rsid w:val="7B070DCE"/>
    <w:rsid w:val="7B0E7B21"/>
    <w:rsid w:val="7B0F6359"/>
    <w:rsid w:val="7B2E5032"/>
    <w:rsid w:val="7B3203F2"/>
    <w:rsid w:val="7B462B4D"/>
    <w:rsid w:val="7B4D5C09"/>
    <w:rsid w:val="7B6E35F0"/>
    <w:rsid w:val="7B7430D5"/>
    <w:rsid w:val="7B7D6587"/>
    <w:rsid w:val="7B9702E5"/>
    <w:rsid w:val="7BB662AE"/>
    <w:rsid w:val="7BBB596A"/>
    <w:rsid w:val="7BD5644A"/>
    <w:rsid w:val="7BD87A4D"/>
    <w:rsid w:val="7BDF436B"/>
    <w:rsid w:val="7BE71524"/>
    <w:rsid w:val="7BE92EE3"/>
    <w:rsid w:val="7BFF2A62"/>
    <w:rsid w:val="7C017C07"/>
    <w:rsid w:val="7C110CFC"/>
    <w:rsid w:val="7C210C57"/>
    <w:rsid w:val="7C393B2E"/>
    <w:rsid w:val="7C507651"/>
    <w:rsid w:val="7C5B73BD"/>
    <w:rsid w:val="7C700B10"/>
    <w:rsid w:val="7C746095"/>
    <w:rsid w:val="7CAE5AA1"/>
    <w:rsid w:val="7CB13422"/>
    <w:rsid w:val="7CB86EDA"/>
    <w:rsid w:val="7CCA1FE3"/>
    <w:rsid w:val="7CDE3E06"/>
    <w:rsid w:val="7CE30D9C"/>
    <w:rsid w:val="7CED5C56"/>
    <w:rsid w:val="7D2D7E92"/>
    <w:rsid w:val="7D3E40FF"/>
    <w:rsid w:val="7D4D5CF1"/>
    <w:rsid w:val="7D785454"/>
    <w:rsid w:val="7D7B0FDD"/>
    <w:rsid w:val="7D822E62"/>
    <w:rsid w:val="7D914075"/>
    <w:rsid w:val="7DA10F40"/>
    <w:rsid w:val="7DA20BE6"/>
    <w:rsid w:val="7DD151E5"/>
    <w:rsid w:val="7DE92FD2"/>
    <w:rsid w:val="7DFA4573"/>
    <w:rsid w:val="7E04362B"/>
    <w:rsid w:val="7E2E1226"/>
    <w:rsid w:val="7E3E773E"/>
    <w:rsid w:val="7E512A30"/>
    <w:rsid w:val="7E854E22"/>
    <w:rsid w:val="7E8C438C"/>
    <w:rsid w:val="7E8E6D9D"/>
    <w:rsid w:val="7EB14599"/>
    <w:rsid w:val="7ECC0A13"/>
    <w:rsid w:val="7EF14AD9"/>
    <w:rsid w:val="7EF37A17"/>
    <w:rsid w:val="7EF43236"/>
    <w:rsid w:val="7EFC0E35"/>
    <w:rsid w:val="7F074A3D"/>
    <w:rsid w:val="7F08356A"/>
    <w:rsid w:val="7F115A1E"/>
    <w:rsid w:val="7F2C7503"/>
    <w:rsid w:val="7F44078B"/>
    <w:rsid w:val="7F476BCC"/>
    <w:rsid w:val="7F5A32CE"/>
    <w:rsid w:val="7F810F1D"/>
    <w:rsid w:val="7FAD797A"/>
    <w:rsid w:val="7FBB7E1A"/>
    <w:rsid w:val="7FF57925"/>
    <w:rsid w:val="7FFB0769"/>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360" w:lineRule="auto"/>
      <w:ind w:firstLine="643" w:firstLineChars="200"/>
      <w:jc w:val="both"/>
    </w:pPr>
    <w:rPr>
      <w:rFonts w:ascii="Times New Roman" w:hAnsi="Times New Roman" w:eastAsia="宋体" w:cstheme="minorBidi"/>
      <w:kern w:val="2"/>
      <w:sz w:val="21"/>
      <w:szCs w:val="24"/>
      <w:lang w:val="en-US" w:eastAsia="zh-CN" w:bidi="ar-SA"/>
    </w:rPr>
  </w:style>
  <w:style w:type="paragraph" w:styleId="2">
    <w:name w:val="heading 1"/>
    <w:basedOn w:val="1"/>
    <w:next w:val="3"/>
    <w:qFormat/>
    <w:uiPriority w:val="0"/>
    <w:pPr>
      <w:keepNext/>
      <w:keepLines/>
      <w:spacing w:before="300" w:beforeLines="0" w:beforeAutospacing="0" w:after="300" w:afterLines="0" w:afterAutospacing="0" w:line="480" w:lineRule="auto"/>
      <w:ind w:firstLine="0" w:firstLineChars="0"/>
      <w:outlineLvl w:val="0"/>
    </w:pPr>
    <w:rPr>
      <w:rFonts w:ascii="Times New Roman" w:hAnsi="Times New Roman" w:eastAsia="黑体"/>
      <w:b/>
      <w:kern w:val="44"/>
      <w:sz w:val="28"/>
    </w:rPr>
  </w:style>
  <w:style w:type="paragraph" w:styleId="4">
    <w:name w:val="heading 2"/>
    <w:basedOn w:val="1"/>
    <w:next w:val="1"/>
    <w:unhideWhenUsed/>
    <w:qFormat/>
    <w:uiPriority w:val="0"/>
    <w:pPr>
      <w:spacing w:before="0" w:beforeAutospacing="1" w:after="0" w:afterAutospacing="1"/>
      <w:ind w:firstLine="0" w:firstLineChars="0"/>
      <w:jc w:val="left"/>
      <w:outlineLvl w:val="1"/>
    </w:pPr>
    <w:rPr>
      <w:rFonts w:hint="eastAsia" w:ascii="宋体" w:hAnsi="宋体" w:cs="宋体"/>
      <w:b/>
      <w:bCs/>
      <w:kern w:val="0"/>
      <w:sz w:val="24"/>
      <w:szCs w:val="36"/>
      <w:lang w:bidi="ar"/>
    </w:rPr>
  </w:style>
  <w:style w:type="paragraph" w:styleId="5">
    <w:name w:val="heading 3"/>
    <w:basedOn w:val="1"/>
    <w:next w:val="3"/>
    <w:semiHidden/>
    <w:unhideWhenUsed/>
    <w:qFormat/>
    <w:uiPriority w:val="0"/>
    <w:pPr>
      <w:keepNext/>
      <w:keepLines/>
      <w:spacing w:before="260" w:beforeLines="0" w:beforeAutospacing="0" w:after="260" w:afterLines="0" w:afterAutospacing="0" w:line="413" w:lineRule="auto"/>
      <w:ind w:firstLine="0" w:firstLineChars="0"/>
      <w:outlineLvl w:val="2"/>
    </w:pPr>
    <w:rPr>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paragraph" w:styleId="6">
    <w:name w:val="caption"/>
    <w:basedOn w:val="1"/>
    <w:semiHidden/>
    <w:unhideWhenUsed/>
    <w:qFormat/>
    <w:uiPriority w:val="0"/>
    <w:pPr>
      <w:ind w:firstLine="0" w:firstLineChars="0"/>
      <w:jc w:val="center"/>
    </w:pPr>
    <w:rPr>
      <w:rFonts w:ascii="Arial" w:hAnsi="Arial" w:eastAsia="黑体"/>
      <w:sz w:val="20"/>
    </w:rPr>
  </w:style>
  <w:style w:type="paragraph" w:styleId="7">
    <w:name w:val="footnote text"/>
    <w:basedOn w:val="1"/>
    <w:qFormat/>
    <w:uiPriority w:val="0"/>
    <w:pPr>
      <w:snapToGrid w:val="0"/>
      <w:jc w:val="both"/>
    </w:pPr>
    <w:rPr>
      <w:rFonts w:ascii="Times New Roman" w:hAnsi="Times New Roman" w:eastAsia="宋体"/>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Hyperlink"/>
    <w:basedOn w:val="10"/>
    <w:qFormat/>
    <w:uiPriority w:val="0"/>
    <w:rPr>
      <w:color w:val="0000FF"/>
      <w:u w:val="single"/>
    </w:rPr>
  </w:style>
  <w:style w:type="character" w:styleId="12">
    <w:name w:val="footnote reference"/>
    <w:basedOn w:val="10"/>
    <w:qFormat/>
    <w:uiPriority w:val="0"/>
    <w:rPr>
      <w:vertAlign w:val="superscript"/>
    </w:rPr>
  </w:style>
  <w:style w:type="paragraph" w:customStyle="1" w:styleId="13">
    <w:name w:val="表格字体"/>
    <w:basedOn w:val="1"/>
    <w:qFormat/>
    <w:uiPriority w:val="0"/>
    <w:pPr>
      <w:spacing w:line="240" w:lineRule="auto"/>
      <w:ind w:firstLine="0" w:firstLineChars="0"/>
      <w:jc w:val="center"/>
    </w:pPr>
    <w:rPr>
      <w:rFonts w:hint="eastAsia" w:ascii="黑体" w:hAnsi="黑体" w:eastAsia="黑体" w:cs="黑体"/>
      <w:sz w:val="21"/>
      <w:szCs w:val="36"/>
    </w:rPr>
  </w:style>
  <w:style w:type="character" w:customStyle="1" w:styleId="14">
    <w:name w:val="Verbatim Char"/>
    <w:basedOn w:val="15"/>
    <w:link w:val="16"/>
    <w:qFormat/>
    <w:uiPriority w:val="0"/>
  </w:style>
  <w:style w:type="character" w:customStyle="1" w:styleId="15">
    <w:name w:val="Body Text Char"/>
    <w:basedOn w:val="10"/>
    <w:link w:val="3"/>
    <w:qFormat/>
    <w:uiPriority w:val="0"/>
  </w:style>
  <w:style w:type="paragraph" w:customStyle="1" w:styleId="16">
    <w:name w:val="Source Code"/>
    <w:basedOn w:val="1"/>
    <w:link w:val="14"/>
    <w:qFormat/>
    <w:uiPriority w:val="0"/>
    <w:pPr>
      <w:wordWrap w:val="0"/>
    </w:pPr>
  </w:style>
  <w:style w:type="paragraph" w:customStyle="1" w:styleId="17">
    <w:name w:val="First Paragraph"/>
    <w:basedOn w:val="3"/>
    <w:next w:val="3"/>
    <w:qFormat/>
    <w:uiPriority w:val="0"/>
  </w:style>
  <w:style w:type="paragraph" w:customStyle="1" w:styleId="18">
    <w:name w:val="Captioned Figure"/>
    <w:basedOn w:val="19"/>
    <w:qFormat/>
    <w:uiPriority w:val="0"/>
    <w:pPr>
      <w:keepNext/>
    </w:pPr>
  </w:style>
  <w:style w:type="paragraph" w:customStyle="1" w:styleId="19">
    <w:name w:val="Figure"/>
    <w:basedOn w:val="1"/>
    <w:qFormat/>
    <w:uiPriority w:val="0"/>
  </w:style>
  <w:style w:type="paragraph" w:customStyle="1" w:styleId="20">
    <w:name w:val="Compact"/>
    <w:basedOn w:val="3"/>
    <w:qFormat/>
    <w:uiPriority w:val="0"/>
    <w:pPr>
      <w:spacing w:before="36" w:after="36"/>
    </w:pPr>
  </w:style>
  <w:style w:type="paragraph" w:customStyle="1" w:styleId="21">
    <w:name w:val="Academic Reference"/>
    <w:basedOn w:val="1"/>
    <w:qFormat/>
    <w:uiPriority w:val="0"/>
    <w:pPr>
      <w:spacing w:after="40" w:line="276" w:lineRule="auto"/>
      <w:ind w:left="360" w:hanging="360"/>
      <w:jc w:val="left"/>
    </w:pPr>
    <w:rPr>
      <w:rFonts w:ascii="Times New Roman" w:hAnsi="Times New Roman" w:eastAsia="宋体" w:cs="Times New Roman"/>
      <w:color w:val="000000"/>
      <w:sz w:val="18"/>
    </w:rPr>
  </w:style>
  <w:style w:type="paragraph" w:customStyle="1" w:styleId="22">
    <w:name w:val="Image Caption"/>
    <w:basedOn w:val="6"/>
    <w:qFormat/>
    <w:uiPriority w:val="0"/>
  </w:style>
  <w:style w:type="table" w:customStyle="1" w:styleId="2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7968</Words>
  <Characters>10167</Characters>
  <Lines>0</Lines>
  <Paragraphs>0</Paragraphs>
  <TotalTime>1</TotalTime>
  <ScaleCrop>false</ScaleCrop>
  <LinksUpToDate>false</LinksUpToDate>
  <CharactersWithSpaces>10508</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2026-08-06T05:17:00Z</dcterms:created>
  <dc:creator>刘俊琦; 孙德忠; 张忠家</dc:creator>
  <cp:lastModifiedBy/>
  <dcterms:modified xsi:type="dcterms:W3CDTF">2026-08-08T07:01:32Z</dcterms:modified>
  <cp:revision>1</cp:revision>
  <dc:title>选择性预测与结构准入协同的长江流域中共党史时空知识图谱构建</dc:title>
  <dc:subject>论文投稿终稿</dc:subject>
  <cp:keywords>长江流域; 中共党史; 时空知识图谱; 选择性预测; 结构准入</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ABF6EFFBB2984B70BD06C67C630FAF6D_13</vt:lpwstr>
  </property>
  <property fmtid="{D5CDD505-2E9C-101B-9397-08002B2CF9AE}" pid="4" name="KSOTemplateDocerSaveRecord">
    <vt:lpwstr>eyJoZGlkIjoiNGE0OTdiY2QzNDBiYzgwY2I0NzZiZjRlMzA5YjJiNzciLCJ1c2VySWQiOiIyNDMzOTAyIn0=</vt:lpwstr>
  </property>
</Properties>
</file>