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汉口开埠与近代长江航运</w:t>
      </w:r>
    </w:p>
    <w:p>
      <w:r>
        <w:t>1861年（咸丰十一年）3月，根据《天津条约》，汉口正式开埠对外通商，成为长江中游第一个通商口岸，英、俄、法、德、日等国相继在汉口设立租界。</w:t>
      </w:r>
    </w:p>
    <w:p>
      <w:r>
        <w:t>1872年（同治十一年），轮船招商局在上海成立，这是中国近代第一家轮船航运企业。1873年，轮船招商局开辟上海至汉口航线，打破了外国轮船公司对长江航运的垄断。</w:t>
      </w:r>
    </w:p>
    <w:p>
      <w:r>
        <w:t>汉口开埠后，对外贸易迅速发展，到20世纪初，汉口出口贸易占全国总额的十分之一以上，被誉为“东方芝加哥”。</w:t>
      </w:r>
    </w:p>
    <w:p>
      <w:r>
        <w:t>1906年，京汉铁路全线通车，汉口成为水陆交通枢纽，商业辐射范围进一步扩大，长江与铁路的联运奠定了武汉近代商业文化的格局。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