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jc w:val="center"/>
      </w:pPr>
      <w:r>
        <w:rPr>
          <w:rFonts w:ascii="Arial" w:cs="Arial" w:eastAsia="Arial" w:hAnsi="Arial"/>
          <w:b/>
          <w:bCs/>
          <w:color w:val="2E75B6"/>
          <w:spacing w:val="200"/>
          <w:sz w:val="22"/>
          <w:szCs w:val="22"/>
        </w:rPr>
        <w:t xml:space="preserve">RESEARCH PAPER</w:t>
      </w:r>
    </w:p>
    <w:p>
      <w:pPr>
        <w:spacing w:after="0" w:before="120"/>
      </w:pPr>
      <w:r>
        <w:t xml:space="preserve"/>
      </w:r>
    </w:p>
    <w:p>
      <w:pPr>
        <w:shd w:fill="1E3A5F" w:val="clear"/>
        <w:spacing w:after="120" w:before="0"/>
        <w:jc w:val="center"/>
      </w:pPr>
      <w:r>
        <w:rPr>
          <w:rFonts w:ascii="Arial" w:cs="Arial" w:eastAsia="Arial" w:hAnsi="Arial"/>
          <w:sz w:val="4"/>
          <w:szCs w:val="4"/>
        </w:rPr>
        <w:t xml:space="preserve"> </w:t>
      </w:r>
    </w:p>
    <w:p>
      <w:pPr>
        <w:spacing w:after="0" w:before="120"/>
      </w:pPr>
      <w:r>
        <w:t xml:space="preserve"/>
      </w:r>
    </w:p>
    <w:p>
      <w:pPr>
        <w:spacing w:after="60" w:before="60"/>
        <w:jc w:val="center"/>
      </w:pPr>
      <w:r>
        <w:rPr>
          <w:rFonts w:ascii="Arial" w:cs="Arial" w:eastAsia="Arial" w:hAnsi="Arial"/>
          <w:b/>
          <w:bCs/>
          <w:color w:val="1E3A5F"/>
          <w:sz w:val="52"/>
          <w:szCs w:val="52"/>
        </w:rPr>
        <w:t xml:space="preserve">Predictive Modeling for</w:t>
      </w:r>
    </w:p>
    <w:p>
      <w:pPr>
        <w:spacing w:after="60" w:before="60"/>
        <w:jc w:val="center"/>
      </w:pPr>
      <w:r>
        <w:rPr>
          <w:rFonts w:ascii="Arial" w:cs="Arial" w:eastAsia="Arial" w:hAnsi="Arial"/>
          <w:b/>
          <w:bCs/>
          <w:color w:val="1E3A5F"/>
          <w:sz w:val="52"/>
          <w:szCs w:val="52"/>
        </w:rPr>
        <w:t xml:space="preserve">Course Demand and</w:t>
      </w:r>
    </w:p>
    <w:p>
      <w:pPr>
        <w:spacing w:after="120" w:before="60"/>
        <w:jc w:val="center"/>
      </w:pPr>
      <w:r>
        <w:rPr>
          <w:rFonts w:ascii="Arial" w:cs="Arial" w:eastAsia="Arial" w:hAnsi="Arial"/>
          <w:b/>
          <w:bCs/>
          <w:color w:val="2E75B6"/>
          <w:sz w:val="52"/>
          <w:szCs w:val="52"/>
        </w:rPr>
        <w:t xml:space="preserve">Revenue Forecasting</w:t>
      </w:r>
    </w:p>
    <w:p>
      <w:pPr>
        <w:spacing w:after="60" w:before="60"/>
        <w:jc w:val="center"/>
      </w:pPr>
      <w:r>
        <w:rPr>
          <w:rFonts w:ascii="Arial" w:cs="Arial" w:eastAsia="Arial" w:hAnsi="Arial"/>
          <w:color w:val="555555"/>
          <w:sz w:val="30"/>
          <w:szCs w:val="30"/>
        </w:rPr>
        <w:t xml:space="preserve">on the EduPro Online Learning Platform</w:t>
      </w:r>
    </w:p>
    <w:p>
      <w:pPr>
        <w:spacing w:after="0" w:before="120"/>
      </w:pPr>
      <w:r>
        <w:t xml:space="preserve"/>
      </w:r>
    </w:p>
    <w:p>
      <w:pPr>
        <w:shd w:fill="2E75B6" w:val="clear"/>
        <w:spacing w:after="120" w:before="0"/>
        <w:jc w:val="center"/>
      </w:pPr>
      <w:r>
        <w:rPr>
          <w:rFonts w:ascii="Arial" w:cs="Arial" w:eastAsia="Arial" w:hAnsi="Arial"/>
          <w:sz w:val="4"/>
          <w:szCs w:val="4"/>
        </w:rPr>
        <w:t xml:space="preserve"> </w:t>
      </w:r>
    </w:p>
    <w:p>
      <w:pPr>
        <w:spacing w:after="0" w:before="240"/>
      </w:pPr>
      <w:r>
        <w:t xml:space="preserve"/>
      </w:r>
    </w:p>
    <w:p>
      <w:pPr>
        <w:spacing w:after="40" w:before="60"/>
        <w:jc w:val="center"/>
      </w:pPr>
      <w:r>
        <w:rPr>
          <w:rFonts w:ascii="Arial" w:cs="Arial" w:eastAsia="Arial" w:hAnsi="Arial"/>
          <w:b/>
          <w:bCs/>
          <w:color w:val="1E3A5F"/>
          <w:sz w:val="22"/>
          <w:szCs w:val="22"/>
        </w:rPr>
        <w:t xml:space="preserve">Unified Mentor | Toronto Government Parks, Forestry &amp; Recreation</w:t>
      </w:r>
    </w:p>
    <w:p>
      <w:pPr>
        <w:spacing w:after="40" w:before="40"/>
        <w:jc w:val="center"/>
      </w:pPr>
      <w:r>
        <w:rPr>
          <w:rFonts w:ascii="Arial" w:cs="Arial" w:eastAsia="Arial" w:hAnsi="Arial"/>
          <w:color w:val="555555"/>
          <w:sz w:val="22"/>
          <w:szCs w:val="22"/>
        </w:rPr>
        <w:t xml:space="preserve">Data Science &amp; Predictive Analytics Division</w:t>
      </w:r>
    </w:p>
    <w:p>
      <w:pPr>
        <w:spacing w:after="40" w:before="40"/>
        <w:jc w:val="center"/>
      </w:pPr>
      <w:r>
        <w:rPr>
          <w:rFonts w:ascii="Arial" w:cs="Arial" w:eastAsia="Arial" w:hAnsi="Arial"/>
          <w:color w:val="555555"/>
          <w:sz w:val="22"/>
          <w:szCs w:val="22"/>
        </w:rPr>
        <w:t xml:space="preserve">2024</w:t>
      </w:r>
    </w:p>
    <w:p>
      <w:pPr>
        <w:spacing w:after="0" w:before="360"/>
      </w:pPr>
      <w:r>
        <w:t xml:space="preserve"/>
      </w:r>
    </w:p>
    <w:p>
      <w:pPr>
        <w:pBdr>
          <w:top w:val="single" w:color="C5D3E0" w:sz="1"/>
          <w:bottom w:val="single" w:color="C5D3E0" w:sz="1"/>
          <w:left w:val="single" w:color="C5D3E0" w:sz="1"/>
          <w:right w:val="single" w:color="C5D3E0" w:sz="1"/>
        </w:pBdr>
        <w:shd w:fill="F2F5F9" w:val="clear"/>
        <w:spacing w:after="40" w:before="40"/>
        <w:ind w:left="720" w:right="720"/>
        <w:jc w:val="center"/>
      </w:pPr>
      <w:r>
        <w:rPr>
          <w:rFonts w:ascii="Arial" w:cs="Arial" w:eastAsia="Arial" w:hAnsi="Arial"/>
          <w:b/>
          <w:bCs/>
          <w:color w:val="1E3A5F"/>
          <w:sz w:val="20"/>
          <w:szCs w:val="20"/>
        </w:rPr>
        <w:t xml:space="preserve">Keywords: </w:t>
      </w:r>
      <w:r>
        <w:rPr>
          <w:rFonts w:ascii="Arial" w:cs="Arial" w:eastAsia="Arial" w:hAnsi="Arial"/>
          <w:color w:val="444444"/>
          <w:sz w:val="20"/>
          <w:szCs w:val="20"/>
        </w:rPr>
        <w:t xml:space="preserve">Machine Learning, Predictive Analytics, E-Learning, Revenue Forecasting, Enrollment Demand, Random Forest, Gradient Boosting, Feature Engineering</w:t>
      </w:r>
    </w:p>
    <w:p>
      <w:r>
        <w:br w:type="page"/>
      </w:r>
    </w:p>
    <w:p>
      <w:pPr>
        <w:pStyle w:val="Heading1"/>
        <w:pBdr>
          <w:bottom w:val="single" w:color="2E75B6" w:sz="6" w:space="4"/>
        </w:pBdr>
        <w:spacing w:after="180" w:before="360"/>
      </w:pPr>
      <w:r>
        <w:rPr>
          <w:rFonts w:ascii="Arial" w:cs="Arial" w:eastAsia="Arial" w:hAnsi="Arial"/>
          <w:b/>
          <w:bCs/>
          <w:caps/>
          <w:color w:val="1E3A5F"/>
          <w:sz w:val="32"/>
          <w:szCs w:val="32"/>
        </w:rPr>
        <w:t xml:space="preserve">Abstract</w:t>
      </w:r>
    </w:p>
    <w:p>
      <w:pPr>
        <w:spacing w:after="120" w:before="60" w:line="276"/>
        <w:jc w:val="both"/>
      </w:pPr>
      <w:r>
        <w:rPr>
          <w:rFonts w:ascii="Arial" w:cs="Arial" w:eastAsia="Arial" w:hAnsi="Arial"/>
          <w:color w:val="1A1A1A"/>
          <w:sz w:val="22"/>
          <w:szCs w:val="22"/>
        </w:rPr>
        <w:t xml:space="preserve">Online learning platforms face a fundamental planning challenge: without forward-looking intelligence, decisions about course launches, pricing, and instructor onboarding are driven by historical intuition rather than data. This research paper presents a comprehensive predictive modeling framework developed for EduPro, an online learning platform, with the objective of forecasting course enrollment demand and revenue at both the individual course and category levels.</w:t>
      </w:r>
    </w:p>
    <w:p>
      <w:pPr>
        <w:spacing w:after="120" w:before="60" w:line="276"/>
        <w:jc w:val="both"/>
      </w:pPr>
      <w:r>
        <w:rPr>
          <w:rFonts w:ascii="Arial" w:cs="Arial" w:eastAsia="Arial" w:hAnsi="Arial"/>
          <w:color w:val="1A1A1A"/>
          <w:sz w:val="22"/>
          <w:szCs w:val="22"/>
        </w:rPr>
        <w:t xml:space="preserve">The study integrates data from three operational sheets — Courses, Teachers, and Transactions — comprising 60 courses, 60 instructors, and 10,000 transaction records. After rigorous exploratory data analysis (EDA) and feature engineering, five regression algorithms were trained and evaluated: Linear Regression, Ridge Regression, Lasso Regression, Random Forest, and Gradient Boosting. Models were assessed using Mean Absolute Error (MAE), Root Mean Square Error (RMSE), and R-squared (R2) metrics.</w:t>
      </w:r>
    </w:p>
    <w:p>
      <w:pPr>
        <w:spacing w:after="120" w:before="60" w:line="276"/>
        <w:jc w:val="both"/>
      </w:pPr>
      <w:r>
        <w:rPr>
          <w:rFonts w:ascii="Arial" w:cs="Arial" w:eastAsia="Arial" w:hAnsi="Arial"/>
          <w:color w:val="1A1A1A"/>
          <w:sz w:val="22"/>
          <w:szCs w:val="22"/>
        </w:rPr>
        <w:t xml:space="preserve">Results demonstrate that the Gradient Boosting Regressor achieves the strongest performance for both targets, attaining an R2 of 0.9758 for revenue forecasting. Feature importance analysis reveals that CoursePrice accounts for 74.9% of revenue prediction signal, while CourseDuration (23.0%) and CoursePrice (25.2%) jointly drive enrollment demand. The paper concludes with actionable business recommendations for pricing strategy, course design, and instructor onboarding, and describes the accompanying Streamlit web dashboard that operationalizes these models for non-technical stakeholders.</w:t>
      </w:r>
    </w:p>
    <w:p>
      <w:pPr>
        <w:pBdr>
          <w:bottom w:val="single" w:color="D0D8E4" w:sz="2" w:space="1"/>
        </w:pBdr>
        <w:spacing w:after="40" w:before="40"/>
      </w:pPr>
      <w:r>
        <w:t xml:space="preserve"/>
      </w:r>
    </w:p>
    <w:p>
      <w:pPr>
        <w:pStyle w:val="Heading1"/>
        <w:pBdr>
          <w:bottom w:val="single" w:color="2E75B6" w:sz="6" w:space="4"/>
        </w:pBdr>
        <w:spacing w:after="180" w:before="360"/>
      </w:pPr>
      <w:r>
        <w:rPr>
          <w:rFonts w:ascii="Arial" w:cs="Arial" w:eastAsia="Arial" w:hAnsi="Arial"/>
          <w:b/>
          <w:bCs/>
          <w:caps/>
          <w:color w:val="1E3A5F"/>
          <w:sz w:val="32"/>
          <w:szCs w:val="32"/>
        </w:rPr>
        <w:t xml:space="preserve">1. Introduction</w:t>
      </w:r>
    </w:p>
    <w:p>
      <w:pPr>
        <w:pStyle w:val="Heading2"/>
        <w:spacing w:after="120" w:before="280"/>
      </w:pPr>
      <w:r>
        <w:rPr>
          <w:rFonts w:ascii="Arial" w:cs="Arial" w:eastAsia="Arial" w:hAnsi="Arial"/>
          <w:b/>
          <w:bCs/>
          <w:color w:val="1A5276"/>
          <w:sz w:val="26"/>
          <w:szCs w:val="26"/>
        </w:rPr>
        <w:t xml:space="preserve">1.1 Background and Motivation</w:t>
      </w:r>
    </w:p>
    <w:p>
      <w:pPr>
        <w:spacing w:after="120" w:before="60" w:line="276"/>
        <w:jc w:val="both"/>
      </w:pPr>
      <w:r>
        <w:rPr>
          <w:rFonts w:ascii="Arial" w:cs="Arial" w:eastAsia="Arial" w:hAnsi="Arial"/>
          <w:color w:val="1A1A1A"/>
          <w:sz w:val="22"/>
          <w:szCs w:val="22"/>
        </w:rPr>
        <w:t xml:space="preserve">The global e-learning market has undergone exponential growth, with millions of learners enrolling in online courses annually. Platforms such as EduPro must make high-stakes decisions daily — which courses to commission, how to price them, which instructors to onboard, and where to focus marketing spend. Yet most platforms rely on lagging indicators: historical enrollment counts and past revenue figures that describe where the platform has been, not where it is going.</w:t>
      </w:r>
    </w:p>
    <w:p>
      <w:pPr>
        <w:spacing w:after="120" w:before="60" w:line="276"/>
        <w:jc w:val="both"/>
      </w:pPr>
      <w:r>
        <w:rPr>
          <w:rFonts w:ascii="Arial" w:cs="Arial" w:eastAsia="Arial" w:hAnsi="Arial"/>
          <w:color w:val="1A1A1A"/>
          <w:sz w:val="22"/>
          <w:szCs w:val="22"/>
        </w:rPr>
        <w:t xml:space="preserve">This creates measurable business risk. A course that fails to attract enrollments represents sunk costs in production and instructor fees. A course priced too low leaves revenue on the table. An instructor onboarded for a low-demand category dilutes platform resources. Predictive modeling offers a pathway from reactive reporting to proactive planning.</w:t>
      </w:r>
    </w:p>
    <w:p>
      <w:pPr>
        <w:pStyle w:val="Heading2"/>
        <w:spacing w:after="120" w:before="280"/>
      </w:pPr>
      <w:r>
        <w:rPr>
          <w:rFonts w:ascii="Arial" w:cs="Arial" w:eastAsia="Arial" w:hAnsi="Arial"/>
          <w:b/>
          <w:bCs/>
          <w:color w:val="1A5276"/>
          <w:sz w:val="26"/>
          <w:szCs w:val="26"/>
        </w:rPr>
        <w:t xml:space="preserve">1.2 Problem Statement</w:t>
      </w:r>
    </w:p>
    <w:p>
      <w:pPr>
        <w:spacing w:after="120" w:before="60" w:line="276"/>
        <w:jc w:val="both"/>
      </w:pPr>
      <w:r>
        <w:rPr>
          <w:rFonts w:ascii="Arial" w:cs="Arial" w:eastAsia="Arial" w:hAnsi="Arial"/>
          <w:color w:val="1A1A1A"/>
          <w:sz w:val="22"/>
          <w:szCs w:val="22"/>
        </w:rPr>
        <w:t xml:space="preserve">EduPro currently lacks three critical analytical capabilities:</w:t>
      </w:r>
    </w:p>
    <w:p>
      <w:pPr>
        <w:pStyle w:val="ListParagraph"/>
        <w:numPr>
          <w:ilvl w:val="0"/>
          <w:numId w:val="2"/>
        </w:numPr>
        <w:spacing w:after="40" w:before="40" w:line="260"/>
      </w:pPr>
      <w:r>
        <w:rPr>
          <w:rFonts w:ascii="Arial" w:cs="Arial" w:eastAsia="Arial" w:hAnsi="Arial"/>
          <w:color w:val="1A1A1A"/>
          <w:sz w:val="22"/>
          <w:szCs w:val="22"/>
        </w:rPr>
        <w:t xml:space="preserve">Predictive models for course enrollment demand — the ability to estimate, before launch, how many students a new course will attract given its characteristics.</w:t>
      </w:r>
    </w:p>
    <w:p>
      <w:pPr>
        <w:pStyle w:val="ListParagraph"/>
        <w:numPr>
          <w:ilvl w:val="0"/>
          <w:numId w:val="2"/>
        </w:numPr>
        <w:spacing w:after="40" w:before="40" w:line="260"/>
      </w:pPr>
      <w:r>
        <w:rPr>
          <w:rFonts w:ascii="Arial" w:cs="Arial" w:eastAsia="Arial" w:hAnsi="Arial"/>
          <w:color w:val="1A1A1A"/>
          <w:sz w:val="22"/>
          <w:szCs w:val="22"/>
        </w:rPr>
        <w:t xml:space="preserve">Revenue forecasting at course and category level — quantitative projections of revenue to support financial planning.</w:t>
      </w:r>
    </w:p>
    <w:p>
      <w:pPr>
        <w:pStyle w:val="ListParagraph"/>
        <w:numPr>
          <w:ilvl w:val="0"/>
          <w:numId w:val="2"/>
        </w:numPr>
        <w:spacing w:after="40" w:before="40" w:line="260"/>
      </w:pPr>
      <w:r>
        <w:rPr>
          <w:rFonts w:ascii="Arial" w:cs="Arial" w:eastAsia="Arial" w:hAnsi="Arial"/>
          <w:color w:val="1A1A1A"/>
          <w:sz w:val="22"/>
          <w:szCs w:val="22"/>
        </w:rPr>
        <w:t xml:space="preserve">Quantitative evidence for pricing and launch decisions — replacing intuition-based planning with model-backed recommendations.</w:t>
      </w:r>
    </w:p>
    <w:p>
      <w:pPr>
        <w:spacing w:after="0" w:before="80"/>
      </w:pPr>
      <w:r>
        <w:t xml:space="preserve"/>
      </w:r>
    </w:p>
    <w:p>
      <w:pPr>
        <w:spacing w:after="120" w:before="60" w:line="276"/>
        <w:jc w:val="both"/>
      </w:pPr>
      <w:r>
        <w:rPr>
          <w:rFonts w:ascii="Arial" w:cs="Arial" w:eastAsia="Arial" w:hAnsi="Arial"/>
          <w:color w:val="1A1A1A"/>
          <w:sz w:val="22"/>
          <w:szCs w:val="22"/>
        </w:rPr>
        <w:t xml:space="preserve">This paper addresses all three gaps through a unified machine learning pipeline applied to EduPro's operational data.</w:t>
      </w:r>
    </w:p>
    <w:p>
      <w:pPr>
        <w:pStyle w:val="Heading2"/>
        <w:spacing w:after="120" w:before="280"/>
      </w:pPr>
      <w:r>
        <w:rPr>
          <w:rFonts w:ascii="Arial" w:cs="Arial" w:eastAsia="Arial" w:hAnsi="Arial"/>
          <w:b/>
          <w:bCs/>
          <w:color w:val="1A5276"/>
          <w:sz w:val="26"/>
          <w:szCs w:val="26"/>
        </w:rPr>
        <w:t xml:space="preserve">1.3 Research Objectives</w:t>
      </w:r>
    </w:p>
    <w:p>
      <w:pPr>
        <w:pStyle w:val="ListParagraph"/>
        <w:numPr>
          <w:ilvl w:val="0"/>
          <w:numId w:val="3"/>
        </w:numPr>
        <w:spacing w:after="40" w:before="40" w:line="260"/>
      </w:pPr>
      <w:r>
        <w:rPr>
          <w:rFonts w:ascii="Arial" w:cs="Arial" w:eastAsia="Arial" w:hAnsi="Arial"/>
          <w:color w:val="1A1A1A"/>
          <w:sz w:val="22"/>
          <w:szCs w:val="22"/>
        </w:rPr>
        <w:t xml:space="preserve">Develop and evaluate multiple regression models to predict course enrollment count and total revenue.</w:t>
      </w:r>
    </w:p>
    <w:p>
      <w:pPr>
        <w:pStyle w:val="ListParagraph"/>
        <w:numPr>
          <w:ilvl w:val="0"/>
          <w:numId w:val="3"/>
        </w:numPr>
        <w:spacing w:after="40" w:before="40" w:line="260"/>
      </w:pPr>
      <w:r>
        <w:rPr>
          <w:rFonts w:ascii="Arial" w:cs="Arial" w:eastAsia="Arial" w:hAnsi="Arial"/>
          <w:color w:val="1A1A1A"/>
          <w:sz w:val="22"/>
          <w:szCs w:val="22"/>
        </w:rPr>
        <w:t xml:space="preserve">Engineer high-value features from raw course, instructor, and transaction data.</w:t>
      </w:r>
    </w:p>
    <w:p>
      <w:pPr>
        <w:pStyle w:val="ListParagraph"/>
        <w:numPr>
          <w:ilvl w:val="0"/>
          <w:numId w:val="3"/>
        </w:numPr>
        <w:spacing w:after="40" w:before="40" w:line="260"/>
      </w:pPr>
      <w:r>
        <w:rPr>
          <w:rFonts w:ascii="Arial" w:cs="Arial" w:eastAsia="Arial" w:hAnsi="Arial"/>
          <w:color w:val="1A1A1A"/>
          <w:sz w:val="22"/>
          <w:szCs w:val="22"/>
        </w:rPr>
        <w:t xml:space="preserve">Quantify the relative influence of course attributes on demand and revenue through feature importance analysis.</w:t>
      </w:r>
    </w:p>
    <w:p>
      <w:pPr>
        <w:pStyle w:val="ListParagraph"/>
        <w:numPr>
          <w:ilvl w:val="0"/>
          <w:numId w:val="3"/>
        </w:numPr>
        <w:spacing w:after="40" w:before="40" w:line="260"/>
      </w:pPr>
      <w:r>
        <w:rPr>
          <w:rFonts w:ascii="Arial" w:cs="Arial" w:eastAsia="Arial" w:hAnsi="Arial"/>
          <w:color w:val="1A1A1A"/>
          <w:sz w:val="22"/>
          <w:szCs w:val="22"/>
        </w:rPr>
        <w:t xml:space="preserve">Translate model outputs into actionable business recommendations for course planning, pricing, and instructor strategy.</w:t>
      </w:r>
    </w:p>
    <w:p>
      <w:pPr>
        <w:pStyle w:val="ListParagraph"/>
        <w:numPr>
          <w:ilvl w:val="0"/>
          <w:numId w:val="3"/>
        </w:numPr>
        <w:spacing w:after="40" w:before="40" w:line="260"/>
      </w:pPr>
      <w:r>
        <w:rPr>
          <w:rFonts w:ascii="Arial" w:cs="Arial" w:eastAsia="Arial" w:hAnsi="Arial"/>
          <w:color w:val="1A1A1A"/>
          <w:sz w:val="22"/>
          <w:szCs w:val="22"/>
        </w:rPr>
        <w:t xml:space="preserve">Deploy findings through an interactive Streamlit dashboard for operational use.</w:t>
      </w:r>
    </w:p>
    <w:p>
      <w:pPr>
        <w:pStyle w:val="Heading2"/>
        <w:spacing w:after="120" w:before="280"/>
      </w:pPr>
      <w:r>
        <w:rPr>
          <w:rFonts w:ascii="Arial" w:cs="Arial" w:eastAsia="Arial" w:hAnsi="Arial"/>
          <w:b/>
          <w:bCs/>
          <w:color w:val="1A5276"/>
          <w:sz w:val="26"/>
          <w:szCs w:val="26"/>
        </w:rPr>
        <w:t xml:space="preserve">1.4 Scope</w:t>
      </w:r>
    </w:p>
    <w:p>
      <w:pPr>
        <w:spacing w:after="120" w:before="60" w:line="276"/>
        <w:jc w:val="both"/>
      </w:pPr>
      <w:r>
        <w:rPr>
          <w:rFonts w:ascii="Arial" w:cs="Arial" w:eastAsia="Arial" w:hAnsi="Arial"/>
          <w:color w:val="1A1A1A"/>
          <w:sz w:val="22"/>
          <w:szCs w:val="22"/>
        </w:rPr>
        <w:t xml:space="preserve">This study is scoped to EduPro's historical dataset comprising 60 courses, 60 teachers, and 10,000 transactions recorded over a two-year window (January 2022 to December 2023). The modeling targets are enrollment count and total revenue per course. User-level behavioral analytics (e.g., completion rates, dropout patterns, engagement sequences) fall outside the scope of this paper and are addressed in a companion learner analytics study.</w:t>
      </w:r>
    </w:p>
    <w:p>
      <w:r>
        <w:br w:type="page"/>
      </w:r>
    </w:p>
    <w:p>
      <w:pPr>
        <w:pStyle w:val="Heading1"/>
        <w:pBdr>
          <w:bottom w:val="single" w:color="2E75B6" w:sz="6" w:space="4"/>
        </w:pBdr>
        <w:spacing w:after="180" w:before="360"/>
      </w:pPr>
      <w:r>
        <w:rPr>
          <w:rFonts w:ascii="Arial" w:cs="Arial" w:eastAsia="Arial" w:hAnsi="Arial"/>
          <w:b/>
          <w:bCs/>
          <w:caps/>
          <w:color w:val="1E3A5F"/>
          <w:sz w:val="32"/>
          <w:szCs w:val="32"/>
        </w:rPr>
        <w:t xml:space="preserve">2. Literature Review</w:t>
      </w:r>
    </w:p>
    <w:p>
      <w:pPr>
        <w:pStyle w:val="Heading2"/>
        <w:spacing w:after="120" w:before="280"/>
      </w:pPr>
      <w:r>
        <w:rPr>
          <w:rFonts w:ascii="Arial" w:cs="Arial" w:eastAsia="Arial" w:hAnsi="Arial"/>
          <w:b/>
          <w:bCs/>
          <w:color w:val="1A5276"/>
          <w:sz w:val="26"/>
          <w:szCs w:val="26"/>
        </w:rPr>
        <w:t xml:space="preserve">2.1 Predictive Analytics in E-Learning</w:t>
      </w:r>
    </w:p>
    <w:p>
      <w:pPr>
        <w:spacing w:after="120" w:before="60" w:line="276"/>
        <w:jc w:val="both"/>
      </w:pPr>
      <w:r>
        <w:rPr>
          <w:rFonts w:ascii="Arial" w:cs="Arial" w:eastAsia="Arial" w:hAnsi="Arial"/>
          <w:color w:val="1A1A1A"/>
          <w:sz w:val="22"/>
          <w:szCs w:val="22"/>
        </w:rPr>
        <w:t xml:space="preserve">Predictive analytics in educational technology has been extensively explored in the context of learner performance and dropout prediction (Baker &amp; Inventado, 2014). However, the business-side application — forecasting platform-level demand and revenue — has received comparatively less academic attention. Early work by Romero and Ventura (2010) established foundational data mining techniques for educational systems, primarily focused on student outcomes rather than commercial metrics.</w:t>
      </w:r>
    </w:p>
    <w:p>
      <w:pPr>
        <w:spacing w:after="120" w:before="60" w:line="276"/>
        <w:jc w:val="both"/>
      </w:pPr>
      <w:r>
        <w:rPr>
          <w:rFonts w:ascii="Arial" w:cs="Arial" w:eastAsia="Arial" w:hAnsi="Arial"/>
          <w:color w:val="1A1A1A"/>
          <w:sz w:val="22"/>
          <w:szCs w:val="22"/>
        </w:rPr>
        <w:t xml:space="preserve">More recent studies have begun examining the platform economics of MOOCs and online course marketplaces. Zheng et al. (2019) demonstrated that course metadata features — including price, duration, and instructor credentials — are significant predictors of enrollment volume on large-scale MOOC platforms. Their findings align with the feature importance results observed in the present study, particularly the dominant role of pricing.</w:t>
      </w:r>
    </w:p>
    <w:p>
      <w:pPr>
        <w:pStyle w:val="Heading2"/>
        <w:spacing w:after="120" w:before="280"/>
      </w:pPr>
      <w:r>
        <w:rPr>
          <w:rFonts w:ascii="Arial" w:cs="Arial" w:eastAsia="Arial" w:hAnsi="Arial"/>
          <w:b/>
          <w:bCs/>
          <w:color w:val="1A5276"/>
          <w:sz w:val="26"/>
          <w:szCs w:val="26"/>
        </w:rPr>
        <w:t xml:space="preserve">2.2 Regression Modeling for Demand Forecasting</w:t>
      </w:r>
    </w:p>
    <w:p>
      <w:pPr>
        <w:spacing w:after="120" w:before="60" w:line="276"/>
        <w:jc w:val="both"/>
      </w:pPr>
      <w:r>
        <w:rPr>
          <w:rFonts w:ascii="Arial" w:cs="Arial" w:eastAsia="Arial" w:hAnsi="Arial"/>
          <w:color w:val="1A1A1A"/>
          <w:sz w:val="22"/>
          <w:szCs w:val="22"/>
        </w:rPr>
        <w:t xml:space="preserve">Demand forecasting using ensemble methods has a well-established track record across industries. Friedman's seminal work on gradient boosting (2001) demonstrated superior performance over individual decision trees and linear models for complex, non-linear relationships. Random Forest, introduced by Breiman (2001), provides a complementary approach through bagging-based variance reduction.</w:t>
      </w:r>
    </w:p>
    <w:p>
      <w:pPr>
        <w:spacing w:after="120" w:before="60" w:line="276"/>
        <w:jc w:val="both"/>
      </w:pPr>
      <w:r>
        <w:rPr>
          <w:rFonts w:ascii="Arial" w:cs="Arial" w:eastAsia="Arial" w:hAnsi="Arial"/>
          <w:color w:val="1A1A1A"/>
          <w:sz w:val="22"/>
          <w:szCs w:val="22"/>
        </w:rPr>
        <w:t xml:space="preserve">Ridge and Lasso regression, as regularized extensions of ordinary least squares, are particularly well-suited to high-dimensional feature spaces where multicollinearity may inflate coefficient estimates (Tibshirani, 1996). In the present study, the moderate dimensionality of the feature space makes all five model families viable candidates, and comparative evaluation is empirically motivated.</w:t>
      </w:r>
    </w:p>
    <w:p>
      <w:pPr>
        <w:pStyle w:val="Heading2"/>
        <w:spacing w:after="120" w:before="280"/>
      </w:pPr>
      <w:r>
        <w:rPr>
          <w:rFonts w:ascii="Arial" w:cs="Arial" w:eastAsia="Arial" w:hAnsi="Arial"/>
          <w:b/>
          <w:bCs/>
          <w:color w:val="1A5276"/>
          <w:sz w:val="26"/>
          <w:szCs w:val="26"/>
        </w:rPr>
        <w:t xml:space="preserve">2.3 Feature Engineering for Course Marketplaces</w:t>
      </w:r>
    </w:p>
    <w:p>
      <w:pPr>
        <w:spacing w:after="120" w:before="60" w:line="276"/>
        <w:jc w:val="both"/>
      </w:pPr>
      <w:r>
        <w:rPr>
          <w:rFonts w:ascii="Arial" w:cs="Arial" w:eastAsia="Arial" w:hAnsi="Arial"/>
          <w:color w:val="1A1A1A"/>
          <w:sz w:val="22"/>
          <w:szCs w:val="22"/>
        </w:rPr>
        <w:t xml:space="preserve">The construction of meaningful features from raw course and instructor data is a critical preprocessing step. Banerjee et al. (2020) showed that derived features such as price bands, expertise-category alignment scores, and instructor experience tiers substantially improve predictive accuracy compared to using raw numerical values alone. This supports the feature engineering strategy adopted in the present study.</w:t>
      </w:r>
    </w:p>
    <w:p>
      <w:pPr>
        <w:pStyle w:val="Heading2"/>
        <w:spacing w:after="120" w:before="280"/>
      </w:pPr>
      <w:r>
        <w:rPr>
          <w:rFonts w:ascii="Arial" w:cs="Arial" w:eastAsia="Arial" w:hAnsi="Arial"/>
          <w:b/>
          <w:bCs/>
          <w:color w:val="1A5276"/>
          <w:sz w:val="26"/>
          <w:szCs w:val="26"/>
        </w:rPr>
        <w:t xml:space="preserve">2.4 Positioning of the Present Study</w:t>
      </w:r>
    </w:p>
    <w:p>
      <w:pPr>
        <w:spacing w:after="120" w:before="60" w:line="276"/>
        <w:jc w:val="both"/>
      </w:pPr>
      <w:r>
        <w:rPr>
          <w:rFonts w:ascii="Arial" w:cs="Arial" w:eastAsia="Arial" w:hAnsi="Arial"/>
          <w:color w:val="1A1A1A"/>
          <w:sz w:val="22"/>
          <w:szCs w:val="22"/>
        </w:rPr>
        <w:t xml:space="preserve">This study contributes to the literature by: (1) applying a rigorous comparative ML evaluation to a real-world online learning platform dataset; (2) constructing domain-specific engineered features tailored to the course marketplace context; and (3) bridging model outputs to concrete business strategy through a deployed interactive dashboard — a translation step that is frequently absent from academic ML studies in educational technology.</w:t>
      </w:r>
    </w:p>
    <w:p>
      <w:r>
        <w:br w:type="page"/>
      </w:r>
    </w:p>
    <w:p>
      <w:pPr>
        <w:pStyle w:val="Heading1"/>
        <w:pBdr>
          <w:bottom w:val="single" w:color="2E75B6" w:sz="6" w:space="4"/>
        </w:pBdr>
        <w:spacing w:after="180" w:before="360"/>
      </w:pPr>
      <w:r>
        <w:rPr>
          <w:rFonts w:ascii="Arial" w:cs="Arial" w:eastAsia="Arial" w:hAnsi="Arial"/>
          <w:b/>
          <w:bCs/>
          <w:caps/>
          <w:color w:val="1E3A5F"/>
          <w:sz w:val="32"/>
          <w:szCs w:val="32"/>
        </w:rPr>
        <w:t xml:space="preserve">3. Dataset Description</w:t>
      </w:r>
    </w:p>
    <w:p>
      <w:pPr>
        <w:pStyle w:val="Heading2"/>
        <w:spacing w:after="120" w:before="280"/>
      </w:pPr>
      <w:r>
        <w:rPr>
          <w:rFonts w:ascii="Arial" w:cs="Arial" w:eastAsia="Arial" w:hAnsi="Arial"/>
          <w:b/>
          <w:bCs/>
          <w:color w:val="1A5276"/>
          <w:sz w:val="26"/>
          <w:szCs w:val="26"/>
        </w:rPr>
        <w:t xml:space="preserve">3.1 Data Sources</w:t>
      </w:r>
    </w:p>
    <w:p>
      <w:pPr>
        <w:spacing w:after="120" w:before="60" w:line="276"/>
        <w:jc w:val="both"/>
      </w:pPr>
      <w:r>
        <w:rPr>
          <w:rFonts w:ascii="Arial" w:cs="Arial" w:eastAsia="Arial" w:hAnsi="Arial"/>
          <w:color w:val="1A1A1A"/>
          <w:sz w:val="22"/>
          <w:szCs w:val="22"/>
        </w:rPr>
        <w:t xml:space="preserve">The EduPro dataset comprises four interrelated sheets collected from platform operational records. Table 1 summarizes the structure of each sheet.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760"/>
      </w:tblGrid>
      <w:tr>
        <w:tc>
          <w:tcPr>
            <w:tcW w:type="dxa" w:w="160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Sheet</w:t>
            </w:r>
          </w:p>
        </w:tc>
        <w:tc>
          <w:tcPr>
            <w:tcW w:type="dxa" w:w="180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Records</w:t>
            </w:r>
          </w:p>
        </w:tc>
        <w:tc>
          <w:tcPr>
            <w:tcW w:type="dxa" w:w="220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Primary Key</w:t>
            </w:r>
          </w:p>
        </w:tc>
        <w:tc>
          <w:tcPr>
            <w:tcW w:type="dxa" w:w="376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Fields</w:t>
            </w:r>
          </w:p>
        </w:tc>
      </w:tr>
      <w:tr>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Users</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3,000</w:t>
            </w:r>
          </w:p>
        </w:tc>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UserID</w:t>
            </w:r>
          </w:p>
        </w:tc>
        <w:tc>
          <w:tcPr>
            <w:tcW w:type="dxa" w:w="37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Age, Gender, Email</w:t>
            </w:r>
          </w:p>
        </w:tc>
      </w:tr>
      <w:tr>
        <w:tc>
          <w:tcPr>
            <w:tcW w:type="dxa" w:w="16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bCs/>
                <w:color w:val="1E3A5F"/>
                <w:sz w:val="20"/>
                <w:szCs w:val="20"/>
              </w:rPr>
              <w:t xml:space="preserve">Teachers</w:t>
            </w:r>
          </w:p>
        </w:tc>
        <w:tc>
          <w:tcPr>
            <w:tcW w:type="dxa" w:w="18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60</w:t>
            </w:r>
          </w:p>
        </w:tc>
        <w:tc>
          <w:tcPr>
            <w:tcW w:type="dxa" w:w="22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TeacherID</w:t>
            </w:r>
          </w:p>
        </w:tc>
        <w:tc>
          <w:tcPr>
            <w:tcW w:type="dxa" w:w="376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Expertise, YearsOfExperience, TeacherRating</w:t>
            </w:r>
          </w:p>
        </w:tc>
      </w:tr>
      <w:tr>
        <w:tc>
          <w:tcPr>
            <w:tcW w:type="dxa" w:w="1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Courses</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60</w:t>
            </w:r>
          </w:p>
        </w:tc>
        <w:tc>
          <w:tcPr>
            <w:tcW w:type="dxa" w:w="2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CourseID</w:t>
            </w:r>
          </w:p>
        </w:tc>
        <w:tc>
          <w:tcPr>
            <w:tcW w:type="dxa" w:w="37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Category, Type, Level, Price, Duration, Rating</w:t>
            </w:r>
          </w:p>
        </w:tc>
      </w:tr>
      <w:tr>
        <w:tc>
          <w:tcPr>
            <w:tcW w:type="dxa" w:w="16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bCs/>
                <w:color w:val="1E3A5F"/>
                <w:sz w:val="20"/>
                <w:szCs w:val="20"/>
              </w:rPr>
              <w:t xml:space="preserve">Transactions</w:t>
            </w:r>
          </w:p>
        </w:tc>
        <w:tc>
          <w:tcPr>
            <w:tcW w:type="dxa" w:w="18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10,000</w:t>
            </w:r>
          </w:p>
        </w:tc>
        <w:tc>
          <w:tcPr>
            <w:tcW w:type="dxa" w:w="22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TransactionID</w:t>
            </w:r>
          </w:p>
        </w:tc>
        <w:tc>
          <w:tcPr>
            <w:tcW w:type="dxa" w:w="376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UserID, CourseID, Date, Amount, PaymentMethod</w:t>
            </w:r>
          </w:p>
        </w:tc>
      </w:tr>
    </w:tbl>
    <w:p>
      <w:pPr>
        <w:spacing w:after="180" w:before="60"/>
        <w:jc w:val="center"/>
      </w:pPr>
      <w:r>
        <w:rPr>
          <w:rFonts w:ascii="Arial" w:cs="Arial" w:eastAsia="Arial" w:hAnsi="Arial"/>
          <w:color w:val="555555"/>
          <w:sz w:val="19"/>
          <w:szCs w:val="19"/>
        </w:rPr>
        <w:t xml:space="preserve">Table 1: EduPro Dataset Structure Summary</w:t>
      </w:r>
    </w:p>
    <w:p>
      <w:pPr>
        <w:pStyle w:val="Heading2"/>
        <w:spacing w:after="120" w:before="280"/>
      </w:pPr>
      <w:r>
        <w:rPr>
          <w:rFonts w:ascii="Arial" w:cs="Arial" w:eastAsia="Arial" w:hAnsi="Arial"/>
          <w:b/>
          <w:bCs/>
          <w:color w:val="1A5276"/>
          <w:sz w:val="26"/>
          <w:szCs w:val="26"/>
        </w:rPr>
        <w:t xml:space="preserve">3.2 Courses Sheet</w:t>
      </w:r>
    </w:p>
    <w:p>
      <w:pPr>
        <w:spacing w:after="120" w:before="60" w:line="276"/>
        <w:jc w:val="both"/>
      </w:pPr>
      <w:r>
        <w:rPr>
          <w:rFonts w:ascii="Arial" w:cs="Arial" w:eastAsia="Arial" w:hAnsi="Arial"/>
          <w:color w:val="1A1A1A"/>
          <w:sz w:val="22"/>
          <w:szCs w:val="22"/>
        </w:rPr>
        <w:t xml:space="preserve">The Courses sheet contains 60 course records spanning 10 categories: Technology, Business, Finance, Design, Photography, Music, Marketing, Health, Language, and Data Science. Each course record includes a unique CourseID, descriptive metadata (CourseName, CourseCategory, CourseType, CourseLevel), and quantitative attributes (CoursePrice, CourseDuration in hours, CourseRating on a 1–5 scale). Course prices range from $9.99 to $499.99, durations from 1 to 40 hours, and ratings from 2.5 to 5.0.</w:t>
      </w:r>
    </w:p>
    <w:p>
      <w:pPr>
        <w:pStyle w:val="Heading2"/>
        <w:spacing w:after="120" w:before="280"/>
      </w:pPr>
      <w:r>
        <w:rPr>
          <w:rFonts w:ascii="Arial" w:cs="Arial" w:eastAsia="Arial" w:hAnsi="Arial"/>
          <w:b/>
          <w:bCs/>
          <w:color w:val="1A5276"/>
          <w:sz w:val="26"/>
          <w:szCs w:val="26"/>
        </w:rPr>
        <w:t xml:space="preserve">3.3 Teachers Sheet</w:t>
      </w:r>
    </w:p>
    <w:p>
      <w:pPr>
        <w:spacing w:after="120" w:before="60" w:line="276"/>
        <w:jc w:val="both"/>
      </w:pPr>
      <w:r>
        <w:rPr>
          <w:rFonts w:ascii="Arial" w:cs="Arial" w:eastAsia="Arial" w:hAnsi="Arial"/>
          <w:color w:val="1A1A1A"/>
          <w:sz w:val="22"/>
          <w:szCs w:val="22"/>
        </w:rPr>
        <w:t xml:space="preserve">The Teachers sheet contains 60 instructor records with demographic information (TeacherID, TeacherName, Age, Gender), domain expertise (Expertise field mapping to one of 10 disciplines), experience level (YearsOfExperience, ranging 1–25 years), and a TeacherRating score (2.5–5.0) representing student-assessed quality.</w:t>
      </w:r>
    </w:p>
    <w:p>
      <w:pPr>
        <w:pStyle w:val="Heading2"/>
        <w:spacing w:after="120" w:before="280"/>
      </w:pPr>
      <w:r>
        <w:rPr>
          <w:rFonts w:ascii="Arial" w:cs="Arial" w:eastAsia="Arial" w:hAnsi="Arial"/>
          <w:b/>
          <w:bCs/>
          <w:color w:val="1A5276"/>
          <w:sz w:val="26"/>
          <w:szCs w:val="26"/>
        </w:rPr>
        <w:t xml:space="preserve">3.4 Transactions Sheet</w:t>
      </w:r>
    </w:p>
    <w:p>
      <w:pPr>
        <w:spacing w:after="120" w:before="60" w:line="276"/>
        <w:jc w:val="both"/>
      </w:pPr>
      <w:r>
        <w:rPr>
          <w:rFonts w:ascii="Arial" w:cs="Arial" w:eastAsia="Arial" w:hAnsi="Arial"/>
          <w:color w:val="1A1A1A"/>
          <w:sz w:val="22"/>
          <w:szCs w:val="22"/>
        </w:rPr>
        <w:t xml:space="preserve">The Transactions sheet records 10,000 individual course purchases over a two-year period (January 2022 – December 2023). Each transaction captures TransactionID, UserID, CourseID, TransactionDate, Amount (actual payment, reflecting occasional discounts from list price), PaymentMethod (Credit Card, PayPal, UPI, or Debit Card), and TeacherID.</w:t>
      </w:r>
    </w:p>
    <w:p>
      <w:pPr>
        <w:pStyle w:val="Heading2"/>
        <w:spacing w:after="120" w:before="280"/>
      </w:pPr>
      <w:r>
        <w:rPr>
          <w:rFonts w:ascii="Arial" w:cs="Arial" w:eastAsia="Arial" w:hAnsi="Arial"/>
          <w:b/>
          <w:bCs/>
          <w:color w:val="1A5276"/>
          <w:sz w:val="26"/>
          <w:szCs w:val="26"/>
        </w:rPr>
        <w:t xml:space="preserve">3.5 Summary Statistics</w:t>
      </w:r>
    </w:p>
    <w:p>
      <w:pPr>
        <w:spacing w:after="120" w:before="60" w:line="276"/>
        <w:jc w:val="both"/>
      </w:pPr>
      <w:r>
        <w:rPr>
          <w:rFonts w:ascii="Arial" w:cs="Arial" w:eastAsia="Arial" w:hAnsi="Arial"/>
          <w:color w:val="1A1A1A"/>
          <w:sz w:val="22"/>
          <w:szCs w:val="22"/>
        </w:rPr>
        <w:t xml:space="preserve">Key descriptive statistics are presented in Table 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1440"/>
        <w:gridCol w:w="1200"/>
      </w:tblGrid>
      <w:tr>
        <w:tc>
          <w:tcPr>
            <w:tcW w:type="dxa" w:w="240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Variable</w:t>
            </w:r>
          </w:p>
        </w:tc>
        <w:tc>
          <w:tcPr>
            <w:tcW w:type="dxa" w:w="144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Min</w:t>
            </w:r>
          </w:p>
        </w:tc>
        <w:tc>
          <w:tcPr>
            <w:tcW w:type="dxa" w:w="144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Max</w:t>
            </w:r>
          </w:p>
        </w:tc>
        <w:tc>
          <w:tcPr>
            <w:tcW w:type="dxa" w:w="144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Mean</w:t>
            </w:r>
          </w:p>
        </w:tc>
        <w:tc>
          <w:tcPr>
            <w:tcW w:type="dxa" w:w="144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Std Dev</w:t>
            </w:r>
          </w:p>
        </w:tc>
        <w:tc>
          <w:tcPr>
            <w:tcW w:type="dxa" w:w="120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Count</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CoursePrice ($)</w:t>
            </w:r>
          </w:p>
        </w:tc>
        <w:tc>
          <w:tcPr>
            <w:tcW w:type="dxa" w:w="14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9.99</w:t>
            </w:r>
          </w:p>
        </w:tc>
        <w:tc>
          <w:tcPr>
            <w:tcW w:type="dxa" w:w="14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499.99</w:t>
            </w:r>
          </w:p>
        </w:tc>
        <w:tc>
          <w:tcPr>
            <w:tcW w:type="dxa" w:w="14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234.18</w:t>
            </w:r>
          </w:p>
        </w:tc>
        <w:tc>
          <w:tcPr>
            <w:tcW w:type="dxa" w:w="14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148.72</w:t>
            </w:r>
          </w:p>
        </w:tc>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60</w:t>
            </w:r>
          </w:p>
        </w:tc>
      </w:tr>
      <w:tr>
        <w:tc>
          <w:tcPr>
            <w:tcW w:type="dxa" w:w="24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bCs/>
                <w:color w:val="1E3A5F"/>
                <w:sz w:val="20"/>
                <w:szCs w:val="20"/>
              </w:rPr>
              <w:t xml:space="preserve">CourseDuration (hrs)</w:t>
            </w:r>
          </w:p>
        </w:tc>
        <w:tc>
          <w:tcPr>
            <w:tcW w:type="dxa" w:w="144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1.0</w:t>
            </w:r>
          </w:p>
        </w:tc>
        <w:tc>
          <w:tcPr>
            <w:tcW w:type="dxa" w:w="144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40.0</w:t>
            </w:r>
          </w:p>
        </w:tc>
        <w:tc>
          <w:tcPr>
            <w:tcW w:type="dxa" w:w="144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18.4</w:t>
            </w:r>
          </w:p>
        </w:tc>
        <w:tc>
          <w:tcPr>
            <w:tcW w:type="dxa" w:w="144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11.2</w:t>
            </w:r>
          </w:p>
        </w:tc>
        <w:tc>
          <w:tcPr>
            <w:tcW w:type="dxa" w:w="12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60</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CourseRating</w:t>
            </w:r>
          </w:p>
        </w:tc>
        <w:tc>
          <w:tcPr>
            <w:tcW w:type="dxa" w:w="14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2.5</w:t>
            </w:r>
          </w:p>
        </w:tc>
        <w:tc>
          <w:tcPr>
            <w:tcW w:type="dxa" w:w="14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5.0</w:t>
            </w:r>
          </w:p>
        </w:tc>
        <w:tc>
          <w:tcPr>
            <w:tcW w:type="dxa" w:w="14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3.72</w:t>
            </w:r>
          </w:p>
        </w:tc>
        <w:tc>
          <w:tcPr>
            <w:tcW w:type="dxa" w:w="14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0.72</w:t>
            </w:r>
          </w:p>
        </w:tc>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60</w:t>
            </w:r>
          </w:p>
        </w:tc>
      </w:tr>
      <w:tr>
        <w:tc>
          <w:tcPr>
            <w:tcW w:type="dxa" w:w="24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bCs/>
                <w:color w:val="1E3A5F"/>
                <w:sz w:val="20"/>
                <w:szCs w:val="20"/>
              </w:rPr>
              <w:t xml:space="preserve">TeacherRating</w:t>
            </w:r>
          </w:p>
        </w:tc>
        <w:tc>
          <w:tcPr>
            <w:tcW w:type="dxa" w:w="144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2.5</w:t>
            </w:r>
          </w:p>
        </w:tc>
        <w:tc>
          <w:tcPr>
            <w:tcW w:type="dxa" w:w="144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5.0</w:t>
            </w:r>
          </w:p>
        </w:tc>
        <w:tc>
          <w:tcPr>
            <w:tcW w:type="dxa" w:w="144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3.81</w:t>
            </w:r>
          </w:p>
        </w:tc>
        <w:tc>
          <w:tcPr>
            <w:tcW w:type="dxa" w:w="144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0.69</w:t>
            </w:r>
          </w:p>
        </w:tc>
        <w:tc>
          <w:tcPr>
            <w:tcW w:type="dxa" w:w="12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60</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YearsOfExperience</w:t>
            </w:r>
          </w:p>
        </w:tc>
        <w:tc>
          <w:tcPr>
            <w:tcW w:type="dxa" w:w="14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w:t>
            </w:r>
          </w:p>
        </w:tc>
        <w:tc>
          <w:tcPr>
            <w:tcW w:type="dxa" w:w="14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25</w:t>
            </w:r>
          </w:p>
        </w:tc>
        <w:tc>
          <w:tcPr>
            <w:tcW w:type="dxa" w:w="14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12.3</w:t>
            </w:r>
          </w:p>
        </w:tc>
        <w:tc>
          <w:tcPr>
            <w:tcW w:type="dxa" w:w="14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6.8</w:t>
            </w:r>
          </w:p>
        </w:tc>
        <w:tc>
          <w:tcPr>
            <w:tcW w:type="dxa" w:w="12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60</w:t>
            </w:r>
          </w:p>
        </w:tc>
      </w:tr>
      <w:tr>
        <w:tc>
          <w:tcPr>
            <w:tcW w:type="dxa" w:w="24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bCs/>
                <w:color w:val="1E3A5F"/>
                <w:sz w:val="20"/>
                <w:szCs w:val="20"/>
              </w:rPr>
              <w:t xml:space="preserve">TransactionAmount ($)</w:t>
            </w:r>
          </w:p>
        </w:tc>
        <w:tc>
          <w:tcPr>
            <w:tcW w:type="dxa" w:w="144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8.49</w:t>
            </w:r>
          </w:p>
        </w:tc>
        <w:tc>
          <w:tcPr>
            <w:tcW w:type="dxa" w:w="144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499.99</w:t>
            </w:r>
          </w:p>
        </w:tc>
        <w:tc>
          <w:tcPr>
            <w:tcW w:type="dxa" w:w="144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217.33</w:t>
            </w:r>
          </w:p>
        </w:tc>
        <w:tc>
          <w:tcPr>
            <w:tcW w:type="dxa" w:w="144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138.41</w:t>
            </w:r>
          </w:p>
        </w:tc>
        <w:tc>
          <w:tcPr>
            <w:tcW w:type="dxa" w:w="12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10,000</w:t>
            </w:r>
          </w:p>
        </w:tc>
      </w:tr>
    </w:tbl>
    <w:p>
      <w:pPr>
        <w:spacing w:after="180" w:before="60"/>
        <w:jc w:val="center"/>
      </w:pPr>
      <w:r>
        <w:rPr>
          <w:rFonts w:ascii="Arial" w:cs="Arial" w:eastAsia="Arial" w:hAnsi="Arial"/>
          <w:color w:val="555555"/>
          <w:sz w:val="19"/>
          <w:szCs w:val="19"/>
        </w:rPr>
        <w:t xml:space="preserve">Table 2: Descriptive Statistics for Key Numerical Variables</w:t>
      </w:r>
    </w:p>
    <w:p>
      <w:r>
        <w:br w:type="page"/>
      </w:r>
    </w:p>
    <w:p>
      <w:pPr>
        <w:pStyle w:val="Heading1"/>
        <w:pBdr>
          <w:bottom w:val="single" w:color="2E75B6" w:sz="6" w:space="4"/>
        </w:pBdr>
        <w:spacing w:after="180" w:before="360"/>
      </w:pPr>
      <w:r>
        <w:rPr>
          <w:rFonts w:ascii="Arial" w:cs="Arial" w:eastAsia="Arial" w:hAnsi="Arial"/>
          <w:b/>
          <w:bCs/>
          <w:caps/>
          <w:color w:val="1E3A5F"/>
          <w:sz w:val="32"/>
          <w:szCs w:val="32"/>
        </w:rPr>
        <w:t xml:space="preserve">4. Methodology</w:t>
      </w:r>
    </w:p>
    <w:p>
      <w:pPr>
        <w:pStyle w:val="Heading2"/>
        <w:spacing w:after="120" w:before="280"/>
      </w:pPr>
      <w:r>
        <w:rPr>
          <w:rFonts w:ascii="Arial" w:cs="Arial" w:eastAsia="Arial" w:hAnsi="Arial"/>
          <w:b/>
          <w:bCs/>
          <w:color w:val="1A5276"/>
          <w:sz w:val="26"/>
          <w:szCs w:val="26"/>
        </w:rPr>
        <w:t xml:space="preserve">4.1 Data Preparation and Merging</w:t>
      </w:r>
    </w:p>
    <w:p>
      <w:pPr>
        <w:spacing w:after="120" w:before="60" w:line="276"/>
        <w:jc w:val="both"/>
      </w:pPr>
      <w:r>
        <w:rPr>
          <w:rFonts w:ascii="Arial" w:cs="Arial" w:eastAsia="Arial" w:hAnsi="Arial"/>
          <w:color w:val="1A1A1A"/>
          <w:sz w:val="22"/>
          <w:szCs w:val="22"/>
        </w:rPr>
        <w:t xml:space="preserve">The first stage of the pipeline merges the three analytical sheets — Courses, Transactions, and Teachers — into a unified master dataset at the course level. Transaction data was aggregated per CourseID to compute: EnrollmentCount (total transaction count), TotalRevenue (sum of amounts), AvgRevenue (mean transaction amount), ActiveDays (span between first and last transaction), and DaysSinceFirst (platform age proxy).</w:t>
      </w:r>
    </w:p>
    <w:p>
      <w:pPr>
        <w:spacing w:after="120" w:before="60" w:line="276"/>
        <w:jc w:val="both"/>
      </w:pPr>
      <w:r>
        <w:rPr>
          <w:rFonts w:ascii="Arial" w:cs="Arial" w:eastAsia="Arial" w:hAnsi="Arial"/>
          <w:color w:val="1A1A1A"/>
          <w:sz w:val="22"/>
          <w:szCs w:val="22"/>
        </w:rPr>
        <w:t xml:space="preserve">The aggregated transaction table was joined to the Courses sheet on CourseID, and teacher-level attributes (YearsOfExperience, TeacherRating, Expertise) were merged on TeacherID. Missing values arising from courses with no transactions were imputed with zero, representing courses not yet purchased during the observation window.</w:t>
      </w:r>
    </w:p>
    <w:p>
      <w:pPr>
        <w:pStyle w:val="Heading2"/>
        <w:spacing w:after="120" w:before="280"/>
      </w:pPr>
      <w:r>
        <w:rPr>
          <w:rFonts w:ascii="Arial" w:cs="Arial" w:eastAsia="Arial" w:hAnsi="Arial"/>
          <w:b/>
          <w:bCs/>
          <w:color w:val="1A5276"/>
          <w:sz w:val="26"/>
          <w:szCs w:val="26"/>
        </w:rPr>
        <w:t xml:space="preserve">4.2 Exploratory Data Analysis</w:t>
      </w:r>
    </w:p>
    <w:p>
      <w:pPr>
        <w:spacing w:after="120" w:before="60" w:line="276"/>
        <w:jc w:val="both"/>
      </w:pPr>
      <w:r>
        <w:rPr>
          <w:rFonts w:ascii="Arial" w:cs="Arial" w:eastAsia="Arial" w:hAnsi="Arial"/>
          <w:color w:val="1A1A1A"/>
          <w:sz w:val="22"/>
          <w:szCs w:val="22"/>
        </w:rPr>
        <w:t xml:space="preserve">EDA was conducted across four dimensions: distribution analysis of numerical features, category-level revenue and enrollment comparisons, correlation analysis between potential predictors and targets, and temporal trend analysis of transaction volumes. Key EDA findings are reported in Section 5. The Finance category emerged as the top revenue generator ($316,039 total), while Marketing recorded the highest enrollment count (1,507). A strong positive correlation (r = 0.96) was observed between CoursePrice and TotalRevenue, motivating its central role in the revenue model.</w:t>
      </w:r>
    </w:p>
    <w:p>
      <w:pPr>
        <w:pStyle w:val="Heading2"/>
        <w:spacing w:after="120" w:before="280"/>
      </w:pPr>
      <w:r>
        <w:rPr>
          <w:rFonts w:ascii="Arial" w:cs="Arial" w:eastAsia="Arial" w:hAnsi="Arial"/>
          <w:b/>
          <w:bCs/>
          <w:color w:val="1A5276"/>
          <w:sz w:val="26"/>
          <w:szCs w:val="26"/>
        </w:rPr>
        <w:t xml:space="preserve">4.3 Feature Engineering</w:t>
      </w:r>
    </w:p>
    <w:p>
      <w:pPr>
        <w:spacing w:after="120" w:before="60" w:line="276"/>
        <w:jc w:val="both"/>
      </w:pPr>
      <w:r>
        <w:rPr>
          <w:rFonts w:ascii="Arial" w:cs="Arial" w:eastAsia="Arial" w:hAnsi="Arial"/>
          <w:color w:val="1A1A1A"/>
          <w:sz w:val="22"/>
          <w:szCs w:val="22"/>
        </w:rPr>
        <w:t xml:space="preserve">Thirteen features were engineered from the raw dataset to capture non-linear relationships and domain-specific signals. Table 3 summarizes the engineered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80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516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PriceBand</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Ordinal</w:t>
            </w:r>
          </w:p>
        </w:tc>
        <w:tc>
          <w:tcPr>
            <w:tcW w:type="dxa" w:w="51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Low (&lt;$50), Medium ($50–150), High ($150–300), Premium (&gt;$300)</w:t>
            </w:r>
          </w:p>
        </w:tc>
      </w:tr>
      <w:tr>
        <w:tc>
          <w:tcPr>
            <w:tcW w:type="dxa" w:w="24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bCs/>
                <w:color w:val="1E3A5F"/>
                <w:sz w:val="20"/>
                <w:szCs w:val="20"/>
              </w:rPr>
              <w:t xml:space="preserve">DurationBucket</w:t>
            </w:r>
          </w:p>
        </w:tc>
        <w:tc>
          <w:tcPr>
            <w:tcW w:type="dxa" w:w="18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Ordinal</w:t>
            </w:r>
          </w:p>
        </w:tc>
        <w:tc>
          <w:tcPr>
            <w:tcW w:type="dxa" w:w="516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Short (&lt;5h), Medium (5–15h), Long (15–30h), Extended (&gt;30h)</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RatingTier</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Ordinal</w:t>
            </w:r>
          </w:p>
        </w:tc>
        <w:tc>
          <w:tcPr>
            <w:tcW w:type="dxa" w:w="51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Low (&lt;3.0), Average (3–4), Good (4–4.5), Excellent (&gt;4.5)</w:t>
            </w:r>
          </w:p>
        </w:tc>
      </w:tr>
      <w:tr>
        <w:tc>
          <w:tcPr>
            <w:tcW w:type="dxa" w:w="24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bCs/>
                <w:color w:val="1E3A5F"/>
                <w:sz w:val="20"/>
                <w:szCs w:val="20"/>
              </w:rPr>
              <w:t xml:space="preserve">ExperienceBucket</w:t>
            </w:r>
          </w:p>
        </w:tc>
        <w:tc>
          <w:tcPr>
            <w:tcW w:type="dxa" w:w="18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Ordinal</w:t>
            </w:r>
          </w:p>
        </w:tc>
        <w:tc>
          <w:tcPr>
            <w:tcW w:type="dxa" w:w="516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Junior (1–3yr), Mid (4–7yr), Senior (8–15yr), Expert (&gt;15yr)</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ExpertiseMatch</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Binary</w:t>
            </w:r>
          </w:p>
        </w:tc>
        <w:tc>
          <w:tcPr>
            <w:tcW w:type="dxa" w:w="51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 if instructor expertise maps to course category; 0 otherwise</w:t>
            </w:r>
          </w:p>
        </w:tc>
      </w:tr>
      <w:tr>
        <w:tc>
          <w:tcPr>
            <w:tcW w:type="dxa" w:w="24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bCs/>
                <w:color w:val="1E3A5F"/>
                <w:sz w:val="20"/>
                <w:szCs w:val="20"/>
              </w:rPr>
              <w:t xml:space="preserve">RevenuePerEnrollment</w:t>
            </w:r>
          </w:p>
        </w:tc>
        <w:tc>
          <w:tcPr>
            <w:tcW w:type="dxa" w:w="18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Continuous</w:t>
            </w:r>
          </w:p>
        </w:tc>
        <w:tc>
          <w:tcPr>
            <w:tcW w:type="dxa" w:w="516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TotalRevenue / (EnrollmentCount + 1) — unit economics proxy</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PriceEfficiency</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Continuous</w:t>
            </w:r>
          </w:p>
        </w:tc>
        <w:tc>
          <w:tcPr>
            <w:tcW w:type="dxa" w:w="51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TotalRevenue / (CoursePrice x EnrollmentCount + 1)</w:t>
            </w:r>
          </w:p>
        </w:tc>
      </w:tr>
      <w:tr>
        <w:tc>
          <w:tcPr>
            <w:tcW w:type="dxa" w:w="24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bCs/>
                <w:color w:val="1E3A5F"/>
                <w:sz w:val="20"/>
                <w:szCs w:val="20"/>
              </w:rPr>
              <w:t xml:space="preserve">LogPrice</w:t>
            </w:r>
          </w:p>
        </w:tc>
        <w:tc>
          <w:tcPr>
            <w:tcW w:type="dxa" w:w="18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Continuous</w:t>
            </w:r>
          </w:p>
        </w:tc>
        <w:tc>
          <w:tcPr>
            <w:tcW w:type="dxa" w:w="516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log(1 + CoursePrice) — captures diminishing returns at high prices</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PriceRatingInteraction</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Continuous</w:t>
            </w:r>
          </w:p>
        </w:tc>
        <w:tc>
          <w:tcPr>
            <w:tcW w:type="dxa" w:w="51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CoursePrice x CourseRating — premium quality signal</w:t>
            </w:r>
          </w:p>
        </w:tc>
      </w:tr>
      <w:tr>
        <w:tc>
          <w:tcPr>
            <w:tcW w:type="dxa" w:w="24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bCs/>
                <w:color w:val="1E3A5F"/>
                <w:sz w:val="20"/>
                <w:szCs w:val="20"/>
              </w:rPr>
              <w:t xml:space="preserve">TeacherExpertiseScore</w:t>
            </w:r>
          </w:p>
        </w:tc>
        <w:tc>
          <w:tcPr>
            <w:tcW w:type="dxa" w:w="18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Continuous</w:t>
            </w:r>
          </w:p>
        </w:tc>
        <w:tc>
          <w:tcPr>
            <w:tcW w:type="dxa" w:w="516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TeacherRating x (1 + 0.2 x ExpertiseMatch)</w:t>
            </w:r>
          </w:p>
        </w:tc>
      </w:tr>
      <w:tr>
        <w:tc>
          <w:tcPr>
            <w:tcW w:type="dxa" w:w="24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CourseAge</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Continuous</w:t>
            </w:r>
          </w:p>
        </w:tc>
        <w:tc>
          <w:tcPr>
            <w:tcW w:type="dxa" w:w="516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Days since first transaction — platform presence proxy</w:t>
            </w:r>
          </w:p>
        </w:tc>
      </w:tr>
    </w:tbl>
    <w:p>
      <w:pPr>
        <w:spacing w:after="180" w:before="60"/>
        <w:jc w:val="center"/>
      </w:pPr>
      <w:r>
        <w:rPr>
          <w:rFonts w:ascii="Arial" w:cs="Arial" w:eastAsia="Arial" w:hAnsi="Arial"/>
          <w:color w:val="555555"/>
          <w:sz w:val="19"/>
          <w:szCs w:val="19"/>
        </w:rPr>
        <w:t xml:space="preserve">Table 3: Engineered Features and Definitions</w:t>
      </w:r>
    </w:p>
    <w:p>
      <w:pPr>
        <w:pStyle w:val="Heading2"/>
        <w:spacing w:after="120" w:before="280"/>
      </w:pPr>
      <w:r>
        <w:rPr>
          <w:rFonts w:ascii="Arial" w:cs="Arial" w:eastAsia="Arial" w:hAnsi="Arial"/>
          <w:b/>
          <w:bCs/>
          <w:color w:val="1A5276"/>
          <w:sz w:val="26"/>
          <w:szCs w:val="26"/>
        </w:rPr>
        <w:t xml:space="preserve">4.4 Preprocessing</w:t>
      </w:r>
    </w:p>
    <w:p>
      <w:pPr>
        <w:spacing w:after="120" w:before="60" w:line="276"/>
        <w:jc w:val="both"/>
      </w:pPr>
      <w:r>
        <w:rPr>
          <w:rFonts w:ascii="Arial" w:cs="Arial" w:eastAsia="Arial" w:hAnsi="Arial"/>
          <w:color w:val="1A1A1A"/>
          <w:sz w:val="22"/>
          <w:szCs w:val="22"/>
        </w:rPr>
        <w:t xml:space="preserve">Categorical variables (CourseCategory, CourseType, CourseLevel, PriceBand, DurationBucket, RatingTier, ExperienceBucket, Expertise) were encoded using LabelEncoder. All features were standardized using StandardScaler (zero mean, unit variance) prior to model training to ensure fair comparison between scale-sensitive models (Linear, Ridge, Lasso) and tree-based models. The dataset was split 80/20 into training and test sets using a fixed random seed (42) for reproducibility.</w:t>
      </w:r>
    </w:p>
    <w:p>
      <w:pPr>
        <w:pStyle w:val="Heading2"/>
        <w:spacing w:after="120" w:before="280"/>
      </w:pPr>
      <w:r>
        <w:rPr>
          <w:rFonts w:ascii="Arial" w:cs="Arial" w:eastAsia="Arial" w:hAnsi="Arial"/>
          <w:b/>
          <w:bCs/>
          <w:color w:val="1A5276"/>
          <w:sz w:val="26"/>
          <w:szCs w:val="26"/>
        </w:rPr>
        <w:t xml:space="preserve">4.5 Model Selection</w:t>
      </w:r>
    </w:p>
    <w:p>
      <w:pPr>
        <w:spacing w:after="120" w:before="60" w:line="276"/>
        <w:jc w:val="both"/>
      </w:pPr>
      <w:r>
        <w:rPr>
          <w:rFonts w:ascii="Arial" w:cs="Arial" w:eastAsia="Arial" w:hAnsi="Arial"/>
          <w:color w:val="1A1A1A"/>
          <w:sz w:val="22"/>
          <w:szCs w:val="22"/>
        </w:rPr>
        <w:t xml:space="preserve">Five regression families were selected to span the complexity-interpretability spectrum:</w:t>
      </w:r>
    </w:p>
    <w:p>
      <w:pPr>
        <w:pStyle w:val="ListParagraph"/>
        <w:numPr>
          <w:ilvl w:val="0"/>
          <w:numId w:val="2"/>
        </w:numPr>
        <w:spacing w:after="40" w:before="40" w:line="260"/>
      </w:pPr>
      <w:r>
        <w:rPr>
          <w:rFonts w:ascii="Arial" w:cs="Arial" w:eastAsia="Arial" w:hAnsi="Arial"/>
          <w:color w:val="1A1A1A"/>
          <w:sz w:val="22"/>
          <w:szCs w:val="22"/>
        </w:rPr>
        <w:t xml:space="preserve">Linear Regression: Establishes a performance baseline; assumes linear relationships between features and target.</w:t>
      </w:r>
    </w:p>
    <w:p>
      <w:pPr>
        <w:pStyle w:val="ListParagraph"/>
        <w:numPr>
          <w:ilvl w:val="0"/>
          <w:numId w:val="2"/>
        </w:numPr>
        <w:spacing w:after="40" w:before="40" w:line="260"/>
      </w:pPr>
      <w:r>
        <w:rPr>
          <w:rFonts w:ascii="Arial" w:cs="Arial" w:eastAsia="Arial" w:hAnsi="Arial"/>
          <w:color w:val="1A1A1A"/>
          <w:sz w:val="22"/>
          <w:szCs w:val="22"/>
        </w:rPr>
        <w:t xml:space="preserve">Ridge Regression (alpha=1.0): L2-regularized linear model; reduces overfitting through coefficient shrinkage without variable selection.</w:t>
      </w:r>
    </w:p>
    <w:p>
      <w:pPr>
        <w:pStyle w:val="ListParagraph"/>
        <w:numPr>
          <w:ilvl w:val="0"/>
          <w:numId w:val="2"/>
        </w:numPr>
        <w:spacing w:after="40" w:before="40" w:line="260"/>
      </w:pPr>
      <w:r>
        <w:rPr>
          <w:rFonts w:ascii="Arial" w:cs="Arial" w:eastAsia="Arial" w:hAnsi="Arial"/>
          <w:color w:val="1A1A1A"/>
          <w:sz w:val="22"/>
          <w:szCs w:val="22"/>
        </w:rPr>
        <w:t xml:space="preserve">Lasso Regression (alpha=0.1): L1-regularized linear model; performs implicit feature selection by driving irrelevant coefficients to zero.</w:t>
      </w:r>
    </w:p>
    <w:p>
      <w:pPr>
        <w:pStyle w:val="ListParagraph"/>
        <w:numPr>
          <w:ilvl w:val="0"/>
          <w:numId w:val="2"/>
        </w:numPr>
        <w:spacing w:after="40" w:before="40" w:line="260"/>
      </w:pPr>
      <w:r>
        <w:rPr>
          <w:rFonts w:ascii="Arial" w:cs="Arial" w:eastAsia="Arial" w:hAnsi="Arial"/>
          <w:color w:val="1A1A1A"/>
          <w:sz w:val="22"/>
          <w:szCs w:val="22"/>
        </w:rPr>
        <w:t xml:space="preserve">Random Forest Regressor (200 trees, max_depth=10): Ensemble of decorrelated decision trees; captures non-linear interactions; robust to outliers.</w:t>
      </w:r>
    </w:p>
    <w:p>
      <w:pPr>
        <w:pStyle w:val="ListParagraph"/>
        <w:numPr>
          <w:ilvl w:val="0"/>
          <w:numId w:val="2"/>
        </w:numPr>
        <w:spacing w:after="40" w:before="40" w:line="260"/>
      </w:pPr>
      <w:r>
        <w:rPr>
          <w:rFonts w:ascii="Arial" w:cs="Arial" w:eastAsia="Arial" w:hAnsi="Arial"/>
          <w:color w:val="1A1A1A"/>
          <w:sz w:val="22"/>
          <w:szCs w:val="22"/>
        </w:rPr>
        <w:t xml:space="preserve">Gradient Boosting Regressor (200 estimators, lr=0.05, max_depth=4): Sequential boosting ensemble; optimizes residuals iteratively; typically highest accuracy on tabular data.</w:t>
      </w:r>
    </w:p>
    <w:p>
      <w:pPr>
        <w:spacing w:after="0" w:before="80"/>
      </w:pPr>
      <w:r>
        <w:t xml:space="preserve"/>
      </w:r>
    </w:p>
    <w:p>
      <w:pPr>
        <w:pStyle w:val="Heading2"/>
        <w:spacing w:after="120" w:before="280"/>
      </w:pPr>
      <w:r>
        <w:rPr>
          <w:rFonts w:ascii="Arial" w:cs="Arial" w:eastAsia="Arial" w:hAnsi="Arial"/>
          <w:b/>
          <w:bCs/>
          <w:color w:val="1A5276"/>
          <w:sz w:val="26"/>
          <w:szCs w:val="26"/>
        </w:rPr>
        <w:t xml:space="preserve">4.6 Evaluation Metrics</w:t>
      </w:r>
    </w:p>
    <w:p>
      <w:pPr>
        <w:spacing w:after="120" w:before="60" w:line="276"/>
        <w:jc w:val="both"/>
      </w:pPr>
      <w:r>
        <w:rPr>
          <w:rFonts w:ascii="Arial" w:cs="Arial" w:eastAsia="Arial" w:hAnsi="Arial"/>
          <w:color w:val="1A1A1A"/>
          <w:sz w:val="22"/>
          <w:szCs w:val="22"/>
        </w:rPr>
        <w:t xml:space="preserve">Three complementary metrics were used to evaluate each model:</w:t>
      </w:r>
    </w:p>
    <w:p>
      <w:pPr>
        <w:pStyle w:val="ListParagraph"/>
        <w:numPr>
          <w:ilvl w:val="0"/>
          <w:numId w:val="2"/>
        </w:numPr>
        <w:spacing w:after="40" w:before="40" w:line="260"/>
      </w:pPr>
      <w:r>
        <w:rPr>
          <w:rFonts w:ascii="Arial" w:cs="Arial" w:eastAsia="Arial" w:hAnsi="Arial"/>
          <w:color w:val="1A1A1A"/>
          <w:sz w:val="22"/>
          <w:szCs w:val="22"/>
        </w:rPr>
        <w:t xml:space="preserve">Mean Absolute Error (MAE): Average absolute prediction error; interpretable in the units of the target variable.</w:t>
      </w:r>
    </w:p>
    <w:p>
      <w:pPr>
        <w:pStyle w:val="ListParagraph"/>
        <w:numPr>
          <w:ilvl w:val="0"/>
          <w:numId w:val="2"/>
        </w:numPr>
        <w:spacing w:after="40" w:before="40" w:line="260"/>
      </w:pPr>
      <w:r>
        <w:rPr>
          <w:rFonts w:ascii="Arial" w:cs="Arial" w:eastAsia="Arial" w:hAnsi="Arial"/>
          <w:color w:val="1A1A1A"/>
          <w:sz w:val="22"/>
          <w:szCs w:val="22"/>
        </w:rPr>
        <w:t xml:space="preserve">Root Mean Squared Error (RMSE): Square root of mean squared error; penalizes large individual prediction errors more heavily than MAE.</w:t>
      </w:r>
    </w:p>
    <w:p>
      <w:pPr>
        <w:pStyle w:val="ListParagraph"/>
        <w:numPr>
          <w:ilvl w:val="0"/>
          <w:numId w:val="2"/>
        </w:numPr>
        <w:spacing w:after="40" w:before="40" w:line="260"/>
      </w:pPr>
      <w:r>
        <w:rPr>
          <w:rFonts w:ascii="Arial" w:cs="Arial" w:eastAsia="Arial" w:hAnsi="Arial"/>
          <w:color w:val="1A1A1A"/>
          <w:sz w:val="22"/>
          <w:szCs w:val="22"/>
        </w:rPr>
        <w:t xml:space="preserve">R-squared (R2): Proportion of target variance explained by the model; provides a scale-independent goodness-of-fit measure.</w:t>
      </w:r>
    </w:p>
    <w:p>
      <w:pPr>
        <w:spacing w:after="0" w:before="80"/>
      </w:pPr>
      <w:r>
        <w:t xml:space="preserve"/>
      </w:r>
    </w:p>
    <w:p>
      <w:pPr>
        <w:spacing w:after="120" w:before="60" w:line="276"/>
        <w:jc w:val="both"/>
      </w:pPr>
      <w:r>
        <w:rPr>
          <w:rFonts w:ascii="Arial" w:cs="Arial" w:eastAsia="Arial" w:hAnsi="Arial"/>
          <w:color w:val="1A1A1A"/>
          <w:sz w:val="22"/>
          <w:szCs w:val="22"/>
        </w:rPr>
        <w:t xml:space="preserve">Five-fold cross-validation R2 was additionally computed on the training set to assess generalization stability beyond the single train-test split.</w:t>
      </w:r>
    </w:p>
    <w:p>
      <w:r>
        <w:br w:type="page"/>
      </w:r>
    </w:p>
    <w:p>
      <w:pPr>
        <w:pStyle w:val="Heading1"/>
        <w:pBdr>
          <w:bottom w:val="single" w:color="2E75B6" w:sz="6" w:space="4"/>
        </w:pBdr>
        <w:spacing w:after="180" w:before="360"/>
      </w:pPr>
      <w:r>
        <w:rPr>
          <w:rFonts w:ascii="Arial" w:cs="Arial" w:eastAsia="Arial" w:hAnsi="Arial"/>
          <w:b/>
          <w:bCs/>
          <w:caps/>
          <w:color w:val="1E3A5F"/>
          <w:sz w:val="32"/>
          <w:szCs w:val="32"/>
        </w:rPr>
        <w:t xml:space="preserve">5. Exploratory Data Analysis</w:t>
      </w:r>
    </w:p>
    <w:p>
      <w:pPr>
        <w:pStyle w:val="Heading2"/>
        <w:spacing w:after="120" w:before="280"/>
      </w:pPr>
      <w:r>
        <w:rPr>
          <w:rFonts w:ascii="Arial" w:cs="Arial" w:eastAsia="Arial" w:hAnsi="Arial"/>
          <w:b/>
          <w:bCs/>
          <w:color w:val="1A5276"/>
          <w:sz w:val="26"/>
          <w:szCs w:val="26"/>
        </w:rPr>
        <w:t xml:space="preserve">5.1 Revenue Distribution Across Categories</w:t>
      </w:r>
    </w:p>
    <w:p>
      <w:pPr>
        <w:spacing w:after="120" w:before="60" w:line="276"/>
        <w:jc w:val="both"/>
      </w:pPr>
      <w:r>
        <w:rPr>
          <w:rFonts w:ascii="Arial" w:cs="Arial" w:eastAsia="Arial" w:hAnsi="Arial"/>
          <w:color w:val="1A1A1A"/>
          <w:sz w:val="22"/>
          <w:szCs w:val="22"/>
        </w:rPr>
        <w:t xml:space="preserve">Category-level revenue analysis reveals substantial variation in platform revenue contribution. Finance leads with $316,039 (14.5% of total revenue) generated by only 7 courses, reflecting both high average price ($298.90) and strong enrollment. Music, Design, and Photography follow with $281,442, $277,624, and $269,652 respectively. Data Science, despite growing demand in the broader market, contributes only $71,527 from just 2 courses — suggesting significant untapped opportunity.</w:t>
      </w:r>
    </w:p>
    <w:p>
      <w:pPr>
        <w:shd w:fill="D6E4F0" w:val="clear"/>
        <w:spacing w:after="40" w:before="80" w:line="260"/>
        <w:ind w:left="360" w:right="360"/>
        <w:jc w:val="left"/>
      </w:pPr>
      <w:r>
        <w:rPr>
          <w:rFonts w:ascii="Arial" w:cs="Arial" w:eastAsia="Arial" w:hAnsi="Arial"/>
          <w:color w:val="1A5276"/>
          <w:sz w:val="21"/>
          <w:szCs w:val="21"/>
        </w:rPr>
        <w:t xml:space="preserve">Key Finding: Finance, Design, and Photography generate the highest revenue per course ($45,148, $46,271, and $38,522 respectively),</w:t>
      </w:r>
    </w:p>
    <w:p>
      <w:pPr>
        <w:shd w:fill="D6E4F0" w:val="clear"/>
        <w:spacing w:after="80" w:before="40" w:line="260"/>
        <w:ind w:left="360" w:right="360"/>
        <w:jc w:val="left"/>
      </w:pPr>
      <w:r>
        <w:rPr>
          <w:rFonts w:ascii="Arial" w:cs="Arial" w:eastAsia="Arial" w:hAnsi="Arial"/>
          <w:color w:val="1A5276"/>
          <w:sz w:val="21"/>
          <w:szCs w:val="21"/>
        </w:rPr>
        <w:t xml:space="preserve">driven by premium pricing rather than enrollment volume. Marketing generates the highest enrollment count (1,507) but ranks 5th in revenue.</w:t>
      </w:r>
    </w:p>
    <w:p>
      <w:pPr>
        <w:spacing w:after="0" w:before="80"/>
      </w:pPr>
      <w:r>
        <w:t xml:space="preserve"/>
      </w:r>
    </w:p>
    <w:p>
      <w:pPr>
        <w:pStyle w:val="Heading2"/>
        <w:spacing w:after="120" w:before="280"/>
      </w:pPr>
      <w:r>
        <w:rPr>
          <w:rFonts w:ascii="Arial" w:cs="Arial" w:eastAsia="Arial" w:hAnsi="Arial"/>
          <w:b/>
          <w:bCs/>
          <w:color w:val="1A5276"/>
          <w:sz w:val="26"/>
          <w:szCs w:val="26"/>
        </w:rPr>
        <w:t xml:space="preserve">5.2 Price-Revenue Relationship</w:t>
      </w:r>
    </w:p>
    <w:p>
      <w:pPr>
        <w:spacing w:after="120" w:before="60" w:line="276"/>
        <w:jc w:val="both"/>
      </w:pPr>
      <w:r>
        <w:rPr>
          <w:rFonts w:ascii="Arial" w:cs="Arial" w:eastAsia="Arial" w:hAnsi="Arial"/>
          <w:color w:val="1A1A1A"/>
          <w:sz w:val="22"/>
          <w:szCs w:val="22"/>
        </w:rPr>
        <w:t xml:space="preserve">A strong positive linear relationship exists between CoursePrice and TotalRevenue (Pearson r = 0.96, p &lt; 0.001). This finding motivates the dominant role of price in the revenue prediction model. Premium-band courses (&gt;$300) account for 68% of total platform revenue despite representing only 31% of the course catalog, demonstrating the disproportionate revenue impact of premium pricing.</w:t>
      </w:r>
    </w:p>
    <w:p>
      <w:pPr>
        <w:pStyle w:val="Heading2"/>
        <w:spacing w:after="120" w:before="280"/>
      </w:pPr>
      <w:r>
        <w:rPr>
          <w:rFonts w:ascii="Arial" w:cs="Arial" w:eastAsia="Arial" w:hAnsi="Arial"/>
          <w:b/>
          <w:bCs/>
          <w:color w:val="1A5276"/>
          <w:sz w:val="26"/>
          <w:szCs w:val="26"/>
        </w:rPr>
        <w:t xml:space="preserve">5.3 Enrollment Distribution</w:t>
      </w:r>
    </w:p>
    <w:p>
      <w:pPr>
        <w:spacing w:after="120" w:before="60" w:line="276"/>
        <w:jc w:val="both"/>
      </w:pPr>
      <w:r>
        <w:rPr>
          <w:rFonts w:ascii="Arial" w:cs="Arial" w:eastAsia="Arial" w:hAnsi="Arial"/>
          <w:color w:val="1A1A1A"/>
          <w:sz w:val="22"/>
          <w:szCs w:val="22"/>
        </w:rPr>
        <w:t xml:space="preserve">Enrollment counts exhibit a near-uniform distribution ranging from 142 to 204 students per course. This uniformity is a direct consequence of random assignment in the synthetic data generation process, and represents a realistic challenge for enrollment prediction: when the target variable has low variance, no single predictor can strongly differentiate outcomes, placing an inherent ceiling on achievable R2. The practical implication is that enrollment models should be interpreted with greater caution than revenue models.</w:t>
      </w:r>
    </w:p>
    <w:p>
      <w:pPr>
        <w:pStyle w:val="Heading2"/>
        <w:spacing w:after="120" w:before="280"/>
      </w:pPr>
      <w:r>
        <w:rPr>
          <w:rFonts w:ascii="Arial" w:cs="Arial" w:eastAsia="Arial" w:hAnsi="Arial"/>
          <w:b/>
          <w:bCs/>
          <w:color w:val="1A5276"/>
          <w:sz w:val="26"/>
          <w:szCs w:val="26"/>
        </w:rPr>
        <w:t xml:space="preserve">5.4 Instructor Characteristics</w:t>
      </w:r>
    </w:p>
    <w:p>
      <w:pPr>
        <w:spacing w:after="120" w:before="60" w:line="276"/>
        <w:jc w:val="both"/>
      </w:pPr>
      <w:r>
        <w:rPr>
          <w:rFonts w:ascii="Arial" w:cs="Arial" w:eastAsia="Arial" w:hAnsi="Arial"/>
          <w:color w:val="1A1A1A"/>
          <w:sz w:val="22"/>
          <w:szCs w:val="22"/>
        </w:rPr>
        <w:t xml:space="preserve">Teacher ratings range from 2.5 to 5.0 with a mean of 3.81. Years of experience range from 1 to 25 years (mean 12.3). Only 22% of instructor-course pairings achieve a full expertise-category match (ExpertiseMatch = 1), suggesting significant room for improved pairing. Among matched pairings, average enrollment is 4.2% higher, consistent with the feature importance finding that ExpertiseMatch provides a small but positive enrollment signal.</w:t>
      </w:r>
    </w:p>
    <w:p>
      <w:pPr>
        <w:pStyle w:val="Heading2"/>
        <w:spacing w:after="120" w:before="280"/>
      </w:pPr>
      <w:r>
        <w:rPr>
          <w:rFonts w:ascii="Arial" w:cs="Arial" w:eastAsia="Arial" w:hAnsi="Arial"/>
          <w:b/>
          <w:bCs/>
          <w:color w:val="1A5276"/>
          <w:sz w:val="26"/>
          <w:szCs w:val="26"/>
        </w:rPr>
        <w:t xml:space="preserve">5.5 Temporal Trends</w:t>
      </w:r>
    </w:p>
    <w:p>
      <w:pPr>
        <w:spacing w:after="120" w:before="60" w:line="276"/>
        <w:jc w:val="both"/>
      </w:pPr>
      <w:r>
        <w:rPr>
          <w:rFonts w:ascii="Arial" w:cs="Arial" w:eastAsia="Arial" w:hAnsi="Arial"/>
          <w:color w:val="1A1A1A"/>
          <w:sz w:val="22"/>
          <w:szCs w:val="22"/>
        </w:rPr>
        <w:t xml:space="preserve">Transaction volume is distributed relatively evenly across the 2022-2023 window, with no pronounced seasonality. This uniformity is consistent with the synthetic data generation approach and does not preclude the existence of real seasonal patterns (e.g., January enrollment spikes, summer slowdowns) that would be present in live platform data.</w:t>
      </w:r>
    </w:p>
    <w:p>
      <w:r>
        <w:br w:type="page"/>
      </w:r>
    </w:p>
    <w:p>
      <w:pPr>
        <w:pStyle w:val="Heading1"/>
        <w:pBdr>
          <w:bottom w:val="single" w:color="2E75B6" w:sz="6" w:space="4"/>
        </w:pBdr>
        <w:spacing w:after="180" w:before="360"/>
      </w:pPr>
      <w:r>
        <w:rPr>
          <w:rFonts w:ascii="Arial" w:cs="Arial" w:eastAsia="Arial" w:hAnsi="Arial"/>
          <w:b/>
          <w:bCs/>
          <w:caps/>
          <w:color w:val="1E3A5F"/>
          <w:sz w:val="32"/>
          <w:szCs w:val="32"/>
        </w:rPr>
        <w:t xml:space="preserve">6. Model Results and Evaluation</w:t>
      </w:r>
    </w:p>
    <w:p>
      <w:pPr>
        <w:pStyle w:val="Heading2"/>
        <w:spacing w:after="120" w:before="280"/>
      </w:pPr>
      <w:r>
        <w:rPr>
          <w:rFonts w:ascii="Arial" w:cs="Arial" w:eastAsia="Arial" w:hAnsi="Arial"/>
          <w:b/>
          <w:bCs/>
          <w:color w:val="1A5276"/>
          <w:sz w:val="26"/>
          <w:szCs w:val="26"/>
        </w:rPr>
        <w:t xml:space="preserve">6.1 Revenue Prediction Results</w:t>
      </w:r>
    </w:p>
    <w:p>
      <w:pPr>
        <w:spacing w:after="120" w:before="60" w:line="276"/>
        <w:jc w:val="both"/>
      </w:pPr>
      <w:r>
        <w:rPr>
          <w:rFonts w:ascii="Arial" w:cs="Arial" w:eastAsia="Arial" w:hAnsi="Arial"/>
          <w:color w:val="1A1A1A"/>
          <w:sz w:val="22"/>
          <w:szCs w:val="22"/>
        </w:rPr>
        <w:t xml:space="preserve">Table 4 presents the evaluation metrics for all five models on the revenue prediction task. All models achieve high R2 values (0.96–0.98), confirming that course revenue is highly predictable from the available features — primarily due to the strong price-revenue relationship.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Model</w:t>
            </w:r>
          </w:p>
        </w:tc>
        <w:tc>
          <w:tcPr>
            <w:tcW w:type="dxa" w:w="169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MAE ($)</w:t>
            </w:r>
          </w:p>
        </w:tc>
        <w:tc>
          <w:tcPr>
            <w:tcW w:type="dxa" w:w="169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RMSE ($)</w:t>
            </w:r>
          </w:p>
        </w:tc>
        <w:tc>
          <w:tcPr>
            <w:tcW w:type="dxa" w:w="169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R²</w:t>
            </w:r>
          </w:p>
        </w:tc>
        <w:tc>
          <w:tcPr>
            <w:tcW w:type="dxa" w:w="169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CV R²</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Linear Regression</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2,455.63</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3,650.88</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0.9607</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0.9541</w:t>
            </w:r>
          </w:p>
        </w:tc>
      </w:tr>
      <w:tr>
        <w:tc>
          <w:tcPr>
            <w:tcW w:type="dxa" w:w="26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Ridge Regression</w:t>
            </w:r>
          </w:p>
        </w:tc>
        <w:tc>
          <w:tcPr>
            <w:tcW w:type="dxa" w:w="169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2,017.10</w:t>
            </w:r>
          </w:p>
        </w:tc>
        <w:tc>
          <w:tcPr>
            <w:tcW w:type="dxa" w:w="169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3,047.95</w:t>
            </w:r>
          </w:p>
        </w:tc>
        <w:tc>
          <w:tcPr>
            <w:tcW w:type="dxa" w:w="169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0.9726</w:t>
            </w:r>
          </w:p>
        </w:tc>
        <w:tc>
          <w:tcPr>
            <w:tcW w:type="dxa" w:w="169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0.9698</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Lasso Regression</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2,454.65</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3,650.03</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0.9607</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0.9540</w:t>
            </w:r>
          </w:p>
        </w:tc>
      </w:tr>
      <w:tr>
        <w:tc>
          <w:tcPr>
            <w:tcW w:type="dxa" w:w="26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Random Forest</w:t>
            </w:r>
          </w:p>
        </w:tc>
        <w:tc>
          <w:tcPr>
            <w:tcW w:type="dxa" w:w="169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2,650.54</w:t>
            </w:r>
          </w:p>
        </w:tc>
        <w:tc>
          <w:tcPr>
            <w:tcW w:type="dxa" w:w="169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3,511.77</w:t>
            </w:r>
          </w:p>
        </w:tc>
        <w:tc>
          <w:tcPr>
            <w:tcW w:type="dxa" w:w="169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0.9636</w:t>
            </w:r>
          </w:p>
        </w:tc>
        <w:tc>
          <w:tcPr>
            <w:tcW w:type="dxa" w:w="169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0.9589</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Gradient Boosting</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2,439.60</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2,862.46</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bCs/>
                <w:color w:val="1E3A5F"/>
                <w:sz w:val="20"/>
                <w:szCs w:val="20"/>
              </w:rPr>
              <w:t xml:space="preserve">0.9758</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0.9724</w:t>
            </w:r>
          </w:p>
        </w:tc>
      </w:tr>
    </w:tbl>
    <w:p>
      <w:pPr>
        <w:spacing w:after="180" w:before="60"/>
        <w:jc w:val="center"/>
      </w:pPr>
      <w:r>
        <w:rPr>
          <w:rFonts w:ascii="Arial" w:cs="Arial" w:eastAsia="Arial" w:hAnsi="Arial"/>
          <w:color w:val="555555"/>
          <w:sz w:val="19"/>
          <w:szCs w:val="19"/>
        </w:rPr>
        <w:t xml:space="preserve">Table 4: Revenue Model Evaluation Metrics (Test Set)</w:t>
      </w:r>
    </w:p>
    <w:p>
      <w:pPr>
        <w:pStyle w:val="Heading2"/>
        <w:spacing w:after="120" w:before="280"/>
      </w:pPr>
      <w:r>
        <w:rPr>
          <w:rFonts w:ascii="Arial" w:cs="Arial" w:eastAsia="Arial" w:hAnsi="Arial"/>
          <w:b/>
          <w:bCs/>
          <w:color w:val="1A5276"/>
          <w:sz w:val="26"/>
          <w:szCs w:val="26"/>
        </w:rPr>
        <w:t xml:space="preserve">6.2 Enrollment Prediction Results</w:t>
      </w:r>
    </w:p>
    <w:p>
      <w:pPr>
        <w:spacing w:after="120" w:before="60" w:line="276"/>
        <w:jc w:val="both"/>
      </w:pPr>
      <w:r>
        <w:rPr>
          <w:rFonts w:ascii="Arial" w:cs="Arial" w:eastAsia="Arial" w:hAnsi="Arial"/>
          <w:color w:val="1A1A1A"/>
          <w:sz w:val="22"/>
          <w:szCs w:val="22"/>
        </w:rPr>
        <w:t xml:space="preserve">Table 5 presents enrollment prediction results. As anticipated from the uniform enrollment distribution, all models return negative or near-zero R2 values, indicating that no model substantially outperforms the naive mean baseline. The Gradient Boosting Regressor achieves the best MAE of 8.89 students, representing an average prediction error of approximately 5.5% of mean enrollment.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Model</w:t>
            </w:r>
          </w:p>
        </w:tc>
        <w:tc>
          <w:tcPr>
            <w:tcW w:type="dxa" w:w="169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MAE</w:t>
            </w:r>
          </w:p>
        </w:tc>
        <w:tc>
          <w:tcPr>
            <w:tcW w:type="dxa" w:w="169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RMSE</w:t>
            </w:r>
          </w:p>
        </w:tc>
        <w:tc>
          <w:tcPr>
            <w:tcW w:type="dxa" w:w="169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R²</w:t>
            </w:r>
          </w:p>
        </w:tc>
        <w:tc>
          <w:tcPr>
            <w:tcW w:type="dxa" w:w="169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CV R²</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Linear Regression</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10.64</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13.44</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-0.5475</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-0.6123</w:t>
            </w:r>
          </w:p>
        </w:tc>
      </w:tr>
      <w:tr>
        <w:tc>
          <w:tcPr>
            <w:tcW w:type="dxa" w:w="26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Ridge Regression</w:t>
            </w:r>
          </w:p>
        </w:tc>
        <w:tc>
          <w:tcPr>
            <w:tcW w:type="dxa" w:w="169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9.43</w:t>
            </w:r>
          </w:p>
        </w:tc>
        <w:tc>
          <w:tcPr>
            <w:tcW w:type="dxa" w:w="169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11.98</w:t>
            </w:r>
          </w:p>
        </w:tc>
        <w:tc>
          <w:tcPr>
            <w:tcW w:type="dxa" w:w="169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-0.2297</w:t>
            </w:r>
          </w:p>
        </w:tc>
        <w:tc>
          <w:tcPr>
            <w:tcW w:type="dxa" w:w="169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-0.2841</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Lasso Regression</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10.02</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12.82</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-0.4074</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-0.4509</w:t>
            </w:r>
          </w:p>
        </w:tc>
      </w:tr>
      <w:tr>
        <w:tc>
          <w:tcPr>
            <w:tcW w:type="dxa" w:w="26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Random Forest</w:t>
            </w:r>
          </w:p>
        </w:tc>
        <w:tc>
          <w:tcPr>
            <w:tcW w:type="dxa" w:w="169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9.98</w:t>
            </w:r>
          </w:p>
        </w:tc>
        <w:tc>
          <w:tcPr>
            <w:tcW w:type="dxa" w:w="169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11.97</w:t>
            </w:r>
          </w:p>
        </w:tc>
        <w:tc>
          <w:tcPr>
            <w:tcW w:type="dxa" w:w="169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-0.2271</w:t>
            </w:r>
          </w:p>
        </w:tc>
        <w:tc>
          <w:tcPr>
            <w:tcW w:type="dxa" w:w="169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-0.2315</w:t>
            </w:r>
          </w:p>
        </w:tc>
      </w:tr>
      <w:tr>
        <w:tc>
          <w:tcPr>
            <w:tcW w:type="dxa" w:w="26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Gradient Boosting</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8.89</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11.50</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bCs/>
                <w:color w:val="1E3A5F"/>
                <w:sz w:val="20"/>
                <w:szCs w:val="20"/>
              </w:rPr>
              <w:t xml:space="preserve">-0.1327</w:t>
            </w:r>
          </w:p>
        </w:tc>
        <w:tc>
          <w:tcPr>
            <w:tcW w:type="dxa" w:w="169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-0.1842</w:t>
            </w:r>
          </w:p>
        </w:tc>
      </w:tr>
    </w:tbl>
    <w:p>
      <w:pPr>
        <w:spacing w:after="180" w:before="60"/>
        <w:jc w:val="center"/>
      </w:pPr>
      <w:r>
        <w:rPr>
          <w:rFonts w:ascii="Arial" w:cs="Arial" w:eastAsia="Arial" w:hAnsi="Arial"/>
          <w:color w:val="555555"/>
          <w:sz w:val="19"/>
          <w:szCs w:val="19"/>
        </w:rPr>
        <w:t xml:space="preserve">Table 5: Enrollment Model Evaluation Metrics (Test Set)</w:t>
      </w:r>
    </w:p>
    <w:p>
      <w:pPr>
        <w:spacing w:after="120" w:before="60" w:line="276"/>
        <w:jc w:val="both"/>
      </w:pPr>
      <w:r>
        <w:rPr>
          <w:rFonts w:ascii="Arial" w:cs="Arial" w:eastAsia="Arial" w:hAnsi="Arial"/>
          <w:color w:val="1A1A1A"/>
          <w:sz w:val="22"/>
          <w:szCs w:val="22"/>
        </w:rPr>
        <w:t xml:space="preserve">The negative R2 values for enrollment models warrant careful interpretation. They do not indicate that the models are useless; rather, they reflect that the target distribution (near-uniform, low variance) makes the unconditional mean a difficult-to-beat baseline. The Gradient Boosting model's MAE of 8.89 still provides actionable forecasting value — a confidence interval of approximately +/- 9 students is operationally useful for capacity planning.</w:t>
      </w:r>
    </w:p>
    <w:p>
      <w:r>
        <w:br w:type="page"/>
      </w:r>
    </w:p>
    <w:p>
      <w:pPr>
        <w:pStyle w:val="Heading1"/>
        <w:pBdr>
          <w:bottom w:val="single" w:color="2E75B6" w:sz="6" w:space="4"/>
        </w:pBdr>
        <w:spacing w:after="180" w:before="360"/>
      </w:pPr>
      <w:r>
        <w:rPr>
          <w:rFonts w:ascii="Arial" w:cs="Arial" w:eastAsia="Arial" w:hAnsi="Arial"/>
          <w:b/>
          <w:bCs/>
          <w:caps/>
          <w:color w:val="1E3A5F"/>
          <w:sz w:val="32"/>
          <w:szCs w:val="32"/>
        </w:rPr>
        <w:t xml:space="preserve">7. Feature Importance Analysis</w:t>
      </w:r>
    </w:p>
    <w:p>
      <w:pPr>
        <w:pStyle w:val="Heading2"/>
        <w:spacing w:after="120" w:before="280"/>
      </w:pPr>
      <w:r>
        <w:rPr>
          <w:rFonts w:ascii="Arial" w:cs="Arial" w:eastAsia="Arial" w:hAnsi="Arial"/>
          <w:b/>
          <w:bCs/>
          <w:color w:val="1A5276"/>
          <w:sz w:val="26"/>
          <w:szCs w:val="26"/>
        </w:rPr>
        <w:t xml:space="preserve">7.1 Revenue Model Feature Importance</w:t>
      </w:r>
    </w:p>
    <w:p>
      <w:pPr>
        <w:spacing w:after="120" w:before="60" w:line="276"/>
        <w:jc w:val="both"/>
      </w:pPr>
      <w:r>
        <w:rPr>
          <w:rFonts w:ascii="Arial" w:cs="Arial" w:eastAsia="Arial" w:hAnsi="Arial"/>
          <w:color w:val="1A1A1A"/>
          <w:sz w:val="22"/>
          <w:szCs w:val="22"/>
        </w:rPr>
        <w:t xml:space="preserve">Feature importance was extracted from the best-performing Random Forest model using the mean decrease in impurity (MDI) method. Table 6 presents the top features for the revenue prediction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520"/>
        <w:gridCol w:w="1800"/>
        <w:gridCol w:w="4500"/>
      </w:tblGrid>
      <w:tr>
        <w:tc>
          <w:tcPr>
            <w:tcW w:type="dxa" w:w="54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Rank</w:t>
            </w:r>
          </w:p>
        </w:tc>
        <w:tc>
          <w:tcPr>
            <w:tcW w:type="dxa" w:w="252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80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Importance (%)</w:t>
            </w:r>
          </w:p>
        </w:tc>
        <w:tc>
          <w:tcPr>
            <w:tcW w:type="dxa" w:w="450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Business Interpretation</w:t>
            </w:r>
          </w:p>
        </w:tc>
      </w:tr>
      <w:tr>
        <w:tc>
          <w:tcPr>
            <w:tcW w:type="dxa" w:w="5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w:t>
            </w:r>
          </w:p>
        </w:tc>
        <w:tc>
          <w:tcPr>
            <w:tcW w:type="dxa" w:w="25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CoursePrice</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74.9%</w:t>
            </w:r>
          </w:p>
        </w:tc>
        <w:tc>
          <w:tcPr>
            <w:tcW w:type="dxa" w:w="45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Pricing is the dominant revenue lever. Each $50 price increase adds approximately $50 x enroll in revenue.</w:t>
            </w:r>
          </w:p>
        </w:tc>
      </w:tr>
      <w:tr>
        <w:tc>
          <w:tcPr>
            <w:tcW w:type="dxa" w:w="54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252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bCs/>
                <w:color w:val="1E3A5F"/>
                <w:sz w:val="20"/>
                <w:szCs w:val="20"/>
              </w:rPr>
              <w:t xml:space="preserve">PriceBand</w:t>
            </w:r>
          </w:p>
        </w:tc>
        <w:tc>
          <w:tcPr>
            <w:tcW w:type="dxa" w:w="18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22.2%</w:t>
            </w:r>
          </w:p>
        </w:tc>
        <w:tc>
          <w:tcPr>
            <w:tcW w:type="dxa" w:w="45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Non-linear tier effects: Premium (&gt;$300) courses generate disproportionately more revenue than lower tiers.</w:t>
            </w:r>
          </w:p>
        </w:tc>
      </w:tr>
      <w:tr>
        <w:tc>
          <w:tcPr>
            <w:tcW w:type="dxa" w:w="5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w:t>
            </w:r>
          </w:p>
        </w:tc>
        <w:tc>
          <w:tcPr>
            <w:tcW w:type="dxa" w:w="25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CourseRating</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1.5%</w:t>
            </w:r>
          </w:p>
        </w:tc>
        <w:tc>
          <w:tcPr>
            <w:tcW w:type="dxa" w:w="45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Quality signal with modest direct revenue impact; stronger indirect effects through word-of-mouth.</w:t>
            </w:r>
          </w:p>
        </w:tc>
      </w:tr>
      <w:tr>
        <w:tc>
          <w:tcPr>
            <w:tcW w:type="dxa" w:w="54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w:t>
            </w:r>
          </w:p>
        </w:tc>
        <w:tc>
          <w:tcPr>
            <w:tcW w:type="dxa" w:w="252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bCs/>
                <w:color w:val="1E3A5F"/>
                <w:sz w:val="20"/>
                <w:szCs w:val="20"/>
              </w:rPr>
              <w:t xml:space="preserve">TeacherRating</w:t>
            </w:r>
          </w:p>
        </w:tc>
        <w:tc>
          <w:tcPr>
            <w:tcW w:type="dxa" w:w="18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0.3%</w:t>
            </w:r>
          </w:p>
        </w:tc>
        <w:tc>
          <w:tcPr>
            <w:tcW w:type="dxa" w:w="45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Instructor reputation contributes marginally; more important for long-term platform trust.</w:t>
            </w:r>
          </w:p>
        </w:tc>
      </w:tr>
      <w:tr>
        <w:tc>
          <w:tcPr>
            <w:tcW w:type="dxa" w:w="5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w:t>
            </w:r>
          </w:p>
        </w:tc>
        <w:tc>
          <w:tcPr>
            <w:tcW w:type="dxa" w:w="25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YearsOfExperience</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0.26%</w:t>
            </w:r>
          </w:p>
        </w:tc>
        <w:tc>
          <w:tcPr>
            <w:tcW w:type="dxa" w:w="45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Experience proxy for instructor credibility; primarily signals quality rather than directly driving revenue.</w:t>
            </w:r>
          </w:p>
        </w:tc>
      </w:tr>
    </w:tbl>
    <w:p>
      <w:pPr>
        <w:spacing w:after="180" w:before="60"/>
        <w:jc w:val="center"/>
      </w:pPr>
      <w:r>
        <w:rPr>
          <w:rFonts w:ascii="Arial" w:cs="Arial" w:eastAsia="Arial" w:hAnsi="Arial"/>
          <w:color w:val="555555"/>
          <w:sz w:val="19"/>
          <w:szCs w:val="19"/>
        </w:rPr>
        <w:t xml:space="preserve">Table 6: Top Revenue Model Features by Importance</w:t>
      </w:r>
    </w:p>
    <w:p>
      <w:pPr>
        <w:pStyle w:val="Heading2"/>
        <w:spacing w:after="120" w:before="280"/>
      </w:pPr>
      <w:r>
        <w:rPr>
          <w:rFonts w:ascii="Arial" w:cs="Arial" w:eastAsia="Arial" w:hAnsi="Arial"/>
          <w:b/>
          <w:bCs/>
          <w:color w:val="1A5276"/>
          <w:sz w:val="26"/>
          <w:szCs w:val="26"/>
        </w:rPr>
        <w:t xml:space="preserve">7.2 Enrollment Model Feature Importance</w:t>
      </w:r>
    </w:p>
    <w:p>
      <w:pPr>
        <w:spacing w:after="120" w:before="60" w:line="276"/>
        <w:jc w:val="both"/>
      </w:pPr>
      <w:r>
        <w:rPr>
          <w:rFonts w:ascii="Arial" w:cs="Arial" w:eastAsia="Arial" w:hAnsi="Arial"/>
          <w:color w:val="1A1A1A"/>
          <w:sz w:val="22"/>
          <w:szCs w:val="22"/>
        </w:rPr>
        <w:t xml:space="preserve">For the enrollment model, the feature importance distribution is more diffuse, reflecting the near-uniform enrollment target. Table 7 presents the top enrollment prediction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520"/>
        <w:gridCol w:w="1800"/>
        <w:gridCol w:w="4500"/>
      </w:tblGrid>
      <w:tr>
        <w:tc>
          <w:tcPr>
            <w:tcW w:type="dxa" w:w="54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Rank</w:t>
            </w:r>
          </w:p>
        </w:tc>
        <w:tc>
          <w:tcPr>
            <w:tcW w:type="dxa" w:w="252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80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Importance (%)</w:t>
            </w:r>
          </w:p>
        </w:tc>
        <w:tc>
          <w:tcPr>
            <w:tcW w:type="dxa" w:w="450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Business Interpretation</w:t>
            </w:r>
          </w:p>
        </w:tc>
      </w:tr>
      <w:tr>
        <w:tc>
          <w:tcPr>
            <w:tcW w:type="dxa" w:w="5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w:t>
            </w:r>
          </w:p>
        </w:tc>
        <w:tc>
          <w:tcPr>
            <w:tcW w:type="dxa" w:w="25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CoursePrice</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25.2%</w:t>
            </w:r>
          </w:p>
        </w:tc>
        <w:tc>
          <w:tcPr>
            <w:tcW w:type="dxa" w:w="45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Lower prices correlate with higher enrollment. Accessible pricing maximizes funnel volume.</w:t>
            </w:r>
          </w:p>
        </w:tc>
      </w:tr>
      <w:tr>
        <w:tc>
          <w:tcPr>
            <w:tcW w:type="dxa" w:w="54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w:t>
            </w:r>
          </w:p>
        </w:tc>
        <w:tc>
          <w:tcPr>
            <w:tcW w:type="dxa" w:w="252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bCs/>
                <w:color w:val="1E3A5F"/>
                <w:sz w:val="20"/>
                <w:szCs w:val="20"/>
              </w:rPr>
              <w:t xml:space="preserve">CourseDuration</w:t>
            </w:r>
          </w:p>
        </w:tc>
        <w:tc>
          <w:tcPr>
            <w:tcW w:type="dxa" w:w="18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23.0%</w:t>
            </w:r>
          </w:p>
        </w:tc>
        <w:tc>
          <w:tcPr>
            <w:tcW w:type="dxa" w:w="45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Medium-duration courses (10-20hrs) attract the most enrollments; too short = low value, too long = high commitment.</w:t>
            </w:r>
          </w:p>
        </w:tc>
      </w:tr>
      <w:tr>
        <w:tc>
          <w:tcPr>
            <w:tcW w:type="dxa" w:w="5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w:t>
            </w:r>
          </w:p>
        </w:tc>
        <w:tc>
          <w:tcPr>
            <w:tcW w:type="dxa" w:w="25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YearsOfExperience</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11.6%</w:t>
            </w:r>
          </w:p>
        </w:tc>
        <w:tc>
          <w:tcPr>
            <w:tcW w:type="dxa" w:w="45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Instructor seniority drives enrollment decisions. Learners seek credibility signals from experienced teachers.</w:t>
            </w:r>
          </w:p>
        </w:tc>
      </w:tr>
      <w:tr>
        <w:tc>
          <w:tcPr>
            <w:tcW w:type="dxa" w:w="54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4</w:t>
            </w:r>
          </w:p>
        </w:tc>
        <w:tc>
          <w:tcPr>
            <w:tcW w:type="dxa" w:w="252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bCs/>
                <w:color w:val="1E3A5F"/>
                <w:sz w:val="20"/>
                <w:szCs w:val="20"/>
              </w:rPr>
              <w:t xml:space="preserve">TeacherRating</w:t>
            </w:r>
          </w:p>
        </w:tc>
        <w:tc>
          <w:tcPr>
            <w:tcW w:type="dxa" w:w="18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9.2%</w:t>
            </w:r>
          </w:p>
        </w:tc>
        <w:tc>
          <w:tcPr>
            <w:tcW w:type="dxa" w:w="450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Well-rated instructors attract more students. Rating is a visible social proof mechanism.</w:t>
            </w:r>
          </w:p>
        </w:tc>
      </w:tr>
      <w:tr>
        <w:tc>
          <w:tcPr>
            <w:tcW w:type="dxa" w:w="54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5</w:t>
            </w:r>
          </w:p>
        </w:tc>
        <w:tc>
          <w:tcPr>
            <w:tcW w:type="dxa" w:w="25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bCs/>
                <w:color w:val="1E3A5F"/>
                <w:sz w:val="20"/>
                <w:szCs w:val="20"/>
              </w:rPr>
              <w:t xml:space="preserve">CourseCategory</w:t>
            </w:r>
          </w:p>
        </w:tc>
        <w:tc>
          <w:tcPr>
            <w:tcW w:type="dxa" w:w="18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7.8%</w:t>
            </w:r>
          </w:p>
        </w:tc>
        <w:tc>
          <w:tcPr>
            <w:tcW w:type="dxa" w:w="450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Some categories have structurally higher demand (Technology, Marketing) independent of pricing.</w:t>
            </w:r>
          </w:p>
        </w:tc>
      </w:tr>
    </w:tbl>
    <w:p>
      <w:pPr>
        <w:spacing w:after="180" w:before="60"/>
        <w:jc w:val="center"/>
      </w:pPr>
      <w:r>
        <w:rPr>
          <w:rFonts w:ascii="Arial" w:cs="Arial" w:eastAsia="Arial" w:hAnsi="Arial"/>
          <w:color w:val="555555"/>
          <w:sz w:val="19"/>
          <w:szCs w:val="19"/>
        </w:rPr>
        <w:t xml:space="preserve">Table 7: Top Enrollment Model Features by Importance</w:t>
      </w:r>
    </w:p>
    <w:p>
      <w:r>
        <w:br w:type="page"/>
      </w:r>
    </w:p>
    <w:p>
      <w:pPr>
        <w:pStyle w:val="Heading1"/>
        <w:pBdr>
          <w:bottom w:val="single" w:color="2E75B6" w:sz="6" w:space="4"/>
        </w:pBdr>
        <w:spacing w:after="180" w:before="360"/>
      </w:pPr>
      <w:r>
        <w:rPr>
          <w:rFonts w:ascii="Arial" w:cs="Arial" w:eastAsia="Arial" w:hAnsi="Arial"/>
          <w:b/>
          <w:bCs/>
          <w:caps/>
          <w:color w:val="1E3A5F"/>
          <w:sz w:val="32"/>
          <w:szCs w:val="32"/>
        </w:rPr>
        <w:t xml:space="preserve">8. Business Recommendations</w:t>
      </w:r>
    </w:p>
    <w:p>
      <w:pPr>
        <w:pStyle w:val="Heading2"/>
        <w:spacing w:after="120" w:before="280"/>
      </w:pPr>
      <w:r>
        <w:rPr>
          <w:rFonts w:ascii="Arial" w:cs="Arial" w:eastAsia="Arial" w:hAnsi="Arial"/>
          <w:b/>
          <w:bCs/>
          <w:color w:val="1A5276"/>
          <w:sz w:val="26"/>
          <w:szCs w:val="26"/>
        </w:rPr>
        <w:t xml:space="preserve">8.1 Pricing Strategy</w:t>
      </w:r>
    </w:p>
    <w:p>
      <w:pPr>
        <w:spacing w:after="120" w:before="60" w:line="276"/>
        <w:jc w:val="both"/>
      </w:pPr>
      <w:r>
        <w:rPr>
          <w:rFonts w:ascii="Arial" w:cs="Arial" w:eastAsia="Arial" w:hAnsi="Arial"/>
          <w:color w:val="1A1A1A"/>
          <w:sz w:val="22"/>
          <w:szCs w:val="22"/>
        </w:rPr>
        <w:t xml:space="preserve">The finding that CoursePrice accounts for 74.9% of revenue prediction signal has direct strategic implications. EduPro should prioritize a deliberate pricing architecture over incremental price adjustments.</w:t>
      </w:r>
    </w:p>
    <w:p>
      <w:pPr>
        <w:pStyle w:val="ListParagraph"/>
        <w:numPr>
          <w:ilvl w:val="0"/>
          <w:numId w:val="2"/>
        </w:numPr>
        <w:spacing w:after="40" w:before="40" w:line="260"/>
      </w:pPr>
      <w:r>
        <w:rPr>
          <w:rFonts w:ascii="Arial" w:cs="Arial" w:eastAsia="Arial" w:hAnsi="Arial"/>
          <w:color w:val="1A1A1A"/>
          <w:sz w:val="22"/>
          <w:szCs w:val="22"/>
        </w:rPr>
        <w:t xml:space="preserve">Establish four clearly differentiated pricing tiers: Introductory (&lt;$50), Standard ($50–$150), Professional ($150–$300), and Premium ($300+). Each tier should offer a distinct, communicated value proposition.</w:t>
      </w:r>
    </w:p>
    <w:p>
      <w:pPr>
        <w:pStyle w:val="ListParagraph"/>
        <w:numPr>
          <w:ilvl w:val="0"/>
          <w:numId w:val="2"/>
        </w:numPr>
        <w:spacing w:after="40" w:before="40" w:line="260"/>
      </w:pPr>
      <w:r>
        <w:rPr>
          <w:rFonts w:ascii="Arial" w:cs="Arial" w:eastAsia="Arial" w:hAnsi="Arial"/>
          <w:color w:val="1A1A1A"/>
          <w:sz w:val="22"/>
          <w:szCs w:val="22"/>
        </w:rPr>
        <w:t xml:space="preserve">For courses in the Standard and Professional bands, A/B test price points in $25 increments. The model predicts that moving from $150 to $200 yields approximately $50 x enrollments in additional revenue with negligible enrollment loss.</w:t>
      </w:r>
    </w:p>
    <w:p>
      <w:pPr>
        <w:pStyle w:val="ListParagraph"/>
        <w:numPr>
          <w:ilvl w:val="0"/>
          <w:numId w:val="2"/>
        </w:numPr>
        <w:spacing w:after="40" w:before="40" w:line="260"/>
      </w:pPr>
      <w:r>
        <w:rPr>
          <w:rFonts w:ascii="Arial" w:cs="Arial" w:eastAsia="Arial" w:hAnsi="Arial"/>
          <w:color w:val="1A1A1A"/>
          <w:sz w:val="22"/>
          <w:szCs w:val="22"/>
        </w:rPr>
        <w:t xml:space="preserve">Consider a freemium or trial module strategy for Low-tier entry, which can serve as a funnel into higher-priced full courses.</w:t>
      </w:r>
    </w:p>
    <w:p>
      <w:pPr>
        <w:pStyle w:val="Heading2"/>
        <w:spacing w:after="120" w:before="280"/>
      </w:pPr>
      <w:r>
        <w:rPr>
          <w:rFonts w:ascii="Arial" w:cs="Arial" w:eastAsia="Arial" w:hAnsi="Arial"/>
          <w:b/>
          <w:bCs/>
          <w:color w:val="1A5276"/>
          <w:sz w:val="26"/>
          <w:szCs w:val="26"/>
        </w:rPr>
        <w:t xml:space="preserve">8.2 Course Design Recommendations</w:t>
      </w:r>
    </w:p>
    <w:p>
      <w:pPr>
        <w:spacing w:after="120" w:before="60" w:line="276"/>
        <w:jc w:val="both"/>
      </w:pPr>
      <w:r>
        <w:rPr>
          <w:rFonts w:ascii="Arial" w:cs="Arial" w:eastAsia="Arial" w:hAnsi="Arial"/>
          <w:color w:val="1A1A1A"/>
          <w:sz w:val="22"/>
          <w:szCs w:val="22"/>
        </w:rPr>
        <w:t xml:space="preserve">Duration (23.0% enrollment importance) and category selection are within the course design team's control. The following guidelines are evidence-supported:</w:t>
      </w:r>
    </w:p>
    <w:p>
      <w:pPr>
        <w:pStyle w:val="ListParagraph"/>
        <w:numPr>
          <w:ilvl w:val="0"/>
          <w:numId w:val="2"/>
        </w:numPr>
        <w:spacing w:after="40" w:before="40" w:line="260"/>
      </w:pPr>
      <w:r>
        <w:rPr>
          <w:rFonts w:ascii="Arial" w:cs="Arial" w:eastAsia="Arial" w:hAnsi="Arial"/>
          <w:color w:val="1A1A1A"/>
          <w:sz w:val="22"/>
          <w:szCs w:val="22"/>
        </w:rPr>
        <w:t xml:space="preserve">Target course durations in the 10–20 hour range for maximum enrollment appeal. This range signals substantive value without the commitment barrier of longer courses.</w:t>
      </w:r>
    </w:p>
    <w:p>
      <w:pPr>
        <w:pStyle w:val="ListParagraph"/>
        <w:numPr>
          <w:ilvl w:val="0"/>
          <w:numId w:val="2"/>
        </w:numPr>
        <w:spacing w:after="40" w:before="40" w:line="260"/>
      </w:pPr>
      <w:r>
        <w:rPr>
          <w:rFonts w:ascii="Arial" w:cs="Arial" w:eastAsia="Arial" w:hAnsi="Arial"/>
          <w:color w:val="1A1A1A"/>
          <w:sz w:val="22"/>
          <w:szCs w:val="22"/>
        </w:rPr>
        <w:t xml:space="preserve">For courses intended as standalone products, 15 hours is the empirically optimal anchor point. Courses exceeding 30 hours should be restructured as multi-module series.</w:t>
      </w:r>
    </w:p>
    <w:p>
      <w:pPr>
        <w:pStyle w:val="ListParagraph"/>
        <w:numPr>
          <w:ilvl w:val="0"/>
          <w:numId w:val="2"/>
        </w:numPr>
        <w:spacing w:after="40" w:before="40" w:line="260"/>
      </w:pPr>
      <w:r>
        <w:rPr>
          <w:rFonts w:ascii="Arial" w:cs="Arial" w:eastAsia="Arial" w:hAnsi="Arial"/>
          <w:color w:val="1A1A1A"/>
          <w:sz w:val="22"/>
          <w:szCs w:val="22"/>
        </w:rPr>
        <w:t xml:space="preserve">Prioritize course launches in Finance, Design, and Photography to maximize revenue per course. Expand the Data Science catalog (currently only 2 courses) to capture unmet market demand.</w:t>
      </w:r>
    </w:p>
    <w:p>
      <w:pPr>
        <w:pStyle w:val="Heading2"/>
        <w:spacing w:after="120" w:before="280"/>
      </w:pPr>
      <w:r>
        <w:rPr>
          <w:rFonts w:ascii="Arial" w:cs="Arial" w:eastAsia="Arial" w:hAnsi="Arial"/>
          <w:b/>
          <w:bCs/>
          <w:color w:val="1A5276"/>
          <w:sz w:val="26"/>
          <w:szCs w:val="26"/>
        </w:rPr>
        <w:t xml:space="preserve">8.3 Instructor Onboarding and Pairing</w:t>
      </w:r>
    </w:p>
    <w:p>
      <w:pPr>
        <w:spacing w:after="120" w:before="60" w:line="276"/>
        <w:jc w:val="both"/>
      </w:pPr>
      <w:r>
        <w:rPr>
          <w:rFonts w:ascii="Arial" w:cs="Arial" w:eastAsia="Arial" w:hAnsi="Arial"/>
          <w:color w:val="1A1A1A"/>
          <w:sz w:val="22"/>
          <w:szCs w:val="22"/>
        </w:rPr>
        <w:t xml:space="preserve">Instructor characteristics (TeacherRating: 9.2%, YearsOfExperience: 11.6%, ExpertiseMatch) contribute meaningfully to enrollment prediction. Strategic instructor onboarding should incorporate:</w:t>
      </w:r>
    </w:p>
    <w:p>
      <w:pPr>
        <w:pStyle w:val="ListParagraph"/>
        <w:numPr>
          <w:ilvl w:val="0"/>
          <w:numId w:val="2"/>
        </w:numPr>
        <w:spacing w:after="40" w:before="40" w:line="260"/>
      </w:pPr>
      <w:r>
        <w:rPr>
          <w:rFonts w:ascii="Arial" w:cs="Arial" w:eastAsia="Arial" w:hAnsi="Arial"/>
          <w:color w:val="1A1A1A"/>
          <w:sz w:val="22"/>
          <w:szCs w:val="22"/>
        </w:rPr>
        <w:t xml:space="preserve">Domain-matching: Assign instructors to course categories aligned with their declared expertise. The 0.8% enrollment uplift from ExpertiseMatch compounds across a large catalog.</w:t>
      </w:r>
    </w:p>
    <w:p>
      <w:pPr>
        <w:pStyle w:val="ListParagraph"/>
        <w:numPr>
          <w:ilvl w:val="0"/>
          <w:numId w:val="2"/>
        </w:numPr>
        <w:spacing w:after="40" w:before="40" w:line="260"/>
      </w:pPr>
      <w:r>
        <w:rPr>
          <w:rFonts w:ascii="Arial" w:cs="Arial" w:eastAsia="Arial" w:hAnsi="Arial"/>
          <w:color w:val="1A1A1A"/>
          <w:sz w:val="22"/>
          <w:szCs w:val="22"/>
        </w:rPr>
        <w:t xml:space="preserve">Experience threshold: Prioritize instructors with 8+ years of experience (Senior/Expert buckets) for Professional and Premium tier courses, where learners are more selective.</w:t>
      </w:r>
    </w:p>
    <w:p>
      <w:pPr>
        <w:pStyle w:val="ListParagraph"/>
        <w:numPr>
          <w:ilvl w:val="0"/>
          <w:numId w:val="2"/>
        </w:numPr>
        <w:spacing w:after="40" w:before="40" w:line="260"/>
      </w:pPr>
      <w:r>
        <w:rPr>
          <w:rFonts w:ascii="Arial" w:cs="Arial" w:eastAsia="Arial" w:hAnsi="Arial"/>
          <w:color w:val="1A1A1A"/>
          <w:sz w:val="22"/>
          <w:szCs w:val="22"/>
        </w:rPr>
        <w:t xml:space="preserve">Rating maintenance: Implement structured feedback loops — post-course surveys, mid-course check-ins — to maintain TeacherRating above 4.0 across the active instructor pool.</w:t>
      </w:r>
    </w:p>
    <w:p>
      <w:pPr>
        <w:pStyle w:val="Heading2"/>
        <w:spacing w:after="120" w:before="280"/>
      </w:pPr>
      <w:r>
        <w:rPr>
          <w:rFonts w:ascii="Arial" w:cs="Arial" w:eastAsia="Arial" w:hAnsi="Arial"/>
          <w:b/>
          <w:bCs/>
          <w:color w:val="1A5276"/>
          <w:sz w:val="26"/>
          <w:szCs w:val="26"/>
        </w:rPr>
        <w:t xml:space="preserve">8.4 Category Portfolio Strategy</w:t>
      </w:r>
    </w:p>
    <w:p>
      <w:pPr>
        <w:spacing w:after="120" w:before="60" w:line="276"/>
        <w:jc w:val="both"/>
      </w:pPr>
      <w:r>
        <w:rPr>
          <w:rFonts w:ascii="Arial" w:cs="Arial" w:eastAsia="Arial" w:hAnsi="Arial"/>
          <w:color w:val="1A1A1A"/>
          <w:sz w:val="22"/>
          <w:szCs w:val="22"/>
        </w:rPr>
        <w:t xml:space="preserve">Category-level analysis supports the following portfolio decisions:</w:t>
      </w:r>
    </w:p>
    <w:p>
      <w:pPr>
        <w:pStyle w:val="ListParagraph"/>
        <w:numPr>
          <w:ilvl w:val="0"/>
          <w:numId w:val="2"/>
        </w:numPr>
        <w:spacing w:after="40" w:before="40" w:line="260"/>
      </w:pPr>
      <w:r>
        <w:rPr>
          <w:rFonts w:ascii="Arial" w:cs="Arial" w:eastAsia="Arial" w:hAnsi="Arial"/>
          <w:color w:val="1A1A1A"/>
          <w:sz w:val="22"/>
          <w:szCs w:val="22"/>
        </w:rPr>
        <w:t xml:space="preserve">Finance and Design: Revenue leaders with high price-per-course. Invest in quality improvement and expand catalog depth.</w:t>
      </w:r>
    </w:p>
    <w:p>
      <w:pPr>
        <w:pStyle w:val="ListParagraph"/>
        <w:numPr>
          <w:ilvl w:val="0"/>
          <w:numId w:val="2"/>
        </w:numPr>
        <w:spacing w:after="40" w:before="40" w:line="260"/>
      </w:pPr>
      <w:r>
        <w:rPr>
          <w:rFonts w:ascii="Arial" w:cs="Arial" w:eastAsia="Arial" w:hAnsi="Arial"/>
          <w:color w:val="1A1A1A"/>
          <w:sz w:val="22"/>
          <w:szCs w:val="22"/>
        </w:rPr>
        <w:t xml:space="preserve">Marketing and Technology: Enrollment leaders with lower average prices. Leverage high volume for upselling to premium courses.</w:t>
      </w:r>
    </w:p>
    <w:p>
      <w:pPr>
        <w:pStyle w:val="ListParagraph"/>
        <w:numPr>
          <w:ilvl w:val="0"/>
          <w:numId w:val="2"/>
        </w:numPr>
        <w:spacing w:after="40" w:before="40" w:line="260"/>
      </w:pPr>
      <w:r>
        <w:rPr>
          <w:rFonts w:ascii="Arial" w:cs="Arial" w:eastAsia="Arial" w:hAnsi="Arial"/>
          <w:color w:val="1A1A1A"/>
          <w:sz w:val="22"/>
          <w:szCs w:val="22"/>
        </w:rPr>
        <w:t xml:space="preserve">Data Science: Significant untapped potential. Only 2 courses generating $71,527 — extrapolation suggests a 10-course catalog could yield $350K+ at current price points.</w:t>
      </w:r>
    </w:p>
    <w:p>
      <w:pPr>
        <w:pStyle w:val="ListParagraph"/>
        <w:numPr>
          <w:ilvl w:val="0"/>
          <w:numId w:val="2"/>
        </w:numPr>
        <w:spacing w:after="40" w:before="40" w:line="260"/>
      </w:pPr>
      <w:r>
        <w:rPr>
          <w:rFonts w:ascii="Arial" w:cs="Arial" w:eastAsia="Arial" w:hAnsi="Arial"/>
          <w:color w:val="1A1A1A"/>
          <w:sz w:val="22"/>
          <w:szCs w:val="22"/>
        </w:rPr>
        <w:t xml:space="preserve">Language: Moderate performance across both dimensions. Consider specialization (e.g., Business English, Technical Japanese) to differentiate and command premium pricing.</w:t>
      </w:r>
    </w:p>
    <w:p>
      <w:r>
        <w:br w:type="page"/>
      </w:r>
    </w:p>
    <w:p>
      <w:pPr>
        <w:pStyle w:val="Heading1"/>
        <w:pBdr>
          <w:bottom w:val="single" w:color="2E75B6" w:sz="6" w:space="4"/>
        </w:pBdr>
        <w:spacing w:after="180" w:before="360"/>
      </w:pPr>
      <w:r>
        <w:rPr>
          <w:rFonts w:ascii="Arial" w:cs="Arial" w:eastAsia="Arial" w:hAnsi="Arial"/>
          <w:b/>
          <w:bCs/>
          <w:caps/>
          <w:color w:val="1E3A5F"/>
          <w:sz w:val="32"/>
          <w:szCs w:val="32"/>
        </w:rPr>
        <w:t xml:space="preserve">9. Streamlit Dashboard</w:t>
      </w:r>
    </w:p>
    <w:p>
      <w:pPr>
        <w:pStyle w:val="Heading2"/>
        <w:spacing w:after="120" w:before="280"/>
      </w:pPr>
      <w:r>
        <w:rPr>
          <w:rFonts w:ascii="Arial" w:cs="Arial" w:eastAsia="Arial" w:hAnsi="Arial"/>
          <w:b/>
          <w:bCs/>
          <w:color w:val="1A5276"/>
          <w:sz w:val="26"/>
          <w:szCs w:val="26"/>
        </w:rPr>
        <w:t xml:space="preserve">9.1 Architecture</w:t>
      </w:r>
    </w:p>
    <w:p>
      <w:pPr>
        <w:spacing w:after="120" w:before="60" w:line="276"/>
        <w:jc w:val="both"/>
      </w:pPr>
      <w:r>
        <w:rPr>
          <w:rFonts w:ascii="Arial" w:cs="Arial" w:eastAsia="Arial" w:hAnsi="Arial"/>
          <w:color w:val="1A1A1A"/>
          <w:sz w:val="22"/>
          <w:szCs w:val="22"/>
        </w:rPr>
        <w:t xml:space="preserve">A Streamlit web application was developed to operationalize the predictive models for use by non-technical stakeholders including course managers, pricing analysts, and executive leadership. The dashboard is structured around six interactive modules, each addressing a distinct decision support need.</w:t>
      </w:r>
    </w:p>
    <w:p>
      <w:pPr>
        <w:pStyle w:val="Heading2"/>
        <w:spacing w:after="120" w:before="280"/>
      </w:pPr>
      <w:r>
        <w:rPr>
          <w:rFonts w:ascii="Arial" w:cs="Arial" w:eastAsia="Arial" w:hAnsi="Arial"/>
          <w:b/>
          <w:bCs/>
          <w:color w:val="1A5276"/>
          <w:sz w:val="26"/>
          <w:szCs w:val="26"/>
        </w:rPr>
        <w:t xml:space="preserve">9.2 Module Descriptions</w:t>
      </w:r>
    </w:p>
    <w:p>
      <w:pPr>
        <w:pStyle w:val="Heading3"/>
        <w:spacing w:after="80" w:before="200"/>
      </w:pPr>
      <w:r>
        <w:rPr>
          <w:rFonts w:ascii="Arial" w:cs="Arial" w:eastAsia="Arial" w:hAnsi="Arial"/>
          <w:b/>
          <w:bCs/>
          <w:color w:val="2E75B6"/>
          <w:sz w:val="23"/>
          <w:szCs w:val="23"/>
        </w:rPr>
        <w:t xml:space="preserve">Platform Overview</w:t>
      </w:r>
    </w:p>
    <w:p>
      <w:pPr>
        <w:spacing w:after="120" w:before="60" w:line="276"/>
        <w:jc w:val="both"/>
      </w:pPr>
      <w:r>
        <w:rPr>
          <w:rFonts w:ascii="Arial" w:cs="Arial" w:eastAsia="Arial" w:hAnsi="Arial"/>
          <w:color w:val="1A1A1A"/>
          <w:sz w:val="22"/>
          <w:szCs w:val="22"/>
        </w:rPr>
        <w:t xml:space="preserve">Displays five KPI cards (Total Revenue, Enrollments, Avg Price, Avg Rating, Teachers) alongside an interactive bar chart of revenue by category, a top-10 revenue courses list, and a Price vs Revenue scatter plot for all 60 courses.</w:t>
      </w:r>
    </w:p>
    <w:p>
      <w:pPr>
        <w:pStyle w:val="Heading3"/>
        <w:spacing w:after="80" w:before="200"/>
      </w:pPr>
      <w:r>
        <w:rPr>
          <w:rFonts w:ascii="Arial" w:cs="Arial" w:eastAsia="Arial" w:hAnsi="Arial"/>
          <w:b/>
          <w:bCs/>
          <w:color w:val="2E75B6"/>
          <w:sz w:val="23"/>
          <w:szCs w:val="23"/>
        </w:rPr>
        <w:t xml:space="preserve">ML Model Evaluation</w:t>
      </w:r>
    </w:p>
    <w:p>
      <w:pPr>
        <w:spacing w:after="120" w:before="60" w:line="276"/>
        <w:jc w:val="both"/>
      </w:pPr>
      <w:r>
        <w:rPr>
          <w:rFonts w:ascii="Arial" w:cs="Arial" w:eastAsia="Arial" w:hAnsi="Arial"/>
          <w:color w:val="1A1A1A"/>
          <w:sz w:val="22"/>
          <w:szCs w:val="22"/>
        </w:rPr>
        <w:t xml:space="preserve">Presents comparative R2, MAE, and RMSE metrics for all five models across both prediction targets. A toggle allows the user to switch between Revenue and Enrollment views. An EDA insights panel surfaces plain-language interpretations of key statistical findings.</w:t>
      </w:r>
    </w:p>
    <w:p>
      <w:pPr>
        <w:pStyle w:val="Heading3"/>
        <w:spacing w:after="80" w:before="200"/>
      </w:pPr>
      <w:r>
        <w:rPr>
          <w:rFonts w:ascii="Arial" w:cs="Arial" w:eastAsia="Arial" w:hAnsi="Arial"/>
          <w:b/>
          <w:bCs/>
          <w:color w:val="2E75B6"/>
          <w:sz w:val="23"/>
          <w:szCs w:val="23"/>
        </w:rPr>
        <w:t xml:space="preserve">Feature Importance Explorer</w:t>
      </w:r>
    </w:p>
    <w:p>
      <w:pPr>
        <w:spacing w:after="120" w:before="60" w:line="276"/>
        <w:jc w:val="both"/>
      </w:pPr>
      <w:r>
        <w:rPr>
          <w:rFonts w:ascii="Arial" w:cs="Arial" w:eastAsia="Arial" w:hAnsi="Arial"/>
          <w:color w:val="1A1A1A"/>
          <w:sz w:val="22"/>
          <w:szCs w:val="22"/>
        </w:rPr>
        <w:t xml:space="preserve">Renders horizontal importance bar charts and radar plots for both model targets. A business recommendations panel translates each top feature's statistical weight into a specific strategic action.</w:t>
      </w:r>
    </w:p>
    <w:p>
      <w:pPr>
        <w:pStyle w:val="Heading3"/>
        <w:spacing w:after="80" w:before="200"/>
      </w:pPr>
      <w:r>
        <w:rPr>
          <w:rFonts w:ascii="Arial" w:cs="Arial" w:eastAsia="Arial" w:hAnsi="Arial"/>
          <w:b/>
          <w:bCs/>
          <w:color w:val="2E75B6"/>
          <w:sz w:val="23"/>
          <w:szCs w:val="23"/>
        </w:rPr>
        <w:t xml:space="preserve">Category Demand Analysis</w:t>
      </w:r>
    </w:p>
    <w:p>
      <w:pPr>
        <w:spacing w:after="120" w:before="60" w:line="276"/>
        <w:jc w:val="both"/>
      </w:pPr>
      <w:r>
        <w:rPr>
          <w:rFonts w:ascii="Arial" w:cs="Arial" w:eastAsia="Arial" w:hAnsi="Arial"/>
          <w:color w:val="1A1A1A"/>
          <w:sz w:val="22"/>
          <w:szCs w:val="22"/>
        </w:rPr>
        <w:t xml:space="preserve">Allows users to switch between Total Revenue, Enrollments, Avg Price, and Revenue-per-Student metrics across all 10 course categories. Individual category scorecards present condensed performance summaries.</w:t>
      </w:r>
    </w:p>
    <w:p>
      <w:pPr>
        <w:pStyle w:val="Heading3"/>
        <w:spacing w:after="80" w:before="200"/>
      </w:pPr>
      <w:r>
        <w:rPr>
          <w:rFonts w:ascii="Arial" w:cs="Arial" w:eastAsia="Arial" w:hAnsi="Arial"/>
          <w:b/>
          <w:bCs/>
          <w:color w:val="2E75B6"/>
          <w:sz w:val="23"/>
          <w:szCs w:val="23"/>
        </w:rPr>
        <w:t xml:space="preserve">Demand Predictor</w:t>
      </w:r>
    </w:p>
    <w:p>
      <w:pPr>
        <w:spacing w:after="120" w:before="60" w:line="276"/>
        <w:jc w:val="both"/>
      </w:pPr>
      <w:r>
        <w:rPr>
          <w:rFonts w:ascii="Arial" w:cs="Arial" w:eastAsia="Arial" w:hAnsi="Arial"/>
          <w:color w:val="1A1A1A"/>
          <w:sz w:val="22"/>
          <w:szCs w:val="22"/>
        </w:rPr>
        <w:t xml:space="preserve">Provides five interactive sliders (Course Price, Duration, Rating, Teacher Rating, Experience) that update enrollment and revenue forecasts in real-time using the Gradient Boosting model. A price sensitivity chart shows the enrollment/revenue trade-off across the $10–$500 price range. Contextual optimization tips appear based on slider configurations.</w:t>
      </w:r>
    </w:p>
    <w:p>
      <w:pPr>
        <w:pStyle w:val="Heading3"/>
        <w:spacing w:after="80" w:before="200"/>
      </w:pPr>
      <w:r>
        <w:rPr>
          <w:rFonts w:ascii="Arial" w:cs="Arial" w:eastAsia="Arial" w:hAnsi="Arial"/>
          <w:b/>
          <w:bCs/>
          <w:color w:val="2E75B6"/>
          <w:sz w:val="23"/>
          <w:szCs w:val="23"/>
        </w:rPr>
        <w:t xml:space="preserve">Course Explorer</w:t>
      </w:r>
    </w:p>
    <w:p>
      <w:pPr>
        <w:spacing w:after="120" w:before="60" w:line="276"/>
        <w:jc w:val="both"/>
      </w:pPr>
      <w:r>
        <w:rPr>
          <w:rFonts w:ascii="Arial" w:cs="Arial" w:eastAsia="Arial" w:hAnsi="Arial"/>
          <w:color w:val="1A1A1A"/>
          <w:sz w:val="22"/>
          <w:szCs w:val="22"/>
        </w:rPr>
        <w:t xml:space="preserve">A filterable, sortable table of all 60 courses with category, level, type, price, rating, enrollment, and revenue columns. Includes Price vs Revenue scatter and Revenue by Rating Tier pie chart for the filtered subset. Supports CSV export.</w:t>
      </w:r>
    </w:p>
    <w:p>
      <w:pPr>
        <w:pStyle w:val="Heading2"/>
        <w:spacing w:after="120" w:before="280"/>
      </w:pPr>
      <w:r>
        <w:rPr>
          <w:rFonts w:ascii="Arial" w:cs="Arial" w:eastAsia="Arial" w:hAnsi="Arial"/>
          <w:b/>
          <w:bCs/>
          <w:color w:val="1A5276"/>
          <w:sz w:val="26"/>
          <w:szCs w:val="26"/>
        </w:rPr>
        <w:t xml:space="preserve">9.3 Technical Implementation</w:t>
      </w:r>
    </w:p>
    <w:p>
      <w:pPr>
        <w:spacing w:after="120" w:before="60" w:line="276"/>
        <w:jc w:val="both"/>
      </w:pPr>
      <w:r>
        <w:rPr>
          <w:rFonts w:ascii="Arial" w:cs="Arial" w:eastAsia="Arial" w:hAnsi="Arial"/>
          <w:color w:val="1A1A1A"/>
          <w:sz w:val="22"/>
          <w:szCs w:val="22"/>
        </w:rPr>
        <w:t xml:space="preserve">The dashboard is implemented in Python using Streamlit 1.28+, Plotly Express 5.15+, and scikit-learn 1.3+. Models are serialized using Python's pickle module and loaded at application startup. All visualizations use a consistent dark-theme color palette (background: #0a0f1e, primary: #6366f1, success: #10b981) to ensure visual consistency and professional presentation in both light and dark viewing environments.</w:t>
      </w:r>
    </w:p>
    <w:p>
      <w:pPr>
        <w:spacing w:after="120" w:before="60" w:line="276"/>
        <w:jc w:val="both"/>
      </w:pPr>
      <w:r>
        <w:rPr>
          <w:rFonts w:ascii="Arial" w:cs="Arial" w:eastAsia="Arial" w:hAnsi="Arial"/>
          <w:color w:val="1A1A1A"/>
          <w:sz w:val="22"/>
          <w:szCs w:val="22"/>
        </w:rPr>
        <w:t xml:space="preserve">The application is organized as a single-page multi-tab interface with sidebar navigation. Data processing is cached using Streamlit's @st.cache_data decorator to prevent redundant computation on user interaction. The dashboard is launched via: streamlit run 4_streamlit_app.py</w:t>
      </w:r>
    </w:p>
    <w:p>
      <w:pPr>
        <w:pStyle w:val="Heading1"/>
        <w:pBdr>
          <w:bottom w:val="single" w:color="2E75B6" w:sz="6" w:space="4"/>
        </w:pBdr>
        <w:spacing w:after="180" w:before="360"/>
      </w:pPr>
      <w:r>
        <w:rPr>
          <w:rFonts w:ascii="Arial" w:cs="Arial" w:eastAsia="Arial" w:hAnsi="Arial"/>
          <w:b/>
          <w:bCs/>
          <w:caps/>
          <w:color w:val="1E3A5F"/>
          <w:sz w:val="32"/>
          <w:szCs w:val="32"/>
        </w:rPr>
        <w:t xml:space="preserve">10. Limitations and Future Work</w:t>
      </w:r>
    </w:p>
    <w:p>
      <w:pPr>
        <w:pStyle w:val="Heading2"/>
        <w:spacing w:after="120" w:before="280"/>
      </w:pPr>
      <w:r>
        <w:rPr>
          <w:rFonts w:ascii="Arial" w:cs="Arial" w:eastAsia="Arial" w:hAnsi="Arial"/>
          <w:b/>
          <w:bCs/>
          <w:color w:val="1A5276"/>
          <w:sz w:val="26"/>
          <w:szCs w:val="26"/>
        </w:rPr>
        <w:t xml:space="preserve">10.1 Limitations</w:t>
      </w:r>
    </w:p>
    <w:p>
      <w:pPr>
        <w:pStyle w:val="ListParagraph"/>
        <w:numPr>
          <w:ilvl w:val="0"/>
          <w:numId w:val="2"/>
        </w:numPr>
        <w:spacing w:after="40" w:before="40" w:line="260"/>
      </w:pPr>
      <w:r>
        <w:rPr>
          <w:rFonts w:ascii="Arial" w:cs="Arial" w:eastAsia="Arial" w:hAnsi="Arial"/>
          <w:color w:val="1A1A1A"/>
          <w:sz w:val="22"/>
          <w:szCs w:val="22"/>
        </w:rPr>
        <w:t xml:space="preserve">Synthetic data constraints: The dataset was synthetically generated to match the EduPro schema. Real platform data would contain temporal dependencies, user behavior sequences, and seasonal patterns that this study cannot model.</w:t>
      </w:r>
    </w:p>
    <w:p>
      <w:pPr>
        <w:pStyle w:val="ListParagraph"/>
        <w:numPr>
          <w:ilvl w:val="0"/>
          <w:numId w:val="2"/>
        </w:numPr>
        <w:spacing w:after="40" w:before="40" w:line="260"/>
      </w:pPr>
      <w:r>
        <w:rPr>
          <w:rFonts w:ascii="Arial" w:cs="Arial" w:eastAsia="Arial" w:hAnsi="Arial"/>
          <w:color w:val="1A1A1A"/>
          <w:sz w:val="22"/>
          <w:szCs w:val="22"/>
        </w:rPr>
        <w:t xml:space="preserve">Enrollment distribution: The near-uniform enrollment distribution inherently limits R2 for enrollment models. With real-world data exhibiting greater variance (some courses genuinely attract far more students than others), enrollment model performance would substantially improve.</w:t>
      </w:r>
    </w:p>
    <w:p>
      <w:pPr>
        <w:pStyle w:val="ListParagraph"/>
        <w:numPr>
          <w:ilvl w:val="0"/>
          <w:numId w:val="2"/>
        </w:numPr>
        <w:spacing w:after="40" w:before="40" w:line="260"/>
      </w:pPr>
      <w:r>
        <w:rPr>
          <w:rFonts w:ascii="Arial" w:cs="Arial" w:eastAsia="Arial" w:hAnsi="Arial"/>
          <w:color w:val="1A1A1A"/>
          <w:sz w:val="22"/>
          <w:szCs w:val="22"/>
        </w:rPr>
        <w:t xml:space="preserve">Static features only: The current feature set captures course and instructor attributes at a point in time. Dynamic features — course completion rates, review recency, trending topics — would enrich predictive power.</w:t>
      </w:r>
    </w:p>
    <w:p>
      <w:pPr>
        <w:pStyle w:val="ListParagraph"/>
        <w:numPr>
          <w:ilvl w:val="0"/>
          <w:numId w:val="2"/>
        </w:numPr>
        <w:spacing w:after="40" w:before="40" w:line="260"/>
      </w:pPr>
      <w:r>
        <w:rPr>
          <w:rFonts w:ascii="Arial" w:cs="Arial" w:eastAsia="Arial" w:hAnsi="Arial"/>
          <w:color w:val="1A1A1A"/>
          <w:sz w:val="22"/>
          <w:szCs w:val="22"/>
        </w:rPr>
        <w:t xml:space="preserve">No user-level modeling: The study aggregates to course level. User-level demand drivers (learner demographics, prior course history, career goals) are not captured.</w:t>
      </w:r>
    </w:p>
    <w:p>
      <w:pPr>
        <w:pStyle w:val="Heading2"/>
        <w:spacing w:after="120" w:before="280"/>
      </w:pPr>
      <w:r>
        <w:rPr>
          <w:rFonts w:ascii="Arial" w:cs="Arial" w:eastAsia="Arial" w:hAnsi="Arial"/>
          <w:b/>
          <w:bCs/>
          <w:color w:val="1A5276"/>
          <w:sz w:val="26"/>
          <w:szCs w:val="26"/>
        </w:rPr>
        <w:t xml:space="preserve">10.2 Future Work</w:t>
      </w:r>
    </w:p>
    <w:p>
      <w:pPr>
        <w:pStyle w:val="ListParagraph"/>
        <w:numPr>
          <w:ilvl w:val="0"/>
          <w:numId w:val="2"/>
        </w:numPr>
        <w:spacing w:after="40" w:before="40" w:line="260"/>
      </w:pPr>
      <w:r>
        <w:rPr>
          <w:rFonts w:ascii="Arial" w:cs="Arial" w:eastAsia="Arial" w:hAnsi="Arial"/>
          <w:color w:val="1A1A1A"/>
          <w:sz w:val="22"/>
          <w:szCs w:val="22"/>
        </w:rPr>
        <w:t xml:space="preserve">Time-series forecasting: Implement ARIMA or LSTM models to forecast enrollment and revenue trends over time, enabling month-level financial planning.</w:t>
      </w:r>
    </w:p>
    <w:p>
      <w:pPr>
        <w:pStyle w:val="ListParagraph"/>
        <w:numPr>
          <w:ilvl w:val="0"/>
          <w:numId w:val="2"/>
        </w:numPr>
        <w:spacing w:after="40" w:before="40" w:line="260"/>
      </w:pPr>
      <w:r>
        <w:rPr>
          <w:rFonts w:ascii="Arial" w:cs="Arial" w:eastAsia="Arial" w:hAnsi="Arial"/>
          <w:color w:val="1A1A1A"/>
          <w:sz w:val="22"/>
          <w:szCs w:val="22"/>
        </w:rPr>
        <w:t xml:space="preserve">Natural language features: Extract features from course titles and descriptions using TF-IDF or sentence embeddings. Topic-category alignment and title clarity are likely enrollment signals.</w:t>
      </w:r>
    </w:p>
    <w:p>
      <w:pPr>
        <w:pStyle w:val="ListParagraph"/>
        <w:numPr>
          <w:ilvl w:val="0"/>
          <w:numId w:val="2"/>
        </w:numPr>
        <w:spacing w:after="40" w:before="40" w:line="260"/>
      </w:pPr>
      <w:r>
        <w:rPr>
          <w:rFonts w:ascii="Arial" w:cs="Arial" w:eastAsia="Arial" w:hAnsi="Arial"/>
          <w:color w:val="1A1A1A"/>
          <w:sz w:val="22"/>
          <w:szCs w:val="22"/>
        </w:rPr>
        <w:t xml:space="preserve">Collaborative filtering: Supplement course-level demand models with learner-level collaborative filtering to predict demand from specific user segments.</w:t>
      </w:r>
    </w:p>
    <w:p>
      <w:pPr>
        <w:pStyle w:val="ListParagraph"/>
        <w:numPr>
          <w:ilvl w:val="0"/>
          <w:numId w:val="2"/>
        </w:numPr>
        <w:spacing w:after="40" w:before="40" w:line="260"/>
      </w:pPr>
      <w:r>
        <w:rPr>
          <w:rFonts w:ascii="Arial" w:cs="Arial" w:eastAsia="Arial" w:hAnsi="Arial"/>
          <w:color w:val="1A1A1A"/>
          <w:sz w:val="22"/>
          <w:szCs w:val="22"/>
        </w:rPr>
        <w:t xml:space="preserve">Causal inference: Apply difference-in-differences or propensity score matching to estimate the causal effect of price changes, removing confounding from observational correlations.</w:t>
      </w:r>
    </w:p>
    <w:p>
      <w:pPr>
        <w:pStyle w:val="ListParagraph"/>
        <w:numPr>
          <w:ilvl w:val="0"/>
          <w:numId w:val="2"/>
        </w:numPr>
        <w:spacing w:after="40" w:before="40" w:line="260"/>
      </w:pPr>
      <w:r>
        <w:rPr>
          <w:rFonts w:ascii="Arial" w:cs="Arial" w:eastAsia="Arial" w:hAnsi="Arial"/>
          <w:color w:val="1A1A1A"/>
          <w:sz w:val="22"/>
          <w:szCs w:val="22"/>
        </w:rPr>
        <w:t xml:space="preserve">Real-time model updating: Deploy an online learning pipeline that retrains models on a rolling basis as new transaction data arrives, maintaining prediction accuracy as the catalog evolves.</w:t>
      </w:r>
    </w:p>
    <w:p>
      <w:r>
        <w:br w:type="page"/>
      </w:r>
    </w:p>
    <w:p>
      <w:pPr>
        <w:pStyle w:val="Heading1"/>
        <w:pBdr>
          <w:bottom w:val="single" w:color="2E75B6" w:sz="6" w:space="4"/>
        </w:pBdr>
        <w:spacing w:after="180" w:before="360"/>
      </w:pPr>
      <w:r>
        <w:rPr>
          <w:rFonts w:ascii="Arial" w:cs="Arial" w:eastAsia="Arial" w:hAnsi="Arial"/>
          <w:b/>
          <w:bCs/>
          <w:caps/>
          <w:color w:val="1E3A5F"/>
          <w:sz w:val="32"/>
          <w:szCs w:val="32"/>
        </w:rPr>
        <w:t xml:space="preserve">11. Conclusion</w:t>
      </w:r>
    </w:p>
    <w:p>
      <w:pPr>
        <w:spacing w:after="120" w:before="60" w:line="276"/>
        <w:jc w:val="both"/>
      </w:pPr>
      <w:r>
        <w:rPr>
          <w:rFonts w:ascii="Arial" w:cs="Arial" w:eastAsia="Arial" w:hAnsi="Arial"/>
          <w:color w:val="1A1A1A"/>
          <w:sz w:val="22"/>
          <w:szCs w:val="22"/>
        </w:rPr>
        <w:t xml:space="preserve">This research paper has demonstrated the feasibility and value of applying machine learning regression models to predict course enrollment demand and revenue for EduPro, an online learning platform. Through systematic data integration, feature engineering, and comparative model evaluation, we show that:</w:t>
      </w:r>
    </w:p>
    <w:p>
      <w:pPr>
        <w:pStyle w:val="ListParagraph"/>
        <w:numPr>
          <w:ilvl w:val="0"/>
          <w:numId w:val="2"/>
        </w:numPr>
        <w:spacing w:after="40" w:before="40" w:line="260"/>
      </w:pPr>
      <w:r>
        <w:rPr>
          <w:rFonts w:ascii="Arial" w:cs="Arial" w:eastAsia="Arial" w:hAnsi="Arial"/>
          <w:color w:val="1A1A1A"/>
          <w:sz w:val="22"/>
          <w:szCs w:val="22"/>
        </w:rPr>
        <w:t xml:space="preserve">Revenue is highly predictable (R2 = 0.976) using Gradient Boosting, with CoursePrice as the dominant predictor accounting for 74.9% of model signal. This finding validates pricing as the primary lever for revenue optimization.</w:t>
      </w:r>
    </w:p>
    <w:p>
      <w:pPr>
        <w:pStyle w:val="ListParagraph"/>
        <w:numPr>
          <w:ilvl w:val="0"/>
          <w:numId w:val="2"/>
        </w:numPr>
        <w:spacing w:after="40" w:before="40" w:line="260"/>
      </w:pPr>
      <w:r>
        <w:rPr>
          <w:rFonts w:ascii="Arial" w:cs="Arial" w:eastAsia="Arial" w:hAnsi="Arial"/>
          <w:color w:val="1A1A1A"/>
          <w:sz w:val="22"/>
          <w:szCs w:val="22"/>
        </w:rPr>
        <w:t xml:space="preserve">Enrollment prediction faces an inherent challenge due to low target variance in the current dataset, but Gradient Boosting achieves the best MAE of 8.89 students — operationally useful for capacity and resource planning.</w:t>
      </w:r>
    </w:p>
    <w:p>
      <w:pPr>
        <w:pStyle w:val="ListParagraph"/>
        <w:numPr>
          <w:ilvl w:val="0"/>
          <w:numId w:val="2"/>
        </w:numPr>
        <w:spacing w:after="40" w:before="40" w:line="260"/>
      </w:pPr>
      <w:r>
        <w:rPr>
          <w:rFonts w:ascii="Arial" w:cs="Arial" w:eastAsia="Arial" w:hAnsi="Arial"/>
          <w:color w:val="1A1A1A"/>
          <w:sz w:val="22"/>
          <w:szCs w:val="22"/>
        </w:rPr>
        <w:t xml:space="preserve">Feature engineering substantially enriches the predictive signal, particularly the PriceBand tier variable (22.2% revenue importance) and the CourseDuration bucket (23.0% enrollment importance).</w:t>
      </w:r>
    </w:p>
    <w:p>
      <w:pPr>
        <w:pStyle w:val="ListParagraph"/>
        <w:numPr>
          <w:ilvl w:val="0"/>
          <w:numId w:val="2"/>
        </w:numPr>
        <w:spacing w:after="40" w:before="40" w:line="260"/>
      </w:pPr>
      <w:r>
        <w:rPr>
          <w:rFonts w:ascii="Arial" w:cs="Arial" w:eastAsia="Arial" w:hAnsi="Arial"/>
          <w:color w:val="1A1A1A"/>
          <w:sz w:val="22"/>
          <w:szCs w:val="22"/>
        </w:rPr>
        <w:t xml:space="preserve">A six-module Streamlit dashboard operationalizes these models for non-technical stakeholders, enabling real-time demand forecasting through an intuitive slider interface.</w:t>
      </w:r>
    </w:p>
    <w:p>
      <w:pPr>
        <w:spacing w:after="0" w:before="80"/>
      </w:pPr>
      <w:r>
        <w:t xml:space="preserve"/>
      </w:r>
    </w:p>
    <w:p>
      <w:pPr>
        <w:spacing w:after="120" w:before="60" w:line="276"/>
        <w:jc w:val="both"/>
      </w:pPr>
      <w:r>
        <w:rPr>
          <w:rFonts w:ascii="Arial" w:cs="Arial" w:eastAsia="Arial" w:hAnsi="Arial"/>
          <w:color w:val="1A1A1A"/>
          <w:sz w:val="22"/>
          <w:szCs w:val="22"/>
        </w:rPr>
        <w:t xml:space="preserve">The strategic implications are clear: EduPro should architect a deliberate four-tier pricing structure, prioritize course durations in the 10-20 hour range, pair instructors with domain-matched categories, and expand the Data Science catalog to capture significant unrealized revenue potential.</w:t>
      </w:r>
    </w:p>
    <w:p>
      <w:pPr>
        <w:spacing w:after="120" w:before="60" w:line="276"/>
        <w:jc w:val="both"/>
      </w:pPr>
      <w:r>
        <w:rPr>
          <w:rFonts w:ascii="Arial" w:cs="Arial" w:eastAsia="Arial" w:hAnsi="Arial"/>
          <w:color w:val="1A1A1A"/>
          <w:sz w:val="22"/>
          <w:szCs w:val="22"/>
        </w:rPr>
        <w:t xml:space="preserve">This study represents a foundational step toward a fully data-driven course planning function at EduPro. With the models, codebase, and dashboard now in place, the platform is positioned to move from reactive historical reporting to proactive, evidence-based strategic planning — reducing business risk, improving resource allocation, and accelerating revenue growth.</w:t>
      </w:r>
    </w:p>
    <w:p>
      <w:pPr>
        <w:pBdr>
          <w:bottom w:val="single" w:color="D0D8E4" w:sz="2" w:space="1"/>
        </w:pBdr>
        <w:spacing w:after="40" w:before="40"/>
      </w:pPr>
      <w:r>
        <w:t xml:space="preserve"/>
      </w:r>
    </w:p>
    <w:p>
      <w:pPr>
        <w:pStyle w:val="Heading1"/>
        <w:pBdr>
          <w:bottom w:val="single" w:color="2E75B6" w:sz="6" w:space="4"/>
        </w:pBdr>
        <w:spacing w:after="180" w:before="360"/>
      </w:pPr>
      <w:r>
        <w:rPr>
          <w:rFonts w:ascii="Arial" w:cs="Arial" w:eastAsia="Arial" w:hAnsi="Arial"/>
          <w:b/>
          <w:bCs/>
          <w:caps/>
          <w:color w:val="1E3A5F"/>
          <w:sz w:val="32"/>
          <w:szCs w:val="32"/>
        </w:rPr>
        <w:t xml:space="preserve">References</w:t>
      </w:r>
    </w:p>
    <w:p>
      <w:pPr>
        <w:spacing w:after="80" w:before="80" w:line="260"/>
        <w:ind w:left="720" w:hanging="720"/>
      </w:pPr>
      <w:r>
        <w:rPr>
          <w:rFonts w:ascii="Arial" w:cs="Arial" w:eastAsia="Arial" w:hAnsi="Arial"/>
          <w:color w:val="333333"/>
          <w:sz w:val="20"/>
          <w:szCs w:val="20"/>
        </w:rPr>
        <w:t xml:space="preserve">Baker, R. S., &amp; Inventado, P. S. (2014). Educational data mining and learning analytics. In Learning analytics (pp. 61-75). Springer, New York.</w:t>
      </w:r>
    </w:p>
    <w:p>
      <w:pPr>
        <w:spacing w:after="80" w:before="80" w:line="260"/>
        <w:ind w:left="720" w:hanging="720"/>
      </w:pPr>
      <w:r>
        <w:rPr>
          <w:rFonts w:ascii="Arial" w:cs="Arial" w:eastAsia="Arial" w:hAnsi="Arial"/>
          <w:color w:val="333333"/>
          <w:sz w:val="20"/>
          <w:szCs w:val="20"/>
        </w:rPr>
        <w:t xml:space="preserve">Banerjee, A., Bhattacharyya, S., &amp; Bose, I. (2020). Whose online reviews to trust? Understanding reviewer trustworthiness and its impact on business. Decision Support Systems, 132, 113280.</w:t>
      </w:r>
    </w:p>
    <w:p>
      <w:pPr>
        <w:spacing w:after="80" w:before="80" w:line="260"/>
        <w:ind w:left="720" w:hanging="720"/>
      </w:pPr>
      <w:r>
        <w:rPr>
          <w:rFonts w:ascii="Arial" w:cs="Arial" w:eastAsia="Arial" w:hAnsi="Arial"/>
          <w:color w:val="333333"/>
          <w:sz w:val="20"/>
          <w:szCs w:val="20"/>
        </w:rPr>
        <w:t xml:space="preserve">Breiman, L. (2001). Random forests. Machine Learning, 45(1), 5-32.</w:t>
      </w:r>
    </w:p>
    <w:p>
      <w:pPr>
        <w:spacing w:after="80" w:before="80" w:line="260"/>
        <w:ind w:left="720" w:hanging="720"/>
      </w:pPr>
      <w:r>
        <w:rPr>
          <w:rFonts w:ascii="Arial" w:cs="Arial" w:eastAsia="Arial" w:hAnsi="Arial"/>
          <w:color w:val="333333"/>
          <w:sz w:val="20"/>
          <w:szCs w:val="20"/>
        </w:rPr>
        <w:t xml:space="preserve">Friedman, J. H. (2001). Greedy function approximation: a gradient boosting machine. Annals of Statistics, 29(5), 1189-1232.</w:t>
      </w:r>
    </w:p>
    <w:p>
      <w:pPr>
        <w:spacing w:after="80" w:before="80" w:line="260"/>
        <w:ind w:left="720" w:hanging="720"/>
      </w:pPr>
      <w:r>
        <w:rPr>
          <w:rFonts w:ascii="Arial" w:cs="Arial" w:eastAsia="Arial" w:hAnsi="Arial"/>
          <w:color w:val="333333"/>
          <w:sz w:val="20"/>
          <w:szCs w:val="20"/>
        </w:rPr>
        <w:t xml:space="preserve">Hastie, T., Tibshirani, R., &amp; Friedman, J. (2009). The elements of statistical learning: data mining, inference, and prediction (2nd ed.). Springer.</w:t>
      </w:r>
    </w:p>
    <w:p>
      <w:pPr>
        <w:spacing w:after="80" w:before="80" w:line="260"/>
        <w:ind w:left="720" w:hanging="720"/>
      </w:pPr>
      <w:r>
        <w:rPr>
          <w:rFonts w:ascii="Arial" w:cs="Arial" w:eastAsia="Arial" w:hAnsi="Arial"/>
          <w:color w:val="333333"/>
          <w:sz w:val="20"/>
          <w:szCs w:val="20"/>
        </w:rPr>
        <w:t xml:space="preserve">Pedregosa, F., Varoquaux, G., Gramfort, A., et al. (2011). Scikit-learn: Machine learning in Python. Journal of Machine Learning Research, 12, 2825-2830.</w:t>
      </w:r>
    </w:p>
    <w:p>
      <w:pPr>
        <w:spacing w:after="80" w:before="80" w:line="260"/>
        <w:ind w:left="720" w:hanging="720"/>
      </w:pPr>
      <w:r>
        <w:rPr>
          <w:rFonts w:ascii="Arial" w:cs="Arial" w:eastAsia="Arial" w:hAnsi="Arial"/>
          <w:color w:val="333333"/>
          <w:sz w:val="20"/>
          <w:szCs w:val="20"/>
        </w:rPr>
        <w:t xml:space="preserve">Romero, C., &amp; Ventura, S. (2010). Educational data mining: A review of the state of the art. IEEE Transactions on Systems, Man, and Cybernetics Part C: Applications and Reviews, 40(6), 601-618.</w:t>
      </w:r>
    </w:p>
    <w:p>
      <w:pPr>
        <w:spacing w:after="80" w:before="80" w:line="260"/>
        <w:ind w:left="720" w:hanging="720"/>
      </w:pPr>
      <w:r>
        <w:rPr>
          <w:rFonts w:ascii="Arial" w:cs="Arial" w:eastAsia="Arial" w:hAnsi="Arial"/>
          <w:color w:val="333333"/>
          <w:sz w:val="20"/>
          <w:szCs w:val="20"/>
        </w:rPr>
        <w:t xml:space="preserve">Tibshirani, R. (1996). Regression shrinkage and selection via the lasso. Journal of the Royal Statistical Society: Series B (Methodological), 58(1), 267-288.</w:t>
      </w:r>
    </w:p>
    <w:p>
      <w:pPr>
        <w:spacing w:after="80" w:before="80" w:line="260"/>
        <w:ind w:left="720" w:hanging="720"/>
      </w:pPr>
      <w:r>
        <w:rPr>
          <w:rFonts w:ascii="Arial" w:cs="Arial" w:eastAsia="Arial" w:hAnsi="Arial"/>
          <w:color w:val="333333"/>
          <w:sz w:val="20"/>
          <w:szCs w:val="20"/>
        </w:rPr>
        <w:t xml:space="preserve">Zheng, S., Rosson, M. B., Shih, P. C., &amp; Carroll, J. M. (2019). Understanding student motivation, behaviors, and perceptions in MOOCs. In Proceedings of the 18th ACM conference on computer supported cooperative work (pp. 1882-1895).</w:t>
      </w:r>
    </w:p>
    <w:p>
      <w:pPr>
        <w:spacing w:after="0" w:before="240"/>
      </w:pPr>
      <w:r>
        <w:t xml:space="preserve"/>
      </w:r>
    </w:p>
    <w:p>
      <w:pPr>
        <w:pStyle w:val="Heading1"/>
        <w:pBdr>
          <w:bottom w:val="single" w:color="2E75B6" w:sz="6" w:space="4"/>
        </w:pBdr>
        <w:spacing w:after="180" w:before="360"/>
      </w:pPr>
      <w:r>
        <w:rPr>
          <w:rFonts w:ascii="Arial" w:cs="Arial" w:eastAsia="Arial" w:hAnsi="Arial"/>
          <w:b/>
          <w:bCs/>
          <w:caps/>
          <w:color w:val="1E3A5F"/>
          <w:sz w:val="32"/>
          <w:szCs w:val="32"/>
        </w:rPr>
        <w:t xml:space="preserve">Appendix A: Model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320"/>
      </w:tblGrid>
      <w:tr>
        <w:tc>
          <w:tcPr>
            <w:tcW w:type="dxa" w:w="252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Model</w:t>
            </w:r>
          </w:p>
        </w:tc>
        <w:tc>
          <w:tcPr>
            <w:tcW w:type="dxa" w:w="252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w:t>
            </w:r>
          </w:p>
        </w:tc>
        <w:tc>
          <w:tcPr>
            <w:tcW w:type="dxa" w:w="4320"/>
            <w:tcBorders>
              <w:top w:val="single" w:color="C5D3E0" w:sz="1"/>
              <w:left w:val="single" w:color="C5D3E0" w:sz="1"/>
              <w:bottom w:val="single" w:color="C5D3E0" w:sz="1"/>
              <w:right w:val="single" w:color="C5D3E0"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25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Random Forest</w:t>
            </w:r>
          </w:p>
        </w:tc>
        <w:tc>
          <w:tcPr>
            <w:tcW w:type="dxa" w:w="25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n_estimators</w:t>
            </w:r>
          </w:p>
        </w:tc>
        <w:tc>
          <w:tcPr>
            <w:tcW w:type="dxa" w:w="43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200</w:t>
            </w:r>
          </w:p>
        </w:tc>
      </w:tr>
      <w:tr>
        <w:tc>
          <w:tcPr>
            <w:tcW w:type="dxa" w:w="252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Random Forest</w:t>
            </w:r>
          </w:p>
        </w:tc>
        <w:tc>
          <w:tcPr>
            <w:tcW w:type="dxa" w:w="252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max_depth</w:t>
            </w:r>
          </w:p>
        </w:tc>
        <w:tc>
          <w:tcPr>
            <w:tcW w:type="dxa" w:w="432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10</w:t>
            </w:r>
          </w:p>
        </w:tc>
      </w:tr>
      <w:tr>
        <w:tc>
          <w:tcPr>
            <w:tcW w:type="dxa" w:w="25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Random Forest</w:t>
            </w:r>
          </w:p>
        </w:tc>
        <w:tc>
          <w:tcPr>
            <w:tcW w:type="dxa" w:w="25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min_samples_split</w:t>
            </w:r>
          </w:p>
        </w:tc>
        <w:tc>
          <w:tcPr>
            <w:tcW w:type="dxa" w:w="43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3</w:t>
            </w:r>
          </w:p>
        </w:tc>
      </w:tr>
      <w:tr>
        <w:tc>
          <w:tcPr>
            <w:tcW w:type="dxa" w:w="252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Gradient Boosting</w:t>
            </w:r>
          </w:p>
        </w:tc>
        <w:tc>
          <w:tcPr>
            <w:tcW w:type="dxa" w:w="252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n_estimators</w:t>
            </w:r>
          </w:p>
        </w:tc>
        <w:tc>
          <w:tcPr>
            <w:tcW w:type="dxa" w:w="432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200</w:t>
            </w:r>
          </w:p>
        </w:tc>
      </w:tr>
      <w:tr>
        <w:tc>
          <w:tcPr>
            <w:tcW w:type="dxa" w:w="25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Gradient Boosting</w:t>
            </w:r>
          </w:p>
        </w:tc>
        <w:tc>
          <w:tcPr>
            <w:tcW w:type="dxa" w:w="25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learning_rate</w:t>
            </w:r>
          </w:p>
        </w:tc>
        <w:tc>
          <w:tcPr>
            <w:tcW w:type="dxa" w:w="43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0.05</w:t>
            </w:r>
          </w:p>
        </w:tc>
      </w:tr>
      <w:tr>
        <w:tc>
          <w:tcPr>
            <w:tcW w:type="dxa" w:w="252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Gradient Boosting</w:t>
            </w:r>
          </w:p>
        </w:tc>
        <w:tc>
          <w:tcPr>
            <w:tcW w:type="dxa" w:w="252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max_depth</w:t>
            </w:r>
          </w:p>
        </w:tc>
        <w:tc>
          <w:tcPr>
            <w:tcW w:type="dxa" w:w="432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4</w:t>
            </w:r>
          </w:p>
        </w:tc>
      </w:tr>
      <w:tr>
        <w:tc>
          <w:tcPr>
            <w:tcW w:type="dxa" w:w="25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Ridge</w:t>
            </w:r>
          </w:p>
        </w:tc>
        <w:tc>
          <w:tcPr>
            <w:tcW w:type="dxa" w:w="25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alpha</w:t>
            </w:r>
          </w:p>
        </w:tc>
        <w:tc>
          <w:tcPr>
            <w:tcW w:type="dxa" w:w="43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1.0</w:t>
            </w:r>
          </w:p>
        </w:tc>
      </w:tr>
      <w:tr>
        <w:tc>
          <w:tcPr>
            <w:tcW w:type="dxa" w:w="252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Lasso</w:t>
            </w:r>
          </w:p>
        </w:tc>
        <w:tc>
          <w:tcPr>
            <w:tcW w:type="dxa" w:w="252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alpha</w:t>
            </w:r>
          </w:p>
        </w:tc>
        <w:tc>
          <w:tcPr>
            <w:tcW w:type="dxa" w:w="4320"/>
            <w:tcBorders>
              <w:top w:val="single" w:color="C5D3E0" w:sz="1"/>
              <w:left w:val="single" w:color="C5D3E0" w:sz="1"/>
              <w:bottom w:val="single" w:color="C5D3E0" w:sz="1"/>
              <w:right w:val="single" w:color="C5D3E0" w:sz="1"/>
            </w:tcBorders>
            <w:shd w:fill="F2F5F9"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0.1</w:t>
            </w:r>
          </w:p>
        </w:tc>
      </w:tr>
      <w:tr>
        <w:tc>
          <w:tcPr>
            <w:tcW w:type="dxa" w:w="25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Lasso</w:t>
            </w:r>
          </w:p>
        </w:tc>
        <w:tc>
          <w:tcPr>
            <w:tcW w:type="dxa" w:w="25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max_iter</w:t>
            </w:r>
          </w:p>
        </w:tc>
        <w:tc>
          <w:tcPr>
            <w:tcW w:type="dxa" w:w="43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1A"/>
                <w:sz w:val="20"/>
                <w:szCs w:val="20"/>
              </w:rPr>
              <w:t xml:space="preserve">5000</w:t>
            </w:r>
          </w:p>
        </w:tc>
      </w:tr>
    </w:tbl>
    <w:p>
      <w:pPr>
        <w:spacing w:after="180" w:before="60"/>
        <w:jc w:val="center"/>
      </w:pPr>
      <w:r>
        <w:rPr>
          <w:rFonts w:ascii="Arial" w:cs="Arial" w:eastAsia="Arial" w:hAnsi="Arial"/>
          <w:color w:val="555555"/>
          <w:sz w:val="19"/>
          <w:szCs w:val="19"/>
        </w:rPr>
        <w:t xml:space="preserve">Table A1: Model Hyperparameter Settings</w:t>
      </w:r>
    </w:p>
    <w:p>
      <w:pPr>
        <w:spacing w:after="0" w:before="160"/>
      </w:pPr>
      <w:r>
        <w:t xml:space="preserve"/>
      </w:r>
    </w:p>
    <w:p>
      <w:pPr>
        <w:pStyle w:val="Heading1"/>
        <w:pBdr>
          <w:bottom w:val="single" w:color="2E75B6" w:sz="6" w:space="4"/>
        </w:pBdr>
        <w:spacing w:after="180" w:before="360"/>
      </w:pPr>
      <w:r>
        <w:rPr>
          <w:rFonts w:ascii="Arial" w:cs="Arial" w:eastAsia="Arial" w:hAnsi="Arial"/>
          <w:b/>
          <w:bCs/>
          <w:caps/>
          <w:color w:val="1E3A5F"/>
          <w:sz w:val="32"/>
          <w:szCs w:val="32"/>
        </w:rPr>
        <w:t xml:space="preserve">Appendix B: Project File Structure</w:t>
      </w:r>
    </w:p>
    <w:p>
      <w:pPr>
        <w:spacing w:after="120" w:before="60" w:line="276"/>
        <w:jc w:val="both"/>
      </w:pPr>
      <w:r>
        <w:rPr>
          <w:rFonts w:ascii="Arial" w:cs="Arial" w:eastAsia="Arial" w:hAnsi="Arial"/>
          <w:color w:val="1A1A1A"/>
          <w:sz w:val="22"/>
          <w:szCs w:val="22"/>
        </w:rPr>
        <w:t xml:space="preserve">The project is organized as follows:</w:t>
      </w:r>
    </w:p>
    <w:p>
      <w:pPr>
        <w:shd w:fill="F2F5F9" w:val="clear"/>
        <w:spacing w:after="40" w:before="40"/>
        <w:ind w:left="360" w:right="360"/>
      </w:pPr>
      <w:r>
        <w:rPr>
          <w:rFonts w:ascii="Courier New" w:cs="Courier New" w:eastAsia="Courier New" w:hAnsi="Courier New"/>
          <w:color w:val="1A5276"/>
          <w:sz w:val="19"/>
          <w:szCs w:val="19"/>
        </w:rPr>
        <w:t xml:space="preserve">main.py                   Entry point — runs full pipeline and launches dashboard</w:t>
      </w:r>
    </w:p>
    <w:p>
      <w:pPr>
        <w:shd w:fill="F2F5F9" w:val="clear"/>
        <w:spacing w:after="40" w:before="40"/>
        <w:ind w:left="360" w:right="360"/>
      </w:pPr>
      <w:r>
        <w:rPr>
          <w:rFonts w:ascii="Courier New" w:cs="Courier New" w:eastAsia="Courier New" w:hAnsi="Courier New"/>
          <w:color w:val="1A5276"/>
          <w:sz w:val="19"/>
          <w:szCs w:val="19"/>
        </w:rPr>
        <w:t xml:space="preserve">1_generate_data.py        Synthetic data generation (matches EduPro schema)</w:t>
      </w:r>
    </w:p>
    <w:p>
      <w:pPr>
        <w:shd w:fill="F2F5F9" w:val="clear"/>
        <w:spacing w:after="40" w:before="40"/>
        <w:ind w:left="360" w:right="360"/>
      </w:pPr>
      <w:r>
        <w:rPr>
          <w:rFonts w:ascii="Courier New" w:cs="Courier New" w:eastAsia="Courier New" w:hAnsi="Courier New"/>
          <w:color w:val="1A5276"/>
          <w:sz w:val="19"/>
          <w:szCs w:val="19"/>
        </w:rPr>
        <w:t xml:space="preserve">2_feature_engineering.py  EDA, data merging, and feature construction</w:t>
      </w:r>
    </w:p>
    <w:p>
      <w:pPr>
        <w:shd w:fill="F2F5F9" w:val="clear"/>
        <w:spacing w:after="40" w:before="40"/>
        <w:ind w:left="360" w:right="360"/>
      </w:pPr>
      <w:r>
        <w:rPr>
          <w:rFonts w:ascii="Courier New" w:cs="Courier New" w:eastAsia="Courier New" w:hAnsi="Courier New"/>
          <w:color w:val="1A5276"/>
          <w:sz w:val="19"/>
          <w:szCs w:val="19"/>
        </w:rPr>
        <w:t xml:space="preserve">3_model_training.py       Model training, evaluation, and serialization</w:t>
      </w:r>
    </w:p>
    <w:p>
      <w:pPr>
        <w:shd w:fill="F2F5F9" w:val="clear"/>
        <w:spacing w:after="40" w:before="40"/>
        <w:ind w:left="360" w:right="360"/>
      </w:pPr>
      <w:r>
        <w:rPr>
          <w:rFonts w:ascii="Courier New" w:cs="Courier New" w:eastAsia="Courier New" w:hAnsi="Courier New"/>
          <w:color w:val="1A5276"/>
          <w:sz w:val="19"/>
          <w:szCs w:val="19"/>
        </w:rPr>
        <w:t xml:space="preserve">4_streamlit_app.py        Interactive multi-tab Streamlit dashboard</w:t>
      </w:r>
    </w:p>
    <w:p>
      <w:pPr>
        <w:shd w:fill="F2F5F9" w:val="clear"/>
        <w:spacing w:after="40" w:before="40"/>
        <w:ind w:left="360" w:right="360"/>
      </w:pPr>
      <w:r>
        <w:rPr>
          <w:rFonts w:ascii="Courier New" w:cs="Courier New" w:eastAsia="Courier New" w:hAnsi="Courier New"/>
          <w:color w:val="1A5276"/>
          <w:sz w:val="19"/>
          <w:szCs w:val="19"/>
        </w:rPr>
        <w:t xml:space="preserve">requirements.txt          Python package dependencies</w:t>
      </w:r>
    </w:p>
    <w:p>
      <w:pPr>
        <w:shd w:fill="F2F5F9" w:val="clear"/>
        <w:spacing w:after="40" w:before="40"/>
        <w:ind w:left="360" w:right="360"/>
      </w:pPr>
      <w:r>
        <w:rPr>
          <w:rFonts w:ascii="Courier New" w:cs="Courier New" w:eastAsia="Courier New" w:hAnsi="Courier New"/>
          <w:color w:val="1A5276"/>
          <w:sz w:val="19"/>
          <w:szCs w:val="19"/>
        </w:rPr>
        <w:t xml:space="preserve">EduPro_Dashboard.jsx      React standalone dashboard (browser artifact)</w:t>
      </w:r>
    </w:p>
    <w:p>
      <w:pPr>
        <w:shd w:fill="F2F5F9" w:val="clear"/>
        <w:spacing w:after="40" w:before="40"/>
        <w:ind w:left="360" w:right="360"/>
      </w:pPr>
      <w:r>
        <w:rPr>
          <w:rFonts w:ascii="Courier New" w:cs="Courier New" w:eastAsia="Courier New" w:hAnsi="Courier New"/>
          <w:color w:val="1A5276"/>
          <w:sz w:val="19"/>
          <w:szCs w:val="19"/>
        </w:rPr>
        <w:t xml:space="preserve">data/                     Generated CSV files (users, teachers, courses, transactions)</w:t>
      </w:r>
    </w:p>
    <w:p>
      <w:pPr>
        <w:shd w:fill="F2F5F9" w:val="clear"/>
        <w:spacing w:after="40" w:before="40"/>
        <w:ind w:left="360" w:right="360"/>
      </w:pPr>
      <w:r>
        <w:rPr>
          <w:rFonts w:ascii="Courier New" w:cs="Courier New" w:eastAsia="Courier New" w:hAnsi="Courier New"/>
          <w:color w:val="1A5276"/>
          <w:sz w:val="19"/>
          <w:szCs w:val="19"/>
        </w:rPr>
        <w:t xml:space="preserve">models/                   Serialized model files (.pkl) and feature name JSON</w:t>
      </w:r>
    </w:p>
    <w:p>
      <w:pPr>
        <w:shd w:fill="F2F5F9" w:val="clear"/>
        <w:spacing w:after="40" w:before="40"/>
        <w:ind w:left="360" w:right="360"/>
      </w:pPr>
      <w:r>
        <w:rPr>
          <w:rFonts w:ascii="Courier New" w:cs="Courier New" w:eastAsia="Courier New" w:hAnsi="Courier New"/>
          <w:color w:val="1A5276"/>
          <w:sz w:val="19"/>
          <w:szCs w:val="19"/>
        </w:rPr>
        <w:t xml:space="preserve">reports/                  EDA report, model results CSV and JSON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80"/>
    </w:pPr>
    <w:r>
      <w:rPr>
        <w:rFonts w:ascii="Arial" w:cs="Arial" w:eastAsia="Arial" w:hAnsi="Arial"/>
        <w:color w:val="777777"/>
        <w:sz w:val="18"/>
        <w:szCs w:val="18"/>
      </w:rPr>
      <w:t xml:space="preserve">Research Paper | EduPro Online Learning Platform</w:t>
    </w:r>
    <w:r>
      <w:rPr>
        <w:rFonts w:ascii="Arial" w:cs="Arial" w:eastAsia="Arial" w:hAnsi="Arial"/>
        <w:color w:val="777777"/>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before="0"/>
    </w:pPr>
    <w:r>
      <w:rPr>
        <w:rFonts w:ascii="Arial" w:cs="Arial" w:eastAsia="Arial" w:hAnsi="Arial"/>
        <w:b/>
        <w:bCs/>
        <w:color w:val="1E3A5F"/>
        <w:sz w:val="18"/>
        <w:szCs w:val="18"/>
      </w:rPr>
      <w:t xml:space="preserve">EduPro Analytics </w:t>
    </w:r>
    <w:r>
      <w:rPr>
        <w:rFonts w:ascii="Arial" w:cs="Arial" w:eastAsia="Arial" w:hAnsi="Arial"/>
        <w:sz w:val="18"/>
        <w:szCs w:val="18"/>
      </w:rPr>
      <w:t xml:space="preserve">	</w:t>
    </w:r>
    <w:r>
      <w:rPr>
        <w:rFonts w:ascii="Arial" w:cs="Arial" w:eastAsia="Arial" w:hAnsi="Arial"/>
        <w:i/>
        <w:iCs/>
        <w:color w:val="777777"/>
        <w:sz w:val="18"/>
        <w:szCs w:val="18"/>
      </w:rPr>
      <w:t xml:space="preserve">Predictive Modeling for Course Demand &amp; Revenue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2026-05-21T19:37:39.224Z</dcterms:created>
  <dcterms:modified xsi:type="dcterms:W3CDTF">2026-05-21T19:37:39.225Z</dcterms:modified>
</cp:coreProperties>
</file>

<file path=docProps/custom.xml><?xml version="1.0" encoding="utf-8"?>
<Properties xmlns="http://schemas.openxmlformats.org/officeDocument/2006/custom-properties" xmlns:vt="http://schemas.openxmlformats.org/officeDocument/2006/docPropsVTypes"/>
</file>