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12922">
      <w:pPr>
        <w:spacing w:before="240" w:after="240" w:line="312" w:lineRule="auto"/>
        <w:jc w:val="center"/>
      </w:pPr>
      <w:r>
        <w:rPr>
          <w:rFonts w:ascii="Times New Roman" w:hAnsi="Times New Roman" w:eastAsia="Times New Roman" w:cs="Times New Roman"/>
          <w:b/>
          <w:bCs/>
          <w:sz w:val="28"/>
          <w:szCs w:val="28"/>
        </w:rPr>
        <w:t>Лабораторная работа №4</w:t>
      </w:r>
    </w:p>
    <w:p w14:paraId="3D5B82F5">
      <w:pPr>
        <w:spacing w:after="120" w:line="312" w:lineRule="auto"/>
        <w:jc w:val="center"/>
      </w:pPr>
      <w:r>
        <w:rPr>
          <w:rFonts w:ascii="Times New Roman" w:hAnsi="Times New Roman" w:eastAsia="Times New Roman" w:cs="Times New Roman"/>
          <w:b/>
          <w:bCs/>
          <w:sz w:val="28"/>
          <w:szCs w:val="28"/>
        </w:rPr>
        <w:t>Разработка User Flow. Знакомство с правилами композиции и принципами гештальта</w:t>
      </w:r>
    </w:p>
    <w:p w14:paraId="2DBAB44F">
      <w:pPr>
        <w:spacing w:after="120" w:line="312" w:lineRule="auto"/>
        <w:ind w:firstLine="567"/>
        <w:jc w:val="both"/>
      </w:pPr>
      <w:r>
        <w:rPr>
          <w:rFonts w:ascii="Times New Roman" w:hAnsi="Times New Roman" w:eastAsia="Times New Roman" w:cs="Times New Roman"/>
          <w:b/>
          <w:bCs/>
          <w:sz w:val="28"/>
          <w:szCs w:val="28"/>
        </w:rPr>
        <w:t xml:space="preserve">Цель работы: </w:t>
      </w:r>
      <w:r>
        <w:rPr>
          <w:rFonts w:ascii="Times New Roman" w:hAnsi="Times New Roman" w:eastAsia="Times New Roman" w:cs="Times New Roman"/>
          <w:sz w:val="28"/>
          <w:szCs w:val="28"/>
        </w:rPr>
        <w:t>Определить функциональность продукта Faceit и на основе всех исследований подготовить User Flow. Познакомиться с основными правилами композиции, изучить принципы гештальта.</w:t>
      </w:r>
    </w:p>
    <w:p w14:paraId="55D71E72">
      <w:pPr>
        <w:spacing w:after="120" w:line="312" w:lineRule="auto"/>
        <w:ind w:firstLine="567"/>
        <w:jc w:val="both"/>
      </w:pPr>
      <w:r>
        <w:rPr>
          <w:rFonts w:ascii="Times New Roman" w:hAnsi="Times New Roman" w:eastAsia="Times New Roman" w:cs="Times New Roman"/>
          <w:b/>
          <w:bCs/>
          <w:sz w:val="28"/>
          <w:szCs w:val="28"/>
        </w:rPr>
        <w:t xml:space="preserve">Тема: </w:t>
      </w:r>
      <w:r>
        <w:rPr>
          <w:rFonts w:ascii="Times New Roman" w:hAnsi="Times New Roman" w:eastAsia="Times New Roman" w:cs="Times New Roman"/>
          <w:sz w:val="28"/>
          <w:szCs w:val="28"/>
        </w:rPr>
        <w:t>Faceit — киберспортивная платформа для проведения матчей и турниров по CS2 (Counter-Strike 2) и другим играм.</w:t>
      </w:r>
    </w:p>
    <w:p w14:paraId="503A14F9">
      <w:pPr>
        <w:spacing w:before="240" w:after="120" w:line="312" w:lineRule="auto"/>
        <w:jc w:val="left"/>
      </w:pPr>
      <w:r>
        <w:rPr>
          <w:rFonts w:ascii="Times New Roman" w:hAnsi="Times New Roman" w:eastAsia="Times New Roman" w:cs="Times New Roman"/>
          <w:b/>
          <w:bCs/>
          <w:sz w:val="28"/>
          <w:szCs w:val="28"/>
        </w:rPr>
        <w:t>1. Список планируемого функционала</w:t>
      </w:r>
    </w:p>
    <w:p w14:paraId="159BD28B">
      <w:pPr>
        <w:spacing w:after="120" w:line="312" w:lineRule="auto"/>
        <w:ind w:firstLine="567"/>
        <w:jc w:val="both"/>
      </w:pPr>
      <w:r>
        <w:rPr>
          <w:rFonts w:ascii="Times New Roman" w:hAnsi="Times New Roman" w:eastAsia="Times New Roman" w:cs="Times New Roman"/>
          <w:b w:val="0"/>
          <w:bCs w:val="0"/>
          <w:i w:val="0"/>
          <w:iCs w:val="0"/>
          <w:sz w:val="28"/>
          <w:szCs w:val="28"/>
        </w:rPr>
        <w:t>Для разрабатываемой платформы Faceit предусмотрен следующий основной функционал:</w:t>
      </w:r>
    </w:p>
    <w:p w14:paraId="04037309">
      <w:pPr>
        <w:pStyle w:val="16"/>
        <w:numPr>
          <w:ilvl w:val="0"/>
          <w:numId w:val="1"/>
        </w:numPr>
        <w:spacing w:after="80" w:line="312" w:lineRule="auto"/>
        <w:jc w:val="both"/>
      </w:pPr>
      <w:r>
        <w:rPr>
          <w:rFonts w:ascii="Times New Roman" w:hAnsi="Times New Roman" w:eastAsia="Times New Roman" w:cs="Times New Roman"/>
          <w:sz w:val="28"/>
          <w:szCs w:val="28"/>
        </w:rPr>
        <w:t>Регистрация и авторизация пользователей.</w:t>
      </w:r>
    </w:p>
    <w:p w14:paraId="2C317358">
      <w:pPr>
        <w:pStyle w:val="16"/>
        <w:numPr>
          <w:ilvl w:val="0"/>
          <w:numId w:val="1"/>
        </w:numPr>
        <w:spacing w:after="80" w:line="312" w:lineRule="auto"/>
        <w:jc w:val="both"/>
      </w:pPr>
      <w:r>
        <w:rPr>
          <w:rFonts w:ascii="Times New Roman" w:hAnsi="Times New Roman" w:eastAsia="Times New Roman" w:cs="Times New Roman"/>
          <w:sz w:val="28"/>
          <w:szCs w:val="28"/>
        </w:rPr>
        <w:t>Личный профиль игрока со статистикой, ELO, уровнем и историей матчей.</w:t>
      </w:r>
    </w:p>
    <w:p w14:paraId="637BA23B">
      <w:pPr>
        <w:pStyle w:val="16"/>
        <w:numPr>
          <w:ilvl w:val="0"/>
          <w:numId w:val="1"/>
        </w:numPr>
        <w:spacing w:after="80" w:line="312" w:lineRule="auto"/>
        <w:jc w:val="both"/>
      </w:pPr>
      <w:r>
        <w:rPr>
          <w:rFonts w:ascii="Times New Roman" w:hAnsi="Times New Roman" w:eastAsia="Times New Roman" w:cs="Times New Roman"/>
          <w:sz w:val="28"/>
          <w:szCs w:val="28"/>
        </w:rPr>
        <w:t>Поиск матча в матчмейкинге CS2.</w:t>
      </w:r>
    </w:p>
    <w:p w14:paraId="23465267">
      <w:pPr>
        <w:pStyle w:val="16"/>
        <w:numPr>
          <w:ilvl w:val="0"/>
          <w:numId w:val="1"/>
        </w:numPr>
        <w:spacing w:after="80" w:line="312" w:lineRule="auto"/>
        <w:jc w:val="both"/>
      </w:pPr>
      <w:r>
        <w:rPr>
          <w:rFonts w:ascii="Times New Roman" w:hAnsi="Times New Roman" w:eastAsia="Times New Roman" w:cs="Times New Roman"/>
          <w:sz w:val="28"/>
          <w:szCs w:val="28"/>
        </w:rPr>
        <w:t>Настройка параметров поиска: регион, карты, диапазон ELO.</w:t>
      </w:r>
    </w:p>
    <w:p w14:paraId="3CC26A49">
      <w:pPr>
        <w:pStyle w:val="16"/>
        <w:numPr>
          <w:ilvl w:val="0"/>
          <w:numId w:val="1"/>
        </w:numPr>
        <w:spacing w:after="80" w:line="312" w:lineRule="auto"/>
        <w:jc w:val="both"/>
      </w:pPr>
      <w:r>
        <w:rPr>
          <w:rFonts w:ascii="Times New Roman" w:hAnsi="Times New Roman" w:eastAsia="Times New Roman" w:cs="Times New Roman"/>
          <w:sz w:val="28"/>
          <w:szCs w:val="28"/>
        </w:rPr>
        <w:t>Создание группы и приглашение друзей в совместный поиск.</w:t>
      </w:r>
    </w:p>
    <w:p w14:paraId="588228C5">
      <w:pPr>
        <w:pStyle w:val="16"/>
        <w:numPr>
          <w:ilvl w:val="0"/>
          <w:numId w:val="1"/>
        </w:numPr>
        <w:spacing w:after="80" w:line="312" w:lineRule="auto"/>
        <w:jc w:val="both"/>
      </w:pPr>
      <w:r>
        <w:rPr>
          <w:rFonts w:ascii="Times New Roman" w:hAnsi="Times New Roman" w:eastAsia="Times New Roman" w:cs="Times New Roman"/>
          <w:sz w:val="28"/>
          <w:szCs w:val="28"/>
        </w:rPr>
        <w:t>Голосование за карты перед началом матча.</w:t>
      </w:r>
    </w:p>
    <w:p w14:paraId="5615B443">
      <w:pPr>
        <w:pStyle w:val="16"/>
        <w:numPr>
          <w:ilvl w:val="0"/>
          <w:numId w:val="1"/>
        </w:numPr>
        <w:spacing w:after="80" w:line="312" w:lineRule="auto"/>
        <w:jc w:val="both"/>
      </w:pPr>
      <w:r>
        <w:rPr>
          <w:rFonts w:ascii="Times New Roman" w:hAnsi="Times New Roman" w:eastAsia="Times New Roman" w:cs="Times New Roman"/>
          <w:sz w:val="28"/>
          <w:szCs w:val="28"/>
        </w:rPr>
        <w:t>Поиск и вступление в существующие команды по фильтрам.</w:t>
      </w:r>
    </w:p>
    <w:p w14:paraId="28E0FC43">
      <w:pPr>
        <w:pStyle w:val="16"/>
        <w:numPr>
          <w:ilvl w:val="0"/>
          <w:numId w:val="1"/>
        </w:numPr>
        <w:spacing w:after="80" w:line="312" w:lineRule="auto"/>
        <w:jc w:val="both"/>
      </w:pPr>
      <w:r>
        <w:rPr>
          <w:rFonts w:ascii="Times New Roman" w:hAnsi="Times New Roman" w:eastAsia="Times New Roman" w:cs="Times New Roman"/>
          <w:sz w:val="28"/>
          <w:szCs w:val="28"/>
        </w:rPr>
        <w:t>Управление составом команды: приглашение, исключение.</w:t>
      </w:r>
    </w:p>
    <w:p w14:paraId="4FD577C6">
      <w:pPr>
        <w:pStyle w:val="16"/>
        <w:numPr>
          <w:ilvl w:val="0"/>
          <w:numId w:val="1"/>
        </w:numPr>
        <w:spacing w:after="80" w:line="312" w:lineRule="auto"/>
        <w:jc w:val="both"/>
      </w:pPr>
      <w:r>
        <w:rPr>
          <w:rFonts w:ascii="Times New Roman" w:hAnsi="Times New Roman" w:eastAsia="Times New Roman" w:cs="Times New Roman"/>
          <w:sz w:val="28"/>
          <w:szCs w:val="28"/>
        </w:rPr>
        <w:t xml:space="preserve">Система друзей: добавление, чат, приглашение в </w:t>
      </w:r>
      <w:r>
        <w:rPr>
          <w:rFonts w:cs="Times New Roman"/>
          <w:sz w:val="28"/>
          <w:szCs w:val="28"/>
          <w:lang w:val="ru-RU"/>
        </w:rPr>
        <w:t>группу</w:t>
      </w:r>
      <w:r>
        <w:rPr>
          <w:rFonts w:ascii="Times New Roman" w:hAnsi="Times New Roman" w:eastAsia="Times New Roman" w:cs="Times New Roman"/>
          <w:sz w:val="28"/>
          <w:szCs w:val="28"/>
        </w:rPr>
        <w:t>.</w:t>
      </w:r>
    </w:p>
    <w:p w14:paraId="6C0905D9">
      <w:pPr>
        <w:pStyle w:val="16"/>
        <w:numPr>
          <w:ilvl w:val="0"/>
          <w:numId w:val="1"/>
        </w:numPr>
        <w:spacing w:after="80" w:line="312" w:lineRule="auto"/>
        <w:jc w:val="both"/>
      </w:pPr>
      <w:r>
        <w:rPr>
          <w:rFonts w:ascii="Times New Roman" w:hAnsi="Times New Roman" w:eastAsia="Times New Roman" w:cs="Times New Roman"/>
          <w:sz w:val="28"/>
          <w:szCs w:val="28"/>
        </w:rPr>
        <w:t>Подписка FACEIT Premium с расширенной статистикой и бонусами.</w:t>
      </w:r>
    </w:p>
    <w:p w14:paraId="396E3A66">
      <w:pPr>
        <w:spacing w:before="240" w:after="120" w:line="312" w:lineRule="auto"/>
        <w:jc w:val="left"/>
      </w:pPr>
      <w:r>
        <w:rPr>
          <w:rFonts w:ascii="Times New Roman" w:hAnsi="Times New Roman" w:eastAsia="Times New Roman" w:cs="Times New Roman"/>
          <w:b/>
          <w:bCs/>
          <w:sz w:val="28"/>
          <w:szCs w:val="28"/>
        </w:rPr>
        <w:t>2. User Flow</w:t>
      </w:r>
    </w:p>
    <w:p w14:paraId="37203A23">
      <w:pPr>
        <w:spacing w:before="180" w:after="120" w:line="312" w:lineRule="auto"/>
        <w:ind w:firstLine="567"/>
        <w:jc w:val="left"/>
      </w:pPr>
      <w:r>
        <w:rPr>
          <w:rFonts w:ascii="Times New Roman" w:hAnsi="Times New Roman" w:eastAsia="Times New Roman" w:cs="Times New Roman"/>
          <w:b/>
          <w:bCs/>
          <w:sz w:val="28"/>
          <w:szCs w:val="28"/>
        </w:rPr>
        <w:t>2.1. User Flow «Поиск матча в матчмейкинге CS2»</w:t>
      </w:r>
    </w:p>
    <w:p w14:paraId="0798CF12">
      <w:pPr>
        <w:spacing w:after="120" w:line="312" w:lineRule="auto"/>
        <w:ind w:firstLine="567"/>
        <w:jc w:val="both"/>
      </w:pPr>
      <w:r>
        <w:rPr>
          <w:rFonts w:ascii="Times New Roman" w:hAnsi="Times New Roman" w:eastAsia="Times New Roman" w:cs="Times New Roman"/>
          <w:b w:val="0"/>
          <w:bCs w:val="0"/>
          <w:i w:val="0"/>
          <w:iCs w:val="0"/>
          <w:sz w:val="28"/>
          <w:szCs w:val="28"/>
        </w:rPr>
        <w:t>Данный User Flow описывает процесс взаимодействия пользователя с платформой Faceit при поиске рейтингового матча 5×5 по CS2. Цель пользователя — найти подходящих игроков, сыграть матч и получить ELO. Сценарий охватывает все ключевые шаги: вход в учётную запись (с обработкой ошибки авторизации), выбор игры, настройку параметров поиска, выбор формата участия (solo или с группой), принятие приглашения в матч, голосование за карту, подключение к серверу и завершение игры.</w:t>
      </w:r>
    </w:p>
    <w:p w14:paraId="5C02E424">
      <w:pPr>
        <w:spacing w:before="120" w:after="120"/>
        <w:ind w:firstLine="0"/>
        <w:jc w:val="center"/>
      </w:pPr>
      <w:r>
        <w:drawing>
          <wp:inline distT="0" distB="0" distL="0" distR="0">
            <wp:extent cx="5524500" cy="6562725"/>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4"/>
                    <a:srcRect/>
                    <a:stretch>
                      <a:fillRect/>
                    </a:stretch>
                  </pic:blipFill>
                  <pic:spPr>
                    <a:xfrm>
                      <a:off x="0" y="0"/>
                      <a:ext cx="5524500" cy="6562725"/>
                    </a:xfrm>
                    <a:prstGeom prst="rect">
                      <a:avLst/>
                    </a:prstGeom>
                  </pic:spPr>
                </pic:pic>
              </a:graphicData>
            </a:graphic>
          </wp:inline>
        </w:drawing>
      </w:r>
    </w:p>
    <w:p w14:paraId="670CC0C5">
      <w:pPr>
        <w:spacing w:before="60" w:after="240" w:line="312" w:lineRule="auto"/>
        <w:ind w:firstLine="0"/>
        <w:jc w:val="center"/>
      </w:pPr>
      <w:r>
        <w:rPr>
          <w:rFonts w:ascii="Times New Roman" w:hAnsi="Times New Roman" w:eastAsia="Times New Roman" w:cs="Times New Roman"/>
          <w:i/>
          <w:iCs/>
          <w:sz w:val="28"/>
          <w:szCs w:val="28"/>
        </w:rPr>
        <w:t>Рисунок 1 — User Flow «Поиск матча в матчмейкинге CS2»</w:t>
      </w:r>
    </w:p>
    <w:p w14:paraId="0B277F20">
      <w:pPr>
        <w:spacing w:before="180" w:after="120" w:line="312" w:lineRule="auto"/>
        <w:ind w:firstLine="567"/>
        <w:jc w:val="left"/>
      </w:pPr>
      <w:r>
        <w:rPr>
          <w:rFonts w:ascii="Times New Roman" w:hAnsi="Times New Roman" w:eastAsia="Times New Roman" w:cs="Times New Roman"/>
          <w:b/>
          <w:bCs/>
          <w:sz w:val="28"/>
          <w:szCs w:val="28"/>
        </w:rPr>
        <w:t>2.2. User Flow «Создание команды и вступление в команду»</w:t>
      </w:r>
    </w:p>
    <w:p w14:paraId="513B29F3">
      <w:pPr>
        <w:spacing w:after="120" w:line="312" w:lineRule="auto"/>
        <w:ind w:firstLine="567"/>
        <w:jc w:val="both"/>
      </w:pPr>
      <w:r>
        <w:rPr>
          <w:rFonts w:ascii="Times New Roman" w:hAnsi="Times New Roman" w:eastAsia="Times New Roman" w:cs="Times New Roman"/>
          <w:b w:val="0"/>
          <w:bCs w:val="0"/>
          <w:i w:val="0"/>
          <w:iCs w:val="0"/>
          <w:sz w:val="28"/>
          <w:szCs w:val="28"/>
        </w:rPr>
        <w:t>Данный User Flow описывает два связанных пользовательских пути в рамках одной цели — стать участником команды на Faceit для участия в командных матчах и турнирах. На развилке пользователь выбирает один из двух сценариев: создать собственную команду (заполнение реквизитов, валидация данных, приглашение игроков) либо вступить в уже существующую команду (поиск по фильтрам, просмотр состава, отправка заявки и одобрение капитаном). Обе ветки сходятся в общую конечную точку — пользователь становится полноправным членом команды и получает доступ к командным матчам, турнирам и хабам.</w:t>
      </w:r>
    </w:p>
    <w:p w14:paraId="4F8A52AB">
      <w:pPr>
        <w:spacing w:before="120" w:after="120"/>
        <w:ind w:firstLine="0"/>
        <w:jc w:val="center"/>
      </w:pPr>
      <w:r>
        <w:drawing>
          <wp:inline distT="0" distB="0" distL="0" distR="0">
            <wp:extent cx="5715000" cy="6381750"/>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noChangeArrowheads="1"/>
                    </pic:cNvPicPr>
                  </pic:nvPicPr>
                  <pic:blipFill>
                    <a:blip r:embed="rId5"/>
                    <a:srcRect/>
                    <a:stretch>
                      <a:fillRect/>
                    </a:stretch>
                  </pic:blipFill>
                  <pic:spPr>
                    <a:xfrm>
                      <a:off x="0" y="0"/>
                      <a:ext cx="5715000" cy="6381750"/>
                    </a:xfrm>
                    <a:prstGeom prst="rect">
                      <a:avLst/>
                    </a:prstGeom>
                  </pic:spPr>
                </pic:pic>
              </a:graphicData>
            </a:graphic>
          </wp:inline>
        </w:drawing>
      </w:r>
    </w:p>
    <w:p w14:paraId="5ACA14F9">
      <w:pPr>
        <w:spacing w:before="60" w:after="240" w:line="312" w:lineRule="auto"/>
        <w:ind w:firstLine="0"/>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Pr>
        <w:t>Рисунок 2 — User Flow «Создание команды и вступление в команду»</w:t>
      </w:r>
    </w:p>
    <w:p w14:paraId="25F12AFE">
      <w:pPr>
        <w:spacing w:before="60" w:after="240" w:line="312" w:lineRule="auto"/>
        <w:ind w:firstLine="0"/>
        <w:jc w:val="center"/>
        <w:rPr>
          <w:rFonts w:ascii="Times New Roman" w:hAnsi="Times New Roman" w:eastAsia="Times New Roman" w:cs="Times New Roman"/>
          <w:i/>
          <w:iCs/>
          <w:sz w:val="28"/>
          <w:szCs w:val="28"/>
        </w:rPr>
      </w:pPr>
    </w:p>
    <w:p w14:paraId="00D06946">
      <w:pPr>
        <w:spacing w:before="60" w:after="240" w:line="312" w:lineRule="auto"/>
        <w:ind w:firstLine="0"/>
        <w:jc w:val="center"/>
        <w:rPr>
          <w:rFonts w:ascii="Times New Roman" w:hAnsi="Times New Roman" w:eastAsia="Times New Roman" w:cs="Times New Roman"/>
          <w:i/>
          <w:iCs/>
          <w:sz w:val="28"/>
          <w:szCs w:val="28"/>
        </w:rPr>
      </w:pPr>
    </w:p>
    <w:p w14:paraId="7DC94E49">
      <w:pPr>
        <w:spacing w:after="160" w:line="259" w:lineRule="auto"/>
        <w:rPr>
          <w:rFonts w:ascii="Times New Roman" w:hAnsi="Times New Roman" w:cs="Times New Roman" w:eastAsiaTheme="minorHAnsi"/>
          <w:b/>
          <w:bCs/>
          <w:sz w:val="28"/>
          <w:szCs w:val="28"/>
          <w:lang w:val="ru-RU" w:eastAsia="en-US" w:bidi="ar-SA"/>
        </w:rPr>
      </w:pPr>
    </w:p>
    <w:p w14:paraId="3AEC4BA5">
      <w:pPr>
        <w:spacing w:after="160" w:line="259" w:lineRule="auto"/>
        <w:rPr>
          <w:rFonts w:ascii="Times New Roman" w:hAnsi="Times New Roman" w:cs="Times New Roman" w:eastAsiaTheme="minorHAnsi"/>
          <w:b/>
          <w:bCs/>
          <w:sz w:val="28"/>
          <w:szCs w:val="28"/>
          <w:lang w:val="ru-RU" w:eastAsia="en-US" w:bidi="ar-SA"/>
        </w:rPr>
      </w:pPr>
      <w:r>
        <w:rPr>
          <w:rFonts w:ascii="Times New Roman" w:hAnsi="Times New Roman" w:cs="Times New Roman" w:eastAsiaTheme="minorHAnsi"/>
          <w:b/>
          <w:bCs/>
          <w:sz w:val="28"/>
          <w:szCs w:val="28"/>
          <w:lang w:val="ru-RU" w:eastAsia="en-US" w:bidi="ar-SA"/>
        </w:rPr>
        <w:t>Принципы гештальта</w:t>
      </w:r>
    </w:p>
    <w:p w14:paraId="1FB885D3">
      <w:pPr>
        <w:numPr>
          <w:ilvl w:val="0"/>
          <w:numId w:val="2"/>
        </w:numPr>
        <w:spacing w:after="160" w:line="259" w:lineRule="auto"/>
        <w:rPr>
          <w:rFonts w:ascii="Times New Roman" w:hAnsi="Times New Roman" w:cs="Times New Roman" w:eastAsiaTheme="minorHAnsi"/>
          <w:b/>
          <w:bCs/>
          <w:sz w:val="28"/>
          <w:szCs w:val="28"/>
          <w:lang w:val="ru-RU" w:eastAsia="en-US" w:bidi="ar-SA"/>
        </w:rPr>
      </w:pPr>
      <w:r>
        <w:rPr>
          <w:rFonts w:ascii="Times New Roman" w:hAnsi="Times New Roman" w:cs="Times New Roman" w:eastAsiaTheme="minorHAnsi"/>
          <w:b/>
          <w:bCs/>
          <w:sz w:val="28"/>
          <w:szCs w:val="28"/>
          <w:lang w:val="ru-RU" w:eastAsia="en-US" w:bidi="ar-SA"/>
        </w:rPr>
        <w:t>Принцип близости</w:t>
      </w:r>
      <w:bookmarkStart w:id="0" w:name="_GoBack"/>
      <w:bookmarkEnd w:id="0"/>
    </w:p>
    <w:p w14:paraId="4BA92C68">
      <w:pPr>
        <w:jc w:val="cente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3228975" cy="5706110"/>
            <wp:effectExtent l="0" t="0" r="190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6"/>
                    <a:stretch>
                      <a:fillRect/>
                    </a:stretch>
                  </pic:blipFill>
                  <pic:spPr>
                    <a:xfrm>
                      <a:off x="0" y="0"/>
                      <a:ext cx="3229426" cy="5706271"/>
                    </a:xfrm>
                    <a:prstGeom prst="rect">
                      <a:avLst/>
                    </a:prstGeom>
                  </pic:spPr>
                </pic:pic>
              </a:graphicData>
            </a:graphic>
          </wp:inline>
        </w:drawing>
      </w:r>
    </w:p>
    <w:p w14:paraId="1AEEC157">
      <w:pPr>
        <w:rPr>
          <w:rFonts w:ascii="Times New Roman" w:hAnsi="Times New Roman" w:eastAsia="Times New Roman" w:cs="Times New Roman"/>
          <w:sz w:val="28"/>
          <w:szCs w:val="24"/>
          <w:lang w:eastAsia="ru-RU"/>
        </w:rPr>
      </w:pPr>
      <w:r>
        <w:rPr>
          <w:rFonts w:ascii="Times New Roman" w:hAnsi="Times New Roman" w:cs="Times New Roman"/>
          <w:b/>
          <w:bCs/>
          <w:sz w:val="28"/>
          <w:szCs w:val="28"/>
        </w:rPr>
        <w:t xml:space="preserve">Описание: </w:t>
      </w:r>
      <w:r>
        <w:rPr>
          <w:rFonts w:ascii="Times New Roman" w:hAnsi="Times New Roman" w:eastAsia="Times New Roman" w:cs="Times New Roman"/>
          <w:sz w:val="28"/>
          <w:szCs w:val="24"/>
          <w:lang w:eastAsia="ru-RU"/>
        </w:rPr>
        <w:t xml:space="preserve">В данном интерфейсе принцип близости используется для логической группировки элементов управления и информации о поездке. Например, в блоке выбора тарифов </w:t>
      </w:r>
      <w:r>
        <w:rPr>
          <w:rFonts w:ascii="Times New Roman" w:hAnsi="Times New Roman" w:eastAsia="Times New Roman" w:cs="Times New Roman"/>
          <w:bCs/>
          <w:sz w:val="28"/>
          <w:szCs w:val="24"/>
          <w:lang w:eastAsia="ru-RU"/>
        </w:rPr>
        <w:t>иконка автомобиля, название класса (Эконом, Комфорт) и стоимость поездки</w:t>
      </w:r>
      <w:r>
        <w:rPr>
          <w:rFonts w:ascii="Times New Roman" w:hAnsi="Times New Roman" w:eastAsia="Times New Roman" w:cs="Times New Roman"/>
          <w:sz w:val="28"/>
          <w:szCs w:val="24"/>
          <w:lang w:eastAsia="ru-RU"/>
        </w:rPr>
        <w:t xml:space="preserve"> расположены вплотную друг к другу внутри компактных карточек. Благодаря этому они воспринимаются пользователем как единый кликабельный объект, позволяющий быстро оценить и выбрать нужную услугу.Увеличенные внешние отступы между основными функциональными блоками – </w:t>
      </w:r>
      <w:r>
        <w:rPr>
          <w:rFonts w:ascii="Times New Roman" w:hAnsi="Times New Roman" w:eastAsia="Times New Roman" w:cs="Times New Roman"/>
          <w:bCs/>
          <w:sz w:val="28"/>
          <w:szCs w:val="24"/>
          <w:lang w:eastAsia="ru-RU"/>
        </w:rPr>
        <w:t>маршрутом, выбором тарифа и параметрами оплаты</w:t>
      </w:r>
      <w:r>
        <w:rPr>
          <w:rFonts w:ascii="Times New Roman" w:hAnsi="Times New Roman" w:eastAsia="Times New Roman" w:cs="Times New Roman"/>
          <w:sz w:val="28"/>
          <w:szCs w:val="24"/>
          <w:lang w:eastAsia="ru-RU"/>
        </w:rPr>
        <w:t xml:space="preserve"> – позволяют легко отделять ввод данных от выбора условий, сохраняя четкую структуру интерфейса без использования перегружающих его графических разделителей. Кроме того, внутри блока настроек иконка способа оплаты расположена в непосредственной близости к тексту «Наличные», что мгновенно связывает визуальный образ с текстовым пояснением.</w:t>
      </w:r>
    </w:p>
    <w:p w14:paraId="427F4A60">
      <w:pPr>
        <w:jc w:val="both"/>
        <w:rPr>
          <w:rFonts w:ascii="Times New Roman" w:hAnsi="Times New Roman" w:cs="Times New Roman"/>
          <w:sz w:val="28"/>
          <w:szCs w:val="28"/>
        </w:rPr>
      </w:pPr>
    </w:p>
    <w:p w14:paraId="1F2693DE">
      <w:pPr>
        <w:rPr>
          <w:rFonts w:ascii="Times New Roman" w:hAnsi="Times New Roman" w:cs="Times New Roman"/>
          <w:b/>
          <w:bCs/>
          <w:sz w:val="28"/>
          <w:szCs w:val="28"/>
        </w:rPr>
      </w:pPr>
      <w:r>
        <w:rPr>
          <w:rFonts w:ascii="Times New Roman" w:hAnsi="Times New Roman" w:cs="Times New Roman"/>
          <w:b/>
          <w:bCs/>
          <w:sz w:val="28"/>
          <w:szCs w:val="28"/>
        </w:rPr>
        <w:t>2) Принцип общей области</w:t>
      </w:r>
      <w:r>
        <w:rPr>
          <w:rFonts w:ascii="Times New Roman" w:hAnsi="Times New Roman" w:cs="Times New Roman"/>
          <w:b/>
          <w:bCs/>
          <w:sz w:val="28"/>
          <w:szCs w:val="28"/>
        </w:rPr>
        <w:br w:type="textWrapping"/>
      </w:r>
      <w:r>
        <w:rPr>
          <w:rFonts w:ascii="Times New Roman" w:hAnsi="Times New Roman" w:cs="Times New Roman"/>
          <w:b/>
          <w:bCs/>
          <w:sz w:val="28"/>
          <w:szCs w:val="28"/>
          <w:lang w:eastAsia="ru-RU"/>
        </w:rPr>
        <w:drawing>
          <wp:inline distT="0" distB="0" distL="0" distR="0">
            <wp:extent cx="5940425" cy="3145790"/>
            <wp:effectExtent l="0" t="0" r="3175"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7"/>
                    <a:stretch>
                      <a:fillRect/>
                    </a:stretch>
                  </pic:blipFill>
                  <pic:spPr>
                    <a:xfrm>
                      <a:off x="0" y="0"/>
                      <a:ext cx="5940425" cy="3145790"/>
                    </a:xfrm>
                    <a:prstGeom prst="rect">
                      <a:avLst/>
                    </a:prstGeom>
                  </pic:spPr>
                </pic:pic>
              </a:graphicData>
            </a:graphic>
          </wp:inline>
        </w:drawing>
      </w:r>
    </w:p>
    <w:p w14:paraId="020879BC">
      <w:pPr>
        <w:jc w:val="both"/>
        <w:rPr>
          <w:rFonts w:ascii="Times New Roman" w:hAnsi="Times New Roman" w:cs="Times New Roman"/>
          <w:sz w:val="28"/>
          <w:szCs w:val="28"/>
        </w:rPr>
      </w:pPr>
      <w:r>
        <w:rPr>
          <w:rFonts w:ascii="Times New Roman" w:hAnsi="Times New Roman" w:cs="Times New Roman"/>
          <w:b/>
          <w:bCs/>
          <w:sz w:val="28"/>
          <w:szCs w:val="28"/>
        </w:rPr>
        <w:t xml:space="preserve">Описание: </w:t>
      </w:r>
      <w:r>
        <w:rPr>
          <w:rFonts w:ascii="Times New Roman" w:hAnsi="Times New Roman" w:cs="Times New Roman"/>
          <w:sz w:val="28"/>
          <w:szCs w:val="28"/>
        </w:rPr>
        <w:t>на данном скриншоте принцип общей области реализован через использование карточек тарифных планов. Контент каждого предложения (</w:t>
      </w:r>
      <w:r>
        <w:rPr>
          <w:rFonts w:ascii="Times New Roman" w:hAnsi="Times New Roman" w:cs="Times New Roman"/>
          <w:color w:val="2B2D31"/>
          <w:sz w:val="28"/>
          <w:szCs w:val="28"/>
          <w:shd w:val="clear" w:color="auto" w:fill="FFFFFF"/>
        </w:rPr>
        <w:t>название класса авто, базовая стоимость подачи, детализация цены за километр и минуту</w:t>
      </w:r>
      <w:r>
        <w:rPr>
          <w:rFonts w:ascii="Times New Roman" w:hAnsi="Times New Roman" w:cs="Times New Roman"/>
          <w:sz w:val="28"/>
          <w:szCs w:val="28"/>
        </w:rPr>
        <w:t>) заключен в отдельный прямоугольный блок с четкими границами и собственной фоновой заливкой. Это позволяет пользователю мгновенно визуально отделить один тариф от другого. Благодаря «замкнутому» пространству карточки, все элементы внутри неё воспринимаются как единая группа, что упрощает сравнение разных вариантов подписки и исключает путаницу в деталях предложений.</w:t>
      </w:r>
    </w:p>
    <w:p w14:paraId="153C92FB">
      <w:pPr>
        <w:jc w:val="both"/>
        <w:rPr>
          <w:rFonts w:ascii="Times New Roman" w:hAnsi="Times New Roman" w:cs="Times New Roman"/>
          <w:sz w:val="28"/>
          <w:szCs w:val="28"/>
        </w:rPr>
      </w:pPr>
    </w:p>
    <w:p w14:paraId="1CFA38CE">
      <w:pPr>
        <w:jc w:val="both"/>
        <w:rPr>
          <w:rFonts w:ascii="Times New Roman" w:hAnsi="Times New Roman" w:cs="Times New Roman"/>
          <w:b/>
          <w:bCs/>
          <w:sz w:val="28"/>
          <w:szCs w:val="28"/>
        </w:rPr>
      </w:pPr>
    </w:p>
    <w:p w14:paraId="4CB02300">
      <w:pPr>
        <w:rPr>
          <w:rFonts w:ascii="Times New Roman" w:hAnsi="Times New Roman" w:cs="Times New Roman"/>
          <w:b/>
          <w:bCs/>
          <w:sz w:val="28"/>
          <w:szCs w:val="28"/>
        </w:rPr>
      </w:pPr>
      <w:r>
        <w:rPr>
          <w:rFonts w:ascii="Times New Roman" w:hAnsi="Times New Roman" w:cs="Times New Roman"/>
          <w:b/>
          <w:bCs/>
          <w:sz w:val="28"/>
          <w:szCs w:val="28"/>
        </w:rPr>
        <w:br w:type="page"/>
      </w:r>
    </w:p>
    <w:p w14:paraId="49187AE0">
      <w:pPr>
        <w:jc w:val="both"/>
        <w:rPr>
          <w:rFonts w:ascii="Times New Roman" w:hAnsi="Times New Roman" w:cs="Times New Roman"/>
          <w:b/>
          <w:bCs/>
          <w:sz w:val="28"/>
          <w:szCs w:val="28"/>
        </w:rPr>
      </w:pPr>
      <w:r>
        <w:rPr>
          <w:rFonts w:ascii="Times New Roman" w:hAnsi="Times New Roman" w:cs="Times New Roman"/>
          <w:b/>
          <w:bCs/>
          <w:sz w:val="28"/>
          <w:szCs w:val="28"/>
        </w:rPr>
        <w:t>3) Принцип сходства</w:t>
      </w:r>
    </w:p>
    <w:p w14:paraId="2C7A942A">
      <w:pPr>
        <w:jc w:val="both"/>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2032000"/>
            <wp:effectExtent l="0" t="0" r="3175" b="1016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8"/>
                    <a:stretch>
                      <a:fillRect/>
                    </a:stretch>
                  </pic:blipFill>
                  <pic:spPr>
                    <a:xfrm>
                      <a:off x="0" y="0"/>
                      <a:ext cx="5940425" cy="2032000"/>
                    </a:xfrm>
                    <a:prstGeom prst="rect">
                      <a:avLst/>
                    </a:prstGeom>
                  </pic:spPr>
                </pic:pic>
              </a:graphicData>
            </a:graphic>
          </wp:inline>
        </w:drawing>
      </w:r>
    </w:p>
    <w:p w14:paraId="25907467">
      <w:pPr>
        <w:shd w:val="clear" w:color="auto" w:fill="FFFFFF"/>
        <w:spacing w:after="270" w:line="315" w:lineRule="atLeast"/>
        <w:jc w:val="both"/>
        <w:rPr>
          <w:rFonts w:ascii="Times New Roman" w:hAnsi="Times New Roman" w:cs="Times New Roman"/>
          <w:sz w:val="28"/>
          <w:szCs w:val="28"/>
        </w:rPr>
      </w:pPr>
      <w:r>
        <w:rPr>
          <w:rFonts w:ascii="Times New Roman" w:hAnsi="Times New Roman" w:cs="Times New Roman"/>
          <w:b/>
          <w:bCs/>
          <w:sz w:val="28"/>
          <w:szCs w:val="28"/>
        </w:rPr>
        <w:t xml:space="preserve">Описание: </w:t>
      </w:r>
      <w:r>
        <w:rPr>
          <w:rFonts w:ascii="Times New Roman" w:hAnsi="Times New Roman" w:eastAsia="Times New Roman" w:cs="Times New Roman"/>
          <w:color w:val="2B2D31"/>
          <w:sz w:val="28"/>
          <w:szCs w:val="28"/>
          <w:lang w:eastAsia="ru-RU"/>
        </w:rPr>
        <w:t>На скриншоте принцип сходства реализован через использование идентичной структуры для каждой карточки в ряду акций. Все элементы имеют одинаковый размер, прямоугольную форму со скругленными углами и повторяющуюся схему расположения контента внутри: темный фон с декоративными элементами, плашка с датами проведения, заголовок, краткое описание и красная ссылка «Подробнее» в нижней части. Благодаря этому визуальному сходству пользователь мгновенно классифицирует данные объекты как элементы одной категории – «специальные предложения». Мозг объединяет их в единую группу, что позволяет быстро сканировать горизонтальный список акций и интуитивно понимать, что взаимодействие с любой из карточек приведет к получению подробной информации о конкретном бонусе или скидке.</w:t>
      </w:r>
    </w:p>
    <w:p w14:paraId="53349D56">
      <w:pPr>
        <w:jc w:val="both"/>
        <w:rPr>
          <w:rFonts w:ascii="Times New Roman" w:hAnsi="Times New Roman" w:cs="Times New Roman"/>
          <w:b/>
          <w:bCs/>
          <w:sz w:val="28"/>
          <w:szCs w:val="28"/>
        </w:rPr>
      </w:pPr>
      <w:r>
        <w:rPr>
          <w:rFonts w:ascii="Times New Roman" w:hAnsi="Times New Roman" w:cs="Times New Roman"/>
          <w:b/>
          <w:bCs/>
          <w:sz w:val="28"/>
          <w:szCs w:val="28"/>
        </w:rPr>
        <w:t>4) Принцип завершенности</w:t>
      </w:r>
    </w:p>
    <w:p w14:paraId="5CF612F2">
      <w:pPr>
        <w:jc w:val="center"/>
        <w:rPr>
          <w:rFonts w:ascii="Times New Roman" w:hAnsi="Times New Roman" w:cs="Times New Roman"/>
          <w:b/>
          <w:bCs/>
          <w:sz w:val="28"/>
          <w:szCs w:val="28"/>
        </w:rPr>
      </w:pPr>
      <w:r>
        <w:rPr>
          <w:lang w:eastAsia="ru-RU"/>
        </w:rPr>
        <w:drawing>
          <wp:inline distT="0" distB="0" distL="0" distR="0">
            <wp:extent cx="2140585" cy="2140585"/>
            <wp:effectExtent l="0" t="0" r="8255" b="8255"/>
            <wp:docPr id="15" name="Рисунок 15" descr="LN4 - LN4 added a new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LN4 - LN4 added a new pho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140585" cy="2140585"/>
                    </a:xfrm>
                    <a:prstGeom prst="rect">
                      <a:avLst/>
                    </a:prstGeom>
                    <a:noFill/>
                    <a:ln>
                      <a:noFill/>
                    </a:ln>
                  </pic:spPr>
                </pic:pic>
              </a:graphicData>
            </a:graphic>
          </wp:inline>
        </w:drawing>
      </w:r>
    </w:p>
    <w:p w14:paraId="577CA11E">
      <w:pPr>
        <w:jc w:val="both"/>
        <w:rPr>
          <w:rFonts w:ascii="Times New Roman" w:hAnsi="Times New Roman" w:cs="Times New Roman"/>
          <w:sz w:val="28"/>
          <w:szCs w:val="28"/>
        </w:rPr>
      </w:pPr>
      <w:r>
        <w:rPr>
          <w:rFonts w:ascii="Times New Roman" w:hAnsi="Times New Roman" w:cs="Times New Roman"/>
          <w:b/>
          <w:bCs/>
          <w:sz w:val="28"/>
          <w:szCs w:val="28"/>
        </w:rPr>
        <w:t xml:space="preserve">Описание: </w:t>
      </w:r>
      <w:r>
        <w:rPr>
          <w:rFonts w:ascii="Times New Roman" w:hAnsi="Times New Roman" w:cs="Times New Roman"/>
          <w:sz w:val="28"/>
          <w:szCs w:val="28"/>
        </w:rPr>
        <w:t>принцип завершенности заключается в способности человеческого мозга «достраивать» недостающие фрагменты объекта до целостного образа. На данном скриншоте мы видим логотип британского гонщика Ландо Норриса “</w:t>
      </w:r>
      <w:r>
        <w:rPr>
          <w:rFonts w:ascii="Times New Roman" w:hAnsi="Times New Roman" w:cs="Times New Roman"/>
          <w:sz w:val="28"/>
          <w:szCs w:val="28"/>
          <w:lang w:val="en-US"/>
        </w:rPr>
        <w:t>LN</w:t>
      </w:r>
      <w:r>
        <w:rPr>
          <w:rFonts w:ascii="Times New Roman" w:hAnsi="Times New Roman" w:cs="Times New Roman"/>
          <w:sz w:val="28"/>
          <w:szCs w:val="28"/>
        </w:rPr>
        <w:t xml:space="preserve">4”. Несмотря на то, что видны буквы </w:t>
      </w:r>
      <w:r>
        <w:rPr>
          <w:rFonts w:ascii="Times New Roman" w:hAnsi="Times New Roman" w:cs="Times New Roman"/>
          <w:sz w:val="28"/>
          <w:szCs w:val="28"/>
          <w:lang w:val="en-US"/>
        </w:rPr>
        <w:t>L</w:t>
      </w:r>
      <w:r>
        <w:rPr>
          <w:rFonts w:ascii="Times New Roman" w:hAnsi="Times New Roman" w:cs="Times New Roman"/>
          <w:sz w:val="28"/>
          <w:szCs w:val="28"/>
        </w:rPr>
        <w:t xml:space="preserve"> и </w:t>
      </w:r>
      <w:r>
        <w:rPr>
          <w:rFonts w:ascii="Times New Roman" w:hAnsi="Times New Roman" w:cs="Times New Roman"/>
          <w:sz w:val="28"/>
          <w:szCs w:val="28"/>
          <w:lang w:val="en-US"/>
        </w:rPr>
        <w:t>N</w:t>
      </w:r>
      <w:r>
        <w:rPr>
          <w:rFonts w:ascii="Times New Roman" w:hAnsi="Times New Roman" w:cs="Times New Roman"/>
          <w:sz w:val="28"/>
          <w:szCs w:val="28"/>
        </w:rPr>
        <w:t>, пользователь подсознательно воспринимает “дорисовывает” цифру 4 между ними.</w:t>
      </w:r>
    </w:p>
    <w:p w14:paraId="64B06257">
      <w:pPr>
        <w:rPr>
          <w:rFonts w:ascii="Times New Roman" w:hAnsi="Times New Roman" w:cs="Times New Roman"/>
          <w:sz w:val="28"/>
          <w:szCs w:val="28"/>
        </w:rPr>
      </w:pPr>
      <w:r>
        <w:rPr>
          <w:rFonts w:ascii="Times New Roman" w:hAnsi="Times New Roman" w:cs="Times New Roman"/>
          <w:sz w:val="28"/>
          <w:szCs w:val="28"/>
        </w:rPr>
        <w:br w:type="page"/>
      </w:r>
    </w:p>
    <w:p w14:paraId="7EC4E035">
      <w:pPr>
        <w:jc w:val="both"/>
        <w:rPr>
          <w:rFonts w:ascii="Times New Roman" w:hAnsi="Times New Roman" w:cs="Times New Roman"/>
          <w:sz w:val="28"/>
          <w:szCs w:val="28"/>
        </w:rPr>
      </w:pPr>
    </w:p>
    <w:p w14:paraId="32D73004">
      <w:pPr>
        <w:jc w:val="both"/>
        <w:rPr>
          <w:rFonts w:ascii="Times New Roman" w:hAnsi="Times New Roman" w:cs="Times New Roman"/>
          <w:b/>
          <w:bCs/>
          <w:sz w:val="28"/>
          <w:szCs w:val="28"/>
        </w:rPr>
      </w:pPr>
      <w:r>
        <w:rPr>
          <w:rFonts w:ascii="Times New Roman" w:hAnsi="Times New Roman" w:cs="Times New Roman"/>
          <w:b/>
          <w:bCs/>
          <w:sz w:val="28"/>
          <w:szCs w:val="28"/>
        </w:rPr>
        <w:t>5) Принцип симметрии и асимметрии</w:t>
      </w:r>
    </w:p>
    <w:p w14:paraId="5E58E0B5">
      <w:pPr>
        <w:jc w:val="both"/>
        <w:rPr>
          <w:rFonts w:ascii="Times New Roman" w:hAnsi="Times New Roman" w:cs="Times New Roman"/>
          <w:b/>
          <w:bCs/>
          <w:sz w:val="28"/>
          <w:szCs w:val="28"/>
        </w:rPr>
      </w:pPr>
      <w:r>
        <w:rPr>
          <w:rFonts w:ascii="Times New Roman" w:hAnsi="Times New Roman" w:cs="Times New Roman"/>
          <w:b/>
          <w:bCs/>
          <w:sz w:val="28"/>
          <w:szCs w:val="28"/>
        </w:rPr>
        <w:t>Симметрия</w:t>
      </w:r>
      <w:r>
        <w:rPr>
          <w:rFonts w:ascii="Times New Roman" w:hAnsi="Times New Roman" w:cs="Times New Roman"/>
          <w:b/>
          <w:bCs/>
          <w:sz w:val="28"/>
          <w:szCs w:val="28"/>
        </w:rPr>
        <w:br w:type="textWrapping"/>
      </w:r>
      <w:r>
        <w:rPr>
          <w:rFonts w:ascii="Times New Roman" w:hAnsi="Times New Roman" w:cs="Times New Roman"/>
          <w:b/>
          <w:bCs/>
          <w:sz w:val="28"/>
          <w:szCs w:val="28"/>
          <w:lang w:eastAsia="ru-RU"/>
        </w:rPr>
        <w:drawing>
          <wp:inline distT="0" distB="0" distL="0" distR="0">
            <wp:extent cx="5940425" cy="2032000"/>
            <wp:effectExtent l="0" t="0" r="3175" b="1016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8"/>
                    <a:stretch>
                      <a:fillRect/>
                    </a:stretch>
                  </pic:blipFill>
                  <pic:spPr>
                    <a:xfrm>
                      <a:off x="0" y="0"/>
                      <a:ext cx="5940425" cy="2032000"/>
                    </a:xfrm>
                    <a:prstGeom prst="rect">
                      <a:avLst/>
                    </a:prstGeom>
                  </pic:spPr>
                </pic:pic>
              </a:graphicData>
            </a:graphic>
          </wp:inline>
        </w:drawing>
      </w:r>
    </w:p>
    <w:p w14:paraId="34EDD020">
      <w:pPr>
        <w:shd w:val="clear" w:color="auto" w:fill="FFFFFF"/>
        <w:spacing w:after="270" w:line="315" w:lineRule="atLeast"/>
        <w:rPr>
          <w:rFonts w:ascii="Times New Roman" w:hAnsi="Times New Roman" w:eastAsia="Times New Roman" w:cs="Times New Roman"/>
          <w:color w:val="2B2D31"/>
          <w:sz w:val="28"/>
          <w:szCs w:val="28"/>
          <w:lang w:eastAsia="ru-RU"/>
        </w:rPr>
      </w:pPr>
      <w:r>
        <w:rPr>
          <w:rFonts w:ascii="Times New Roman" w:hAnsi="Times New Roman" w:cs="Times New Roman"/>
          <w:b/>
          <w:bCs/>
          <w:sz w:val="28"/>
          <w:szCs w:val="28"/>
        </w:rPr>
        <w:t xml:space="preserve">Описание: </w:t>
      </w:r>
      <w:r>
        <w:rPr>
          <w:rFonts w:ascii="Times New Roman" w:hAnsi="Times New Roman" w:eastAsia="Times New Roman" w:cs="Times New Roman"/>
          <w:color w:val="2B2D31"/>
          <w:sz w:val="28"/>
          <w:szCs w:val="28"/>
          <w:lang w:eastAsia="ru-RU"/>
        </w:rPr>
        <w:t>На данном скриншоте принцип симметрии реализован через сбалансированное построение сетки карточек и зеркальное расположение элементов навигации. Хотя текст внутри самих карточек выровнен по левому краю, общая композиция блока «Акции» выстроена с соблюдением строгого визуального ритма: все элементы имеют идентичные пропорции и равноудалены друг от друга. Боковые стрелки прокрутки (влево и вправо) расположены симметрично относительно центральной горизонтальной оси ряда, что создает ощущение композиционного равновесия и завершенности. Такая упорядоченная структура минимизирует визуальный шум и создает ощущение стабильности и порядка, позволяя пользователю быстро сканировать предложения и воспринимать интерфейс как надежный и профессиональный продукт.</w:t>
      </w:r>
    </w:p>
    <w:p w14:paraId="6F70B70C">
      <w:pPr>
        <w:jc w:val="both"/>
        <w:rPr>
          <w:rFonts w:ascii="Times New Roman" w:hAnsi="Times New Roman" w:cs="Times New Roman"/>
          <w:sz w:val="28"/>
          <w:szCs w:val="28"/>
        </w:rPr>
      </w:pPr>
    </w:p>
    <w:p w14:paraId="621A48FC">
      <w:pPr>
        <w:jc w:val="both"/>
        <w:rPr>
          <w:rFonts w:ascii="Times New Roman" w:hAnsi="Times New Roman" w:cs="Times New Roman"/>
          <w:b/>
          <w:bCs/>
          <w:sz w:val="28"/>
          <w:szCs w:val="28"/>
        </w:rPr>
      </w:pPr>
      <w:r>
        <w:rPr>
          <w:rFonts w:ascii="Times New Roman" w:hAnsi="Times New Roman" w:cs="Times New Roman"/>
          <w:b/>
          <w:bCs/>
          <w:sz w:val="28"/>
          <w:szCs w:val="28"/>
        </w:rPr>
        <w:t>Асимметрия</w:t>
      </w:r>
      <w:r>
        <w:rPr>
          <w:rFonts w:ascii="Times New Roman" w:hAnsi="Times New Roman" w:cs="Times New Roman"/>
          <w:b/>
          <w:bCs/>
          <w:sz w:val="28"/>
          <w:szCs w:val="28"/>
        </w:rPr>
        <w:br w:type="textWrapping"/>
      </w:r>
      <w:r>
        <w:rPr>
          <w:lang w:eastAsia="ru-RU"/>
        </w:rPr>
        <w:drawing>
          <wp:inline distT="0" distB="0" distL="0" distR="0">
            <wp:extent cx="5940425" cy="2360295"/>
            <wp:effectExtent l="0" t="0" r="317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10"/>
                    <a:stretch>
                      <a:fillRect/>
                    </a:stretch>
                  </pic:blipFill>
                  <pic:spPr>
                    <a:xfrm>
                      <a:off x="0" y="0"/>
                      <a:ext cx="5940425" cy="2360295"/>
                    </a:xfrm>
                    <a:prstGeom prst="rect">
                      <a:avLst/>
                    </a:prstGeom>
                  </pic:spPr>
                </pic:pic>
              </a:graphicData>
            </a:graphic>
          </wp:inline>
        </w:drawing>
      </w:r>
    </w:p>
    <w:p w14:paraId="6B432FE5">
      <w:pPr>
        <w:jc w:val="both"/>
        <w:rPr>
          <w:rFonts w:ascii="Times New Roman" w:hAnsi="Times New Roman" w:cs="Times New Roman"/>
          <w:sz w:val="28"/>
          <w:szCs w:val="28"/>
        </w:rPr>
      </w:pPr>
      <w:r>
        <w:rPr>
          <w:rFonts w:ascii="Times New Roman" w:hAnsi="Times New Roman" w:cs="Times New Roman"/>
          <w:b/>
          <w:bCs/>
          <w:sz w:val="28"/>
          <w:szCs w:val="28"/>
        </w:rPr>
        <w:t xml:space="preserve">Описание: </w:t>
      </w:r>
      <w:r>
        <w:rPr>
          <w:rFonts w:ascii="Times New Roman" w:hAnsi="Times New Roman" w:cs="Times New Roman"/>
          <w:sz w:val="28"/>
          <w:szCs w:val="28"/>
        </w:rPr>
        <w:t>на данном скриншоте (галерея интерьеров) продемонстрирован принцип асимметричного баланса в сетке изображений. Композиция построена на контрасте масштабов: одна крупная фотография слева уравновешивается группой из четырех меньших по размеру снимков справа. Такое решение позволяет создать четкую визуальную иерархию, выделяя главный объект (наиболее информативное фото) и одновременно предоставляя дополнительные детали. Асимметрия делает макет более динамичным и современным, при этом сохраняя общее ощущение равновесия за счет правильного распределения визуального «веса» элементов.</w:t>
      </w:r>
    </w:p>
    <w:p w14:paraId="375287D7">
      <w:pPr>
        <w:jc w:val="both"/>
        <w:rPr>
          <w:rFonts w:ascii="Times New Roman" w:hAnsi="Times New Roman" w:cs="Times New Roman"/>
          <w:sz w:val="28"/>
          <w:szCs w:val="28"/>
        </w:rPr>
      </w:pPr>
    </w:p>
    <w:p w14:paraId="4167E344">
      <w:pPr>
        <w:rPr>
          <w:rFonts w:ascii="Times New Roman" w:hAnsi="Times New Roman" w:cs="Times New Roman"/>
          <w:b/>
          <w:bCs/>
          <w:sz w:val="28"/>
          <w:szCs w:val="28"/>
        </w:rPr>
      </w:pPr>
      <w:r>
        <w:rPr>
          <w:rFonts w:ascii="Times New Roman" w:hAnsi="Times New Roman" w:cs="Times New Roman"/>
          <w:b/>
          <w:bCs/>
          <w:sz w:val="28"/>
          <w:szCs w:val="28"/>
        </w:rPr>
        <w:t>6) Принцип непрерывности</w:t>
      </w:r>
    </w:p>
    <w:p w14:paraId="3108A571">
      <w:pPr>
        <w:jc w:val="both"/>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882015"/>
            <wp:effectExtent l="0" t="0" r="3175"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a:picLocks noChangeAspect="1"/>
                    </pic:cNvPicPr>
                  </pic:nvPicPr>
                  <pic:blipFill>
                    <a:blip r:embed="rId11"/>
                    <a:stretch>
                      <a:fillRect/>
                    </a:stretch>
                  </pic:blipFill>
                  <pic:spPr>
                    <a:xfrm>
                      <a:off x="0" y="0"/>
                      <a:ext cx="5940425" cy="882015"/>
                    </a:xfrm>
                    <a:prstGeom prst="rect">
                      <a:avLst/>
                    </a:prstGeom>
                  </pic:spPr>
                </pic:pic>
              </a:graphicData>
            </a:graphic>
          </wp:inline>
        </w:drawing>
      </w:r>
    </w:p>
    <w:p w14:paraId="74468EA0">
      <w:pPr>
        <w:jc w:val="both"/>
        <w:rPr>
          <w:rFonts w:ascii="Times New Roman" w:hAnsi="Times New Roman" w:cs="Times New Roman"/>
          <w:sz w:val="28"/>
          <w:szCs w:val="28"/>
        </w:rPr>
      </w:pPr>
      <w:r>
        <w:rPr>
          <w:rFonts w:ascii="Times New Roman" w:hAnsi="Times New Roman" w:cs="Times New Roman"/>
          <w:b/>
          <w:bCs/>
          <w:sz w:val="28"/>
          <w:szCs w:val="28"/>
        </w:rPr>
        <w:t xml:space="preserve">Описание: </w:t>
      </w:r>
      <w:r>
        <w:rPr>
          <w:rFonts w:ascii="Times New Roman" w:hAnsi="Times New Roman" w:cs="Times New Roman"/>
          <w:sz w:val="28"/>
          <w:szCs w:val="28"/>
        </w:rPr>
        <w:t>на скриншоте аудиодорожки из SoundCloud принцип непрерывности реализован через визуализацию звуковой волны и линию таймлайна. Несмотря на то, что «волна» состоит из множества отдельных вертикальных полосок разной высоты, наш глаз подсознательно объединяет их в единый плавный поток, следующий слева направо. Горизонтальная направляющая линия в нижней части усиливает этот эффект, создавая четкий визуальный путь от начала трека (0:14) до его завершения (3:51). В интерфейсах этот принцип помогает пользователю интуитивно следовать за логикой процесса (в данном случае – за течением времени в песне), не теряя фокус на деталях.</w:t>
      </w:r>
    </w:p>
    <w:p w14:paraId="49AD50DA">
      <w:pPr>
        <w:jc w:val="both"/>
        <w:rPr>
          <w:rFonts w:ascii="Times New Roman" w:hAnsi="Times New Roman" w:cs="Times New Roman"/>
          <w:sz w:val="28"/>
          <w:szCs w:val="28"/>
        </w:rPr>
      </w:pPr>
    </w:p>
    <w:p w14:paraId="3C92A83F">
      <w:pPr>
        <w:jc w:val="both"/>
        <w:rPr>
          <w:rFonts w:ascii="Times New Roman" w:hAnsi="Times New Roman" w:cs="Times New Roman"/>
          <w:b/>
          <w:bCs/>
          <w:sz w:val="28"/>
          <w:szCs w:val="28"/>
        </w:rPr>
      </w:pPr>
      <w:r>
        <w:rPr>
          <w:rFonts w:ascii="Times New Roman" w:hAnsi="Times New Roman" w:cs="Times New Roman"/>
          <w:b/>
          <w:bCs/>
          <w:sz w:val="28"/>
          <w:szCs w:val="28"/>
        </w:rPr>
        <w:t>7) Принцип общего направления</w:t>
      </w:r>
    </w:p>
    <w:p w14:paraId="55AAED26">
      <w:pPr>
        <w:jc w:val="both"/>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224726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2"/>
                    <a:stretch>
                      <a:fillRect/>
                    </a:stretch>
                  </pic:blipFill>
                  <pic:spPr>
                    <a:xfrm>
                      <a:off x="0" y="0"/>
                      <a:ext cx="5940425" cy="2247265"/>
                    </a:xfrm>
                    <a:prstGeom prst="rect">
                      <a:avLst/>
                    </a:prstGeom>
                  </pic:spPr>
                </pic:pic>
              </a:graphicData>
            </a:graphic>
          </wp:inline>
        </w:drawing>
      </w:r>
    </w:p>
    <w:p w14:paraId="48D681B7">
      <w:pPr>
        <w:rPr>
          <w:rFonts w:ascii="Times New Roman" w:hAnsi="Times New Roman" w:cs="Times New Roman"/>
          <w:b/>
          <w:bCs/>
          <w:sz w:val="28"/>
          <w:szCs w:val="28"/>
        </w:rPr>
      </w:pPr>
      <w:r>
        <w:rPr>
          <w:rFonts w:ascii="Times New Roman" w:hAnsi="Times New Roman" w:cs="Times New Roman"/>
          <w:b/>
          <w:bCs/>
          <w:sz w:val="28"/>
          <w:szCs w:val="28"/>
        </w:rPr>
        <w:br w:type="page"/>
      </w:r>
    </w:p>
    <w:p w14:paraId="3DD8F5CD">
      <w:pPr>
        <w:rPr>
          <w:rFonts w:ascii="Times New Roman" w:hAnsi="Times New Roman" w:eastAsia="Times New Roman" w:cs="Times New Roman"/>
          <w:sz w:val="28"/>
          <w:szCs w:val="24"/>
          <w:lang w:eastAsia="ru-RU"/>
        </w:rPr>
      </w:pPr>
      <w:r>
        <w:rPr>
          <w:rFonts w:ascii="Times New Roman" w:hAnsi="Times New Roman" w:cs="Times New Roman"/>
          <w:b/>
          <w:bCs/>
          <w:sz w:val="28"/>
          <w:szCs w:val="28"/>
        </w:rPr>
        <w:t xml:space="preserve">Описание: </w:t>
      </w:r>
      <w:r>
        <w:rPr>
          <w:rFonts w:ascii="Times New Roman" w:hAnsi="Times New Roman" w:eastAsia="Times New Roman" w:cs="Times New Roman"/>
          <w:sz w:val="28"/>
          <w:szCs w:val="24"/>
          <w:lang w:eastAsia="ru-RU"/>
        </w:rPr>
        <w:t>Принцип общего направления обозначает, что элементы, имеющие общую траекторию движения или ориентацию, воспринимаются как связанные друг с другом. На скриншоте сервиса Uber этот принцип реализован через строгое горизонтальное выравнивание карточек в два ряда. Общая ориентация элементов внутри каждой карточки (заголовок, описание и кнопка «Подробнее» слева, тематическая иконка справа) создает единый визуальный поток. Несмотря на то, что интерфейс в данном блоке статичен, выравнивание карточек по одной линии задает вектор считывания информации. Пользователь подсознательно объединяет эти предложения в общую функциональную группу: мозг понимает, что все эти блоки ведут себя идентично в рамках интерфейса и при скролле страницы будут перемещаться синхронно, сохраняя свою структуру и направление.</w:t>
      </w:r>
    </w:p>
    <w:p w14:paraId="07E7AA7C">
      <w:pPr>
        <w:jc w:val="both"/>
        <w:rPr>
          <w:rFonts w:ascii="Times New Roman" w:hAnsi="Times New Roman" w:cs="Times New Roman"/>
          <w:sz w:val="28"/>
          <w:szCs w:val="28"/>
        </w:rPr>
      </w:pPr>
    </w:p>
    <w:p w14:paraId="3459E247">
      <w:pPr>
        <w:jc w:val="both"/>
        <w:rPr>
          <w:rFonts w:ascii="Times New Roman" w:hAnsi="Times New Roman" w:cs="Times New Roman"/>
          <w:sz w:val="28"/>
          <w:szCs w:val="28"/>
        </w:rPr>
      </w:pPr>
    </w:p>
    <w:p w14:paraId="433DD3D7">
      <w:pPr>
        <w:jc w:val="both"/>
        <w:rPr>
          <w:rFonts w:ascii="Times New Roman" w:hAnsi="Times New Roman" w:cs="Times New Roman"/>
          <w:b/>
          <w:sz w:val="28"/>
          <w:szCs w:val="28"/>
        </w:rPr>
      </w:pPr>
    </w:p>
    <w:p w14:paraId="03FB4FC7">
      <w:pPr>
        <w:jc w:val="both"/>
        <w:rPr>
          <w:rFonts w:ascii="Times New Roman" w:hAnsi="Times New Roman" w:cs="Times New Roman"/>
          <w:b/>
          <w:sz w:val="28"/>
          <w:szCs w:val="28"/>
        </w:rPr>
      </w:pPr>
      <w:r>
        <w:rPr>
          <w:rFonts w:ascii="Times New Roman" w:hAnsi="Times New Roman" w:cs="Times New Roman"/>
          <w:b/>
          <w:sz w:val="28"/>
          <w:szCs w:val="28"/>
        </w:rPr>
        <w:t>8) Принцип соотношения фигуры и фона</w:t>
      </w:r>
    </w:p>
    <w:p w14:paraId="5044CF61">
      <w:pPr>
        <w:jc w:val="center"/>
        <w:rPr>
          <w:rFonts w:ascii="Times New Roman" w:hAnsi="Times New Roman" w:cs="Times New Roman"/>
          <w:b/>
          <w:bCs/>
          <w:sz w:val="28"/>
          <w:szCs w:val="28"/>
        </w:rPr>
      </w:pPr>
      <w:r>
        <w:rPr>
          <w:lang w:eastAsia="ru-RU"/>
        </w:rPr>
        <w:drawing>
          <wp:inline distT="0" distB="0" distL="0" distR="0">
            <wp:extent cx="2696210" cy="5060950"/>
            <wp:effectExtent l="0" t="0" r="1270" b="1397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129"/>
                    <pic:cNvPicPr>
                      <a:picLocks noChangeAspect="1"/>
                    </pic:cNvPicPr>
                  </pic:nvPicPr>
                  <pic:blipFill>
                    <a:blip r:embed="rId13"/>
                    <a:stretch>
                      <a:fillRect/>
                    </a:stretch>
                  </pic:blipFill>
                  <pic:spPr>
                    <a:xfrm>
                      <a:off x="0" y="0"/>
                      <a:ext cx="2705200" cy="5077260"/>
                    </a:xfrm>
                    <a:prstGeom prst="rect">
                      <a:avLst/>
                    </a:prstGeom>
                  </pic:spPr>
                </pic:pic>
              </a:graphicData>
            </a:graphic>
          </wp:inline>
        </w:drawing>
      </w:r>
    </w:p>
    <w:p w14:paraId="0ADF5CD3">
      <w:pPr>
        <w:rPr>
          <w:rFonts w:ascii="Times New Roman" w:hAnsi="Times New Roman" w:cs="Times New Roman"/>
          <w:sz w:val="28"/>
          <w:szCs w:val="28"/>
        </w:rPr>
      </w:pPr>
      <w:r>
        <w:rPr>
          <w:rFonts w:ascii="Times New Roman" w:hAnsi="Times New Roman" w:cs="Times New Roman"/>
          <w:b/>
          <w:bCs/>
          <w:sz w:val="28"/>
          <w:szCs w:val="28"/>
        </w:rPr>
        <w:t xml:space="preserve">Описание: </w:t>
      </w:r>
      <w:r>
        <w:rPr>
          <w:rFonts w:ascii="Times New Roman" w:hAnsi="Times New Roman" w:cs="Times New Roman"/>
          <w:sz w:val="28"/>
          <w:szCs w:val="28"/>
        </w:rPr>
        <w:t>на данном скриншоте из мобильного приложения Steam наглядно продемонстрирован принцип разделения фигуры и фона. При активации верхнего меню оно выдвигается на передний план, становясь активной «фигурой», на которой должен сфокусироваться пользователь. Остальная часть интерфейса (баннеры игр и навигация) искусственно затемняется с помощью полупрозрачного слоя, превращаясь в пассивный «фон». Такое визуальное разделение позволяет четко расставить приоритеты: мозг мгновенно считывает границы активного элемента, игнорируя визуальный шум от контента на заднем плане, что значительно упрощает навигацию и взаимодействие с интерфейсом.</w:t>
      </w:r>
    </w:p>
    <w:p w14:paraId="463C1E1A">
      <w:pPr>
        <w:rPr>
          <w:rFonts w:ascii="Times New Roman" w:hAnsi="Times New Roman" w:cs="Times New Roman"/>
          <w:sz w:val="28"/>
          <w:szCs w:val="28"/>
        </w:rPr>
      </w:pPr>
    </w:p>
    <w:p w14:paraId="5F75AF04">
      <w:pPr>
        <w:rPr>
          <w:rFonts w:ascii="Times New Roman" w:hAnsi="Times New Roman" w:cs="Times New Roman"/>
          <w:b/>
          <w:bCs/>
          <w:sz w:val="28"/>
          <w:szCs w:val="28"/>
        </w:rPr>
      </w:pPr>
    </w:p>
    <w:p w14:paraId="542202DE">
      <w:pPr>
        <w:rPr>
          <w:rFonts w:ascii="Times New Roman" w:hAnsi="Times New Roman" w:cs="Times New Roman"/>
          <w:b/>
          <w:bCs/>
          <w:sz w:val="28"/>
          <w:szCs w:val="28"/>
        </w:rPr>
      </w:pPr>
    </w:p>
    <w:p w14:paraId="7B1A89BC">
      <w:pPr>
        <w:rPr>
          <w:rFonts w:ascii="Times New Roman" w:hAnsi="Times New Roman" w:cs="Times New Roman"/>
          <w:b/>
          <w:bCs/>
          <w:sz w:val="28"/>
          <w:szCs w:val="28"/>
        </w:rPr>
      </w:pPr>
    </w:p>
    <w:p w14:paraId="53964D93">
      <w:pPr>
        <w:rPr>
          <w:rFonts w:ascii="Times New Roman" w:hAnsi="Times New Roman" w:cs="Times New Roman"/>
          <w:b/>
          <w:bCs/>
          <w:sz w:val="28"/>
          <w:szCs w:val="28"/>
        </w:rPr>
      </w:pPr>
      <w:r>
        <w:rPr>
          <w:rFonts w:ascii="Times New Roman" w:hAnsi="Times New Roman" w:cs="Times New Roman"/>
          <w:b/>
          <w:bCs/>
          <w:sz w:val="28"/>
          <w:szCs w:val="28"/>
        </w:rPr>
        <w:t>4. Законы и основные элементы композиции</w:t>
      </w:r>
    </w:p>
    <w:p w14:paraId="4C9376C9">
      <w:pPr>
        <w:rPr>
          <w:rFonts w:ascii="Times New Roman" w:hAnsi="Times New Roman" w:cs="Times New Roman"/>
          <w:b/>
          <w:bCs/>
          <w:sz w:val="28"/>
          <w:szCs w:val="28"/>
        </w:rPr>
      </w:pPr>
      <w:r>
        <w:rPr>
          <w:rFonts w:ascii="Times New Roman" w:hAnsi="Times New Roman" w:cs="Times New Roman"/>
          <w:b/>
          <w:bCs/>
          <w:sz w:val="28"/>
          <w:szCs w:val="28"/>
        </w:rPr>
        <w:t>1) Закон единства</w:t>
      </w:r>
    </w:p>
    <w:p w14:paraId="0AC2D6D2">
      <w:pP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1604010"/>
            <wp:effectExtent l="0" t="0" r="3175" b="1143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130"/>
                    <pic:cNvPicPr>
                      <a:picLocks noChangeAspect="1"/>
                    </pic:cNvPicPr>
                  </pic:nvPicPr>
                  <pic:blipFill>
                    <a:blip r:embed="rId14"/>
                    <a:stretch>
                      <a:fillRect/>
                    </a:stretch>
                  </pic:blipFill>
                  <pic:spPr>
                    <a:xfrm>
                      <a:off x="0" y="0"/>
                      <a:ext cx="5940425" cy="1604010"/>
                    </a:xfrm>
                    <a:prstGeom prst="rect">
                      <a:avLst/>
                    </a:prstGeom>
                  </pic:spPr>
                </pic:pic>
              </a:graphicData>
            </a:graphic>
          </wp:inline>
        </w:drawing>
      </w:r>
    </w:p>
    <w:p w14:paraId="2B8FC4E8">
      <w:pPr>
        <w:rPr>
          <w:rFonts w:ascii="Times New Roman" w:hAnsi="Times New Roman" w:cs="Times New Roman"/>
          <w:b/>
          <w:bCs/>
          <w:sz w:val="28"/>
          <w:szCs w:val="28"/>
        </w:rPr>
      </w:pPr>
      <w:r>
        <w:rPr>
          <w:rFonts w:ascii="Times New Roman" w:hAnsi="Times New Roman" w:cs="Times New Roman"/>
          <w:b/>
          <w:bCs/>
          <w:sz w:val="28"/>
          <w:szCs w:val="28"/>
        </w:rPr>
        <w:t>2) Закон соподчинения</w:t>
      </w:r>
    </w:p>
    <w:p w14:paraId="0EA230CF">
      <w:pP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184277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5"/>
                    <a:stretch>
                      <a:fillRect/>
                    </a:stretch>
                  </pic:blipFill>
                  <pic:spPr>
                    <a:xfrm>
                      <a:off x="0" y="0"/>
                      <a:ext cx="5940425" cy="1842770"/>
                    </a:xfrm>
                    <a:prstGeom prst="rect">
                      <a:avLst/>
                    </a:prstGeom>
                  </pic:spPr>
                </pic:pic>
              </a:graphicData>
            </a:graphic>
          </wp:inline>
        </w:drawing>
      </w:r>
    </w:p>
    <w:p w14:paraId="2E08FED4">
      <w:pPr>
        <w:rPr>
          <w:rFonts w:ascii="Times New Roman" w:hAnsi="Times New Roman" w:cs="Times New Roman"/>
          <w:b/>
          <w:bCs/>
          <w:sz w:val="28"/>
          <w:szCs w:val="28"/>
        </w:rPr>
      </w:pPr>
      <w:r>
        <w:rPr>
          <w:rFonts w:ascii="Times New Roman" w:hAnsi="Times New Roman" w:cs="Times New Roman"/>
          <w:b/>
          <w:bCs/>
          <w:sz w:val="28"/>
          <w:szCs w:val="28"/>
        </w:rPr>
        <w:br w:type="page"/>
      </w:r>
    </w:p>
    <w:p w14:paraId="345B5DF4">
      <w:pPr>
        <w:rPr>
          <w:rFonts w:ascii="Times New Roman" w:hAnsi="Times New Roman" w:cs="Times New Roman"/>
          <w:b/>
          <w:bCs/>
          <w:sz w:val="28"/>
          <w:szCs w:val="28"/>
        </w:rPr>
      </w:pPr>
      <w:r>
        <w:rPr>
          <w:rFonts w:ascii="Times New Roman" w:hAnsi="Times New Roman" w:cs="Times New Roman"/>
          <w:b/>
          <w:bCs/>
          <w:sz w:val="28"/>
          <w:szCs w:val="28"/>
        </w:rPr>
        <w:t>3) Закон равновесия</w:t>
      </w:r>
    </w:p>
    <w:p w14:paraId="70DD3504">
      <w:pP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171894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16"/>
                    <a:stretch>
                      <a:fillRect/>
                    </a:stretch>
                  </pic:blipFill>
                  <pic:spPr>
                    <a:xfrm>
                      <a:off x="0" y="0"/>
                      <a:ext cx="5940425" cy="1718945"/>
                    </a:xfrm>
                    <a:prstGeom prst="rect">
                      <a:avLst/>
                    </a:prstGeom>
                  </pic:spPr>
                </pic:pic>
              </a:graphicData>
            </a:graphic>
          </wp:inline>
        </w:drawing>
      </w:r>
    </w:p>
    <w:p w14:paraId="01ED469F">
      <w:pPr>
        <w:rPr>
          <w:rFonts w:ascii="Times New Roman" w:hAnsi="Times New Roman" w:cs="Times New Roman"/>
          <w:b/>
          <w:bCs/>
          <w:sz w:val="28"/>
          <w:szCs w:val="28"/>
        </w:rPr>
      </w:pPr>
    </w:p>
    <w:p w14:paraId="20A6A3FA">
      <w:pPr>
        <w:rPr>
          <w:rFonts w:ascii="Times New Roman" w:hAnsi="Times New Roman" w:cs="Times New Roman"/>
          <w:b/>
          <w:bCs/>
          <w:sz w:val="28"/>
          <w:szCs w:val="28"/>
        </w:rPr>
      </w:pPr>
    </w:p>
    <w:p w14:paraId="38358A31">
      <w:pPr>
        <w:rPr>
          <w:rFonts w:ascii="Times New Roman" w:hAnsi="Times New Roman" w:cs="Times New Roman"/>
          <w:b/>
          <w:bCs/>
          <w:sz w:val="28"/>
          <w:szCs w:val="28"/>
        </w:rPr>
      </w:pPr>
    </w:p>
    <w:p w14:paraId="6803F1FC">
      <w:pPr>
        <w:rPr>
          <w:rFonts w:ascii="Times New Roman" w:hAnsi="Times New Roman" w:cs="Times New Roman"/>
          <w:b/>
          <w:bCs/>
          <w:sz w:val="28"/>
          <w:szCs w:val="28"/>
        </w:rPr>
      </w:pPr>
    </w:p>
    <w:p w14:paraId="642ADA1E">
      <w:pPr>
        <w:rPr>
          <w:rFonts w:ascii="Times New Roman" w:hAnsi="Times New Roman" w:cs="Times New Roman"/>
          <w:b/>
          <w:bCs/>
          <w:sz w:val="28"/>
          <w:szCs w:val="28"/>
        </w:rPr>
      </w:pPr>
    </w:p>
    <w:p w14:paraId="7D97A8CF">
      <w:pPr>
        <w:rPr>
          <w:rFonts w:ascii="Times New Roman" w:hAnsi="Times New Roman" w:cs="Times New Roman"/>
          <w:b/>
          <w:bCs/>
          <w:sz w:val="28"/>
          <w:szCs w:val="28"/>
        </w:rPr>
      </w:pPr>
      <w:r>
        <w:rPr>
          <w:rFonts w:ascii="Times New Roman" w:hAnsi="Times New Roman" w:cs="Times New Roman"/>
          <w:b/>
          <w:bCs/>
          <w:sz w:val="28"/>
          <w:szCs w:val="28"/>
        </w:rPr>
        <w:t xml:space="preserve">4) Элемент: Точка </w:t>
      </w:r>
    </w:p>
    <w:p w14:paraId="4C79CBD9">
      <w:pP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4867910" cy="4925060"/>
            <wp:effectExtent l="0" t="0" r="8890" b="127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7"/>
                    <a:stretch>
                      <a:fillRect/>
                    </a:stretch>
                  </pic:blipFill>
                  <pic:spPr>
                    <a:xfrm>
                      <a:off x="0" y="0"/>
                      <a:ext cx="4867954" cy="4925112"/>
                    </a:xfrm>
                    <a:prstGeom prst="rect">
                      <a:avLst/>
                    </a:prstGeom>
                  </pic:spPr>
                </pic:pic>
              </a:graphicData>
            </a:graphic>
          </wp:inline>
        </w:drawing>
      </w:r>
    </w:p>
    <w:p w14:paraId="0315A801">
      <w:pPr>
        <w:rPr>
          <w:rFonts w:ascii="Times New Roman" w:hAnsi="Times New Roman" w:cs="Times New Roman"/>
          <w:b/>
          <w:bCs/>
          <w:sz w:val="28"/>
          <w:szCs w:val="28"/>
        </w:rPr>
      </w:pPr>
      <w:r>
        <w:rPr>
          <w:rFonts w:ascii="Times New Roman" w:hAnsi="Times New Roman" w:cs="Times New Roman"/>
          <w:b/>
          <w:bCs/>
          <w:sz w:val="28"/>
          <w:szCs w:val="28"/>
        </w:rPr>
        <w:t>5) Элемент: Линия</w:t>
      </w:r>
    </w:p>
    <w:p w14:paraId="590E7DCC">
      <w:pP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3341370"/>
            <wp:effectExtent l="0" t="0" r="3175" b="114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8"/>
                    <a:stretch>
                      <a:fillRect/>
                    </a:stretch>
                  </pic:blipFill>
                  <pic:spPr>
                    <a:xfrm>
                      <a:off x="0" y="0"/>
                      <a:ext cx="5940425" cy="3341370"/>
                    </a:xfrm>
                    <a:prstGeom prst="rect">
                      <a:avLst/>
                    </a:prstGeom>
                  </pic:spPr>
                </pic:pic>
              </a:graphicData>
            </a:graphic>
          </wp:inline>
        </w:drawing>
      </w:r>
    </w:p>
    <w:p w14:paraId="54179B60">
      <w:pPr>
        <w:rPr>
          <w:rFonts w:ascii="Times New Roman" w:hAnsi="Times New Roman" w:cs="Times New Roman"/>
          <w:b/>
          <w:bCs/>
          <w:sz w:val="28"/>
          <w:szCs w:val="28"/>
        </w:rPr>
      </w:pPr>
      <w:r>
        <w:rPr>
          <w:rFonts w:ascii="Times New Roman" w:hAnsi="Times New Roman" w:cs="Times New Roman"/>
          <w:b/>
          <w:bCs/>
          <w:sz w:val="28"/>
          <w:szCs w:val="28"/>
        </w:rPr>
        <w:t>6) Элемент: Расположение</w:t>
      </w:r>
    </w:p>
    <w:p w14:paraId="5CF43FA4">
      <w:pPr>
        <w:rPr>
          <w:rFonts w:ascii="Times New Roman" w:hAnsi="Times New Roman" w:cs="Times New Roman"/>
          <w:b/>
          <w:bCs/>
          <w:sz w:val="28"/>
          <w:szCs w:val="28"/>
        </w:rPr>
      </w:pPr>
      <w:r>
        <w:rPr>
          <w:rFonts w:ascii="Times New Roman" w:hAnsi="Times New Roman" w:cs="Times New Roman"/>
          <w:b/>
          <w:bCs/>
          <w:sz w:val="28"/>
          <w:szCs w:val="28"/>
          <w:lang w:eastAsia="ru-RU"/>
        </w:rPr>
        <w:drawing>
          <wp:inline distT="0" distB="0" distL="0" distR="0">
            <wp:extent cx="5940425" cy="2032000"/>
            <wp:effectExtent l="0" t="0" r="3175" b="1016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8"/>
                    <a:stretch>
                      <a:fillRect/>
                    </a:stretch>
                  </pic:blipFill>
                  <pic:spPr>
                    <a:xfrm>
                      <a:off x="0" y="0"/>
                      <a:ext cx="5940425" cy="2032000"/>
                    </a:xfrm>
                    <a:prstGeom prst="rect">
                      <a:avLst/>
                    </a:prstGeom>
                  </pic:spPr>
                </pic:pic>
              </a:graphicData>
            </a:graphic>
          </wp:inline>
        </w:drawing>
      </w:r>
    </w:p>
    <w:p w14:paraId="20823E87">
      <w:pPr>
        <w:rPr>
          <w:rFonts w:ascii="Times New Roman" w:hAnsi="Times New Roman" w:cs="Times New Roman"/>
          <w:b/>
          <w:bCs/>
          <w:sz w:val="28"/>
          <w:szCs w:val="28"/>
        </w:rPr>
      </w:pPr>
    </w:p>
    <w:p w14:paraId="6DA8B10D">
      <w:pPr>
        <w:rPr>
          <w:rFonts w:ascii="Times New Roman" w:hAnsi="Times New Roman" w:cs="Times New Roman"/>
          <w:b/>
          <w:bCs/>
          <w:sz w:val="28"/>
          <w:szCs w:val="28"/>
        </w:rPr>
      </w:pPr>
      <w:r>
        <w:rPr>
          <w:rFonts w:ascii="Times New Roman" w:hAnsi="Times New Roman" w:cs="Times New Roman"/>
          <w:b/>
          <w:bCs/>
          <w:sz w:val="28"/>
          <w:szCs w:val="28"/>
        </w:rPr>
        <w:t>7) Элемент: Форма</w:t>
      </w:r>
    </w:p>
    <w:p w14:paraId="1CC89268">
      <w:pPr>
        <w:spacing w:before="60" w:after="240" w:line="312" w:lineRule="auto"/>
        <w:ind w:firstLine="0"/>
        <w:jc w:val="center"/>
        <w:rPr>
          <w:rFonts w:ascii="Times New Roman" w:hAnsi="Times New Roman" w:eastAsia="Times New Roman" w:cs="Times New Roman"/>
          <w:i/>
          <w:iCs/>
          <w:sz w:val="28"/>
          <w:szCs w:val="28"/>
        </w:rPr>
      </w:pPr>
      <w:r>
        <w:rPr>
          <w:rFonts w:ascii="Times New Roman" w:hAnsi="Times New Roman" w:cs="Times New Roman"/>
          <w:b/>
          <w:bCs/>
          <w:sz w:val="28"/>
          <w:szCs w:val="28"/>
          <w:lang w:eastAsia="ru-RU"/>
        </w:rPr>
        <w:drawing>
          <wp:inline distT="0" distB="0" distL="0" distR="0">
            <wp:extent cx="5940425" cy="461645"/>
            <wp:effectExtent l="0" t="0" r="3175" b="1079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9"/>
                    <a:stretch>
                      <a:fillRect/>
                    </a:stretch>
                  </pic:blipFill>
                  <pic:spPr>
                    <a:xfrm>
                      <a:off x="0" y="0"/>
                      <a:ext cx="5940425" cy="461645"/>
                    </a:xfrm>
                    <a:prstGeom prst="rect">
                      <a:avLst/>
                    </a:prstGeom>
                  </pic:spPr>
                </pic:pic>
              </a:graphicData>
            </a:graphic>
          </wp:inline>
        </w:drawing>
      </w:r>
    </w:p>
    <w:sectPr>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27370"/>
    <w:multiLevelType w:val="singleLevel"/>
    <w:tmpl w:val="9ED27370"/>
    <w:lvl w:ilvl="0" w:tentative="0">
      <w:start w:val="1"/>
      <w:numFmt w:val="decimal"/>
      <w:suff w:val="space"/>
      <w:lvlText w:val="%1)"/>
      <w:lvlJc w:val="left"/>
    </w:lvl>
  </w:abstractNum>
  <w:abstractNum w:abstractNumId="1">
    <w:nsid w:val="0053208E"/>
    <w:multiLevelType w:val="singleLevel"/>
    <w:tmpl w:val="0053208E"/>
    <w:lvl w:ilvl="0" w:tentative="0">
      <w:start w:val="1"/>
      <w:numFmt w:val="decimal"/>
      <w:lvlText w:val="%1)"/>
      <w:lvlJc w:val="left"/>
      <w:pPr>
        <w:ind w:left="850" w:hanging="50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4FE872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4">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8"/>
      <w:szCs w:val="28"/>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380</Words>
  <Characters>2392</Characters>
  <TotalTime>0</TotalTime>
  <ScaleCrop>false</ScaleCrop>
  <LinksUpToDate>false</LinksUpToDate>
  <CharactersWithSpaces>2743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2026-04-26T23:31:00Z</dcterms:created>
  <dc:creator>Student</dc:creator>
  <cp:lastModifiedBy>Вадим П</cp:lastModifiedBy>
  <dcterms:modified xsi:type="dcterms:W3CDTF">2026-04-27T00:18:28Z</dcterms:modified>
  <dc:title>Лабораторная работа №4 — Faceit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eyJoZGlkIjoiZWVhNzY0MWMwOTNmMzc2MzUwMDViYTViZjEzNDUzNDAiLCJ1c2VySWQiOiI3NTU5MTQzMzc1MjMxIn0=</vt:lpwstr>
  </property>
  <property fmtid="{D5CDD505-2E9C-101B-9397-08002B2CF9AE}" pid="3" name="KSOProductBuildVer">
    <vt:lpwstr>1049-12.1.0.25862</vt:lpwstr>
  </property>
  <property fmtid="{D5CDD505-2E9C-101B-9397-08002B2CF9AE}" pid="4" name="ICV">
    <vt:lpwstr>653CBBA64630476D9E8CC5047B65FF98_12</vt:lpwstr>
  </property>
</Properties>
</file>