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xmlns:wp14="http://schemas.microsoft.com/office/word/2010/wordml" w:rsidP="110BD1A6" w14:paraId="64AAB056" wp14:textId="6FB09520">
      <w:pPr>
        <w:pStyle w:val="Normal"/>
        <w:spacing w:before="120" w:after="120"/>
        <w:jc w:val="center"/>
      </w:pPr>
      <w:r w:rsidRPr="110BD1A6" w:rsidR="110BD1A6">
        <w:rPr>
          <w:b w:val="1"/>
          <w:bCs w:val="1"/>
          <w:sz w:val="30"/>
          <w:szCs w:val="30"/>
        </w:rPr>
        <w:t>Введение</w:t>
      </w:r>
    </w:p>
    <w:p xmlns:wp14="http://schemas.microsoft.com/office/word/2010/wordml" w14:paraId="293304AD" wp14:textId="77777777">
      <w:pPr>
        <w:spacing w:line="276" w:lineRule="auto"/>
        <w:ind w:firstLine="709"/>
        <w:jc w:val="both"/>
      </w:pPr>
      <w:r>
        <w:rPr>
          <w:b w:val="0"/>
          <w:i w:val="0"/>
        </w:rPr>
        <w:t>Faceit — это онлайн-платформа для проведения киберспортивных матчей, турниров и лиг по сетевым играм (в первую очередь Counter-Strike 2, Dota 2, Rainbow Six). Платформа предоставляет пользователям выделенные сервера с тикрейтом 128, собственный античит (FACEIT Anticheat), систему матчмейкинга по рейтингу ЭЛО (FACEIT Elo) и интеграции с профессиональными лигами (ESL Pro League, BLAST, FACEIT Открытый Майор).</w:t>
      </w:r>
    </w:p>
    <w:p xmlns:wp14="http://schemas.microsoft.com/office/word/2010/wordml" w14:paraId="376CB644" wp14:textId="77777777">
      <w:pPr>
        <w:spacing w:line="276" w:lineRule="auto"/>
        <w:ind w:firstLine="709"/>
        <w:jc w:val="both"/>
      </w:pPr>
      <w:r>
        <w:rPr>
          <w:b w:val="0"/>
          <w:i w:val="0"/>
        </w:rPr>
        <w:t>Развитие такой платформы — это крупный ИТ-проект, в котором участвуют команды разработки, DevOps, специалисты по античиту, продакт-менеджеры и внешние партнёры. Следовательно, проект подвержен большому количеству рисков, управление которыми является важной частью работы проектного менеджера. В данной лабораторной работе рассматриваются выявление, оценка и разработка стратегии работы с рисками для проекта разработки и выпуска новой версии платформы Faceit.</w:t>
      </w:r>
    </w:p>
    <w:p xmlns:wp14="http://schemas.microsoft.com/office/word/2010/wordml" w14:paraId="2C633AB3" wp14:textId="77777777">
      <w:pPr>
        <w:spacing w:before="120" w:after="120"/>
      </w:pPr>
      <w:r>
        <w:rPr>
          <w:b/>
          <w:sz w:val="30"/>
        </w:rPr>
        <w:t>Задание 1. Выявление рисков</w:t>
      </w:r>
    </w:p>
    <w:p xmlns:wp14="http://schemas.microsoft.com/office/word/2010/wordml" w14:paraId="75F9BE2B" wp14:textId="77777777">
      <w:pPr>
        <w:spacing w:line="276" w:lineRule="auto"/>
        <w:ind w:firstLine="709"/>
        <w:jc w:val="both"/>
      </w:pPr>
      <w:r>
        <w:rPr>
          <w:b/>
          <w:i w:val="0"/>
        </w:rPr>
        <w:t xml:space="preserve">Формулировка проблемы: </w:t>
      </w:r>
      <w:r>
        <w:t xml:space="preserve">«Срыв сроков запуска новой версии платформы Faceit (обновлённый матчмейкинг, античит и веб-клиент)». </w:t>
      </w:r>
      <w:r>
        <w:t>Проблема выбрана потому, что соблюдение сроков критично: обновления привязаны к расписанию турниров (ESL Pro League, FACEIT Major), рекламным кампаниям и выпуску патчей Valve для CS2. Задержка приводит к росту фонда оплаты труда, потере аудитории и репутации.</w:t>
      </w:r>
    </w:p>
    <w:p xmlns:wp14="http://schemas.microsoft.com/office/word/2010/wordml" w14:paraId="46AC9E45" wp14:textId="77777777">
      <w:pPr>
        <w:spacing w:line="276" w:lineRule="auto"/>
        <w:ind w:firstLine="709"/>
        <w:jc w:val="both"/>
      </w:pPr>
      <w:r>
        <w:rPr>
          <w:b w:val="0"/>
          <w:i w:val="0"/>
        </w:rPr>
        <w:t>Для выявления рисков, приводящих к данной проблеме, построена диаграмма Исикавы («рыбьи кости»). Главные факторы выбраны в соответствии с классификацией источников рисков Microsoft Solutions Framework (люди — процессы — технологии — внешние условия) и дополнены специфическими для Faceit блоками («Заказчик / стейкхолдеры», «Инфраструктура»).</w:t>
      </w:r>
    </w:p>
    <w:p xmlns:wp14="http://schemas.microsoft.com/office/word/2010/wordml" w14:paraId="0FB78278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5FA4380F" wp14:editId="7777777">
            <wp:extent cx="5940000" cy="36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hikaw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3000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55481BA8" wp14:textId="77777777">
      <w:pPr>
        <w:jc w:val="center"/>
      </w:pPr>
      <w:r>
        <w:rPr>
          <w:i/>
        </w:rPr>
        <w:t>Рисунок 1 — Диаграмма Исикавы для проблемы срыва сроков запуска новой версии Faceit</w:t>
      </w:r>
    </w:p>
    <w:p xmlns:wp14="http://schemas.microsoft.com/office/word/2010/wordml" w14:paraId="45006C23" wp14:textId="77777777">
      <w:pPr>
        <w:spacing w:line="276" w:lineRule="auto"/>
        <w:ind w:firstLine="709"/>
        <w:jc w:val="both"/>
      </w:pPr>
      <w:r>
        <w:rPr>
          <w:b w:val="0"/>
          <w:i w:val="0"/>
        </w:rPr>
        <w:t>На основе диаграммы выделены следующие риски проекта (в формате «причина — риск — эффект», как рекомендуется в лекции):</w:t>
      </w:r>
    </w:p>
    <w:p xmlns:wp14="http://schemas.microsoft.com/office/word/2010/wordml" w14:paraId="0223A06C" wp14:textId="77777777">
      <w:pPr>
        <w:pStyle w:val="ListBullet"/>
        <w:spacing w:after="80" w:line="276" w:lineRule="auto"/>
      </w:pPr>
      <w:r>
        <w:rPr>
          <w:b/>
        </w:rPr>
        <w:t xml:space="preserve">R1. Сбои в работе античита (FACEIT AC). </w:t>
      </w:r>
      <w:r>
        <w:t>Появление новых обходов/читов и изменение ядра CS2 от Valve приведёт к срочной переработке античита в ходе проекта, что вызовет сдвиг сроков релиза.</w:t>
      </w:r>
    </w:p>
    <w:p xmlns:wp14="http://schemas.microsoft.com/office/word/2010/wordml" w14:paraId="3584F18E" wp14:textId="77777777">
      <w:pPr>
        <w:pStyle w:val="ListBullet"/>
        <w:spacing w:after="80" w:line="276" w:lineRule="auto"/>
      </w:pPr>
      <w:r>
        <w:rPr>
          <w:b/>
        </w:rPr>
        <w:t xml:space="preserve">R2. Изменение требований со стороны киберспортивных партнёров (ESL, BLAST). </w:t>
      </w:r>
      <w:r>
        <w:t>Новые правила турниров или форматы лиг приведут к «расползанию» рамок проекта и росту объёмов работ.</w:t>
      </w:r>
    </w:p>
    <w:p xmlns:wp14="http://schemas.microsoft.com/office/word/2010/wordml" w14:paraId="04BF56D1" wp14:textId="77777777">
      <w:pPr>
        <w:pStyle w:val="ListBullet"/>
        <w:spacing w:after="80" w:line="276" w:lineRule="auto"/>
      </w:pPr>
      <w:r>
        <w:rPr>
          <w:b/>
        </w:rPr>
        <w:t xml:space="preserve">R3. Текучка кадров и выгорание ключевых разработчиков. </w:t>
      </w:r>
      <w:r>
        <w:t>Высокая нагрузка перед релизом и высокий спрос на senior-разработчиков на рынке приведут к потере экспертизы и задержке выполнения задач.</w:t>
      </w:r>
    </w:p>
    <w:p xmlns:wp14="http://schemas.microsoft.com/office/word/2010/wordml" w14:paraId="32B26CAF" wp14:textId="77777777">
      <w:pPr>
        <w:pStyle w:val="ListBullet"/>
        <w:spacing w:after="80" w:line="276" w:lineRule="auto"/>
      </w:pPr>
      <w:r>
        <w:rPr>
          <w:b/>
        </w:rPr>
        <w:t xml:space="preserve">R4. Падение игровых серверов и DDoS-атаки. </w:t>
      </w:r>
      <w:r>
        <w:t>Нестабильность инфраструктуры во время нагрузочного тестирования или бета-тестов приведёт к потере времени на причины/разбор и перенос релиза.</w:t>
      </w:r>
    </w:p>
    <w:p xmlns:wp14="http://schemas.microsoft.com/office/word/2010/wordml" w14:paraId="6C0654F1" wp14:textId="77777777">
      <w:pPr>
        <w:pStyle w:val="ListBullet"/>
        <w:spacing w:after="80" w:line="276" w:lineRule="auto"/>
      </w:pPr>
      <w:r>
        <w:rPr>
          <w:b/>
        </w:rPr>
        <w:t xml:space="preserve">R5. Неточные оценки трудоёмкости задач. </w:t>
      </w:r>
      <w:r>
        <w:t>Слабый процесс оценки и отсутствие референсных данных приведут к занижению сроков и переработкам команды.</w:t>
      </w:r>
    </w:p>
    <w:p xmlns:wp14="http://schemas.microsoft.com/office/word/2010/wordml" w14:paraId="6E4CDAE2" wp14:textId="77777777">
      <w:pPr>
        <w:pStyle w:val="ListBullet"/>
        <w:spacing w:after="80" w:line="276" w:lineRule="auto"/>
      </w:pPr>
      <w:r>
        <w:rPr>
          <w:b/>
        </w:rPr>
        <w:t xml:space="preserve">R6. Несовместимость с CS2 API после патчей Valve. </w:t>
      </w:r>
      <w:r>
        <w:t>Обновления Valve приведут к поломке интеграций сбора статистики и GOTV-демо, что потребует внеплановых работ.</w:t>
      </w:r>
    </w:p>
    <w:p xmlns:wp14="http://schemas.microsoft.com/office/word/2010/wordml" w14:paraId="2C3BE599" wp14:textId="77777777">
      <w:pPr>
        <w:pStyle w:val="ListBullet"/>
        <w:spacing w:after="80" w:line="276" w:lineRule="auto"/>
      </w:pPr>
      <w:r>
        <w:rPr>
          <w:b/>
        </w:rPr>
        <w:t xml:space="preserve">R7. Жалобы киберспортсменов на матчмейкинг. </w:t>
      </w:r>
      <w:r>
        <w:t>Недовольство рейтинговой системой (Elo) вызовет пересмотр алгоритмов в ходе разработки и дополнительное тестирование.</w:t>
      </w:r>
    </w:p>
    <w:p xmlns:wp14="http://schemas.microsoft.com/office/word/2010/wordml" w14:paraId="6628894B" wp14:textId="77777777">
      <w:pPr>
        <w:pStyle w:val="ListBullet"/>
        <w:spacing w:after="80" w:line="276" w:lineRule="auto"/>
      </w:pPr>
      <w:r>
        <w:rPr>
          <w:b/>
        </w:rPr>
        <w:t xml:space="preserve">R8. Долгое регрессионное тестирование. </w:t>
      </w:r>
      <w:r>
        <w:t>Ручные проверки всех фичей перед релизом будут занимать недели и задерживать выпуск.</w:t>
      </w:r>
    </w:p>
    <w:p xmlns:wp14="http://schemas.microsoft.com/office/word/2010/wordml" w:rsidP="110BD1A6" w14:paraId="09676FAD" wp14:textId="27033A41">
      <w:pPr>
        <w:pStyle w:val="Normal"/>
        <w:spacing w:before="120" w:after="120"/>
      </w:pPr>
      <w:r w:rsidRPr="110BD1A6" w:rsidR="110BD1A6">
        <w:rPr>
          <w:b w:val="1"/>
          <w:bCs w:val="1"/>
          <w:sz w:val="30"/>
          <w:szCs w:val="30"/>
        </w:rPr>
        <w:t>Задание</w:t>
      </w:r>
      <w:r w:rsidRPr="110BD1A6" w:rsidR="110BD1A6">
        <w:rPr>
          <w:b w:val="1"/>
          <w:bCs w:val="1"/>
          <w:sz w:val="30"/>
          <w:szCs w:val="30"/>
        </w:rPr>
        <w:t xml:space="preserve"> 2. </w:t>
      </w:r>
      <w:r w:rsidRPr="110BD1A6" w:rsidR="110BD1A6">
        <w:rPr>
          <w:b w:val="1"/>
          <w:bCs w:val="1"/>
          <w:sz w:val="30"/>
          <w:szCs w:val="30"/>
        </w:rPr>
        <w:t>Оценка</w:t>
      </w:r>
      <w:r w:rsidRPr="110BD1A6" w:rsidR="110BD1A6">
        <w:rPr>
          <w:b w:val="1"/>
          <w:bCs w:val="1"/>
          <w:sz w:val="30"/>
          <w:szCs w:val="30"/>
        </w:rPr>
        <w:t xml:space="preserve"> </w:t>
      </w:r>
      <w:r w:rsidRPr="110BD1A6" w:rsidR="110BD1A6">
        <w:rPr>
          <w:b w:val="1"/>
          <w:bCs w:val="1"/>
          <w:sz w:val="30"/>
          <w:szCs w:val="30"/>
        </w:rPr>
        <w:t>рисков</w:t>
      </w:r>
    </w:p>
    <w:p xmlns:wp14="http://schemas.microsoft.com/office/word/2010/wordml" w14:paraId="4EA760B7" wp14:textId="77777777">
      <w:pPr>
        <w:spacing w:line="276" w:lineRule="auto"/>
        <w:ind w:firstLine="709"/>
        <w:jc w:val="both"/>
      </w:pPr>
      <w:r>
        <w:rPr>
          <w:b w:val="0"/>
          <w:i w:val="0"/>
        </w:rPr>
        <w:t>Для каждого риска, выявленного в Задании 1, проведёна экспертная оценка вероятности наступления и силы последствий по десятибалльной шкале (1 — минимум, 10 — максимум). Важность рассчитана как В·П. Порог критичности принят равным 50 (аналогично примеру из лекции).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995"/>
        <w:gridCol w:w="1995"/>
        <w:gridCol w:w="1995"/>
        <w:gridCol w:w="1995"/>
        <w:gridCol w:w="1995"/>
      </w:tblGrid>
      <w:tr xmlns:wp14="http://schemas.microsoft.com/office/word/2010/wordml" w14:paraId="1CEB674B" wp14:textId="77777777">
        <w:tc>
          <w:tcPr>
            <w:tcW w:w="1995" w:type="dxa"/>
            <w:shd w:val="clear" w:color="auto" w:fill="D9E2F3"/>
          </w:tcPr>
          <w:p w14:paraId="427D9C9B" wp14:textId="77777777">
            <w:pPr>
              <w:jc w:val="center"/>
            </w:pPr>
            <w:r/>
            <w:r>
              <w:rPr>
                <w:b/>
                <w:sz w:val="24"/>
              </w:rPr>
              <w:t>№</w:t>
            </w:r>
          </w:p>
        </w:tc>
        <w:tc>
          <w:tcPr>
            <w:tcW w:w="1995" w:type="dxa"/>
            <w:shd w:val="clear" w:color="auto" w:fill="D9E2F3"/>
          </w:tcPr>
          <w:p w14:paraId="081AE7D3" wp14:textId="77777777">
            <w:pPr>
              <w:jc w:val="center"/>
            </w:pPr>
            <w:r/>
            <w:r>
              <w:rPr>
                <w:b/>
                <w:sz w:val="24"/>
              </w:rPr>
              <w:t>Риск (причина — риск — эффект)</w:t>
            </w:r>
          </w:p>
        </w:tc>
        <w:tc>
          <w:tcPr>
            <w:tcW w:w="1995" w:type="dxa"/>
            <w:shd w:val="clear" w:color="auto" w:fill="D9E2F3"/>
          </w:tcPr>
          <w:p w14:paraId="6D624B29" wp14:textId="77777777">
            <w:pPr>
              <w:jc w:val="center"/>
            </w:pPr>
            <w:r/>
            <w:r>
              <w:rPr>
                <w:b/>
                <w:sz w:val="24"/>
              </w:rPr>
              <w:t>Вероятность (1–10)</w:t>
            </w:r>
          </w:p>
        </w:tc>
        <w:tc>
          <w:tcPr>
            <w:tcW w:w="1995" w:type="dxa"/>
            <w:shd w:val="clear" w:color="auto" w:fill="D9E2F3"/>
          </w:tcPr>
          <w:p w14:paraId="4DC37079" wp14:textId="77777777">
            <w:pPr>
              <w:jc w:val="center"/>
            </w:pPr>
            <w:r/>
            <w:r>
              <w:rPr>
                <w:b/>
                <w:sz w:val="24"/>
              </w:rPr>
              <w:t>Последствия (1–10)</w:t>
            </w:r>
          </w:p>
        </w:tc>
        <w:tc>
          <w:tcPr>
            <w:tcW w:w="1995" w:type="dxa"/>
            <w:shd w:val="clear" w:color="auto" w:fill="D9E2F3"/>
          </w:tcPr>
          <w:p w14:paraId="42CDFDB4" wp14:textId="77777777">
            <w:pPr>
              <w:jc w:val="center"/>
            </w:pPr>
            <w:r/>
            <w:r>
              <w:rPr>
                <w:b/>
                <w:sz w:val="24"/>
              </w:rPr>
              <w:t>Важность (В·П)</w:t>
            </w:r>
          </w:p>
        </w:tc>
      </w:tr>
      <w:tr xmlns:wp14="http://schemas.microsoft.com/office/word/2010/wordml" w14:paraId="579DF350" wp14:textId="77777777">
        <w:tc>
          <w:tcPr>
            <w:tcW w:w="1995" w:type="dxa"/>
          </w:tcPr>
          <w:p w14:paraId="0AF0D572" wp14:textId="77777777">
            <w:pPr>
              <w:jc w:val="center"/>
            </w:pPr>
            <w:r/>
            <w:r>
              <w:rPr>
                <w:sz w:val="24"/>
              </w:rPr>
              <w:t>R1</w:t>
            </w:r>
          </w:p>
        </w:tc>
        <w:tc>
          <w:tcPr>
            <w:tcW w:w="1995" w:type="dxa"/>
          </w:tcPr>
          <w:p w14:paraId="223411F7" wp14:textId="77777777">
            <w:pPr>
              <w:jc w:val="left"/>
            </w:pPr>
            <w:r/>
            <w:r>
              <w:rPr>
                <w:sz w:val="24"/>
              </w:rPr>
              <w:t>Сбои античита / новые читы — экстренная переработка AC — сдвиг сроков релиза</w:t>
            </w:r>
          </w:p>
        </w:tc>
        <w:tc>
          <w:tcPr>
            <w:tcW w:w="1995" w:type="dxa"/>
          </w:tcPr>
          <w:p w14:paraId="2B2B7304" wp14:textId="77777777">
            <w:pPr>
              <w:jc w:val="center"/>
            </w:pPr>
            <w:r/>
            <w:r>
              <w:rPr>
                <w:sz w:val="24"/>
              </w:rPr>
              <w:t>9</w:t>
            </w:r>
          </w:p>
        </w:tc>
        <w:tc>
          <w:tcPr>
            <w:tcW w:w="1995" w:type="dxa"/>
          </w:tcPr>
          <w:p w14:paraId="089009E4" wp14:textId="77777777">
            <w:pPr>
              <w:jc w:val="center"/>
            </w:pPr>
            <w:r/>
            <w:r>
              <w:rPr>
                <w:sz w:val="24"/>
              </w:rPr>
              <w:t>9</w:t>
            </w:r>
          </w:p>
        </w:tc>
        <w:tc>
          <w:tcPr>
            <w:tcW w:w="1995" w:type="dxa"/>
            <w:shd w:val="clear" w:color="auto" w:fill="FCE4D6"/>
          </w:tcPr>
          <w:p w14:paraId="1944BFB1" wp14:textId="77777777">
            <w:pPr>
              <w:jc w:val="center"/>
            </w:pPr>
            <w:r/>
            <w:r>
              <w:rPr>
                <w:b/>
                <w:color w:val="C00000"/>
                <w:sz w:val="24"/>
              </w:rPr>
              <w:t>81</w:t>
            </w:r>
          </w:p>
        </w:tc>
      </w:tr>
      <w:tr xmlns:wp14="http://schemas.microsoft.com/office/word/2010/wordml" w14:paraId="09CDB83C" wp14:textId="77777777">
        <w:tc>
          <w:tcPr>
            <w:tcW w:w="1995" w:type="dxa"/>
          </w:tcPr>
          <w:p w14:paraId="50EE4D93" wp14:textId="77777777">
            <w:pPr>
              <w:jc w:val="center"/>
            </w:pPr>
            <w:r/>
            <w:r>
              <w:rPr>
                <w:sz w:val="24"/>
              </w:rPr>
              <w:t>R2</w:t>
            </w:r>
          </w:p>
        </w:tc>
        <w:tc>
          <w:tcPr>
            <w:tcW w:w="1995" w:type="dxa"/>
          </w:tcPr>
          <w:p w14:paraId="5822FE56" wp14:textId="77777777">
            <w:pPr>
              <w:jc w:val="left"/>
            </w:pPr>
            <w:r/>
            <w:r>
              <w:rPr>
                <w:sz w:val="24"/>
              </w:rPr>
              <w:t>Изменения требований ESL/BLAST — «расползание» рамок и рост работ</w:t>
            </w:r>
          </w:p>
        </w:tc>
        <w:tc>
          <w:tcPr>
            <w:tcW w:w="1995" w:type="dxa"/>
          </w:tcPr>
          <w:p w14:paraId="44B0A208" wp14:textId="77777777">
            <w:pPr>
              <w:jc w:val="center"/>
            </w:pPr>
            <w:r/>
            <w:r>
              <w:rPr>
                <w:sz w:val="24"/>
              </w:rPr>
              <w:t>8</w:t>
            </w:r>
          </w:p>
        </w:tc>
        <w:tc>
          <w:tcPr>
            <w:tcW w:w="1995" w:type="dxa"/>
          </w:tcPr>
          <w:p w14:paraId="42124560" wp14:textId="77777777">
            <w:pPr>
              <w:jc w:val="center"/>
            </w:pPr>
            <w:r/>
            <w:r>
              <w:rPr>
                <w:sz w:val="24"/>
              </w:rPr>
              <w:t>9</w:t>
            </w:r>
          </w:p>
        </w:tc>
        <w:tc>
          <w:tcPr>
            <w:tcW w:w="1995" w:type="dxa"/>
            <w:shd w:val="clear" w:color="auto" w:fill="FCE4D6"/>
          </w:tcPr>
          <w:p w14:paraId="23D9E551" wp14:textId="77777777">
            <w:pPr>
              <w:jc w:val="center"/>
            </w:pPr>
            <w:r/>
            <w:r>
              <w:rPr>
                <w:b/>
                <w:color w:val="C00000"/>
                <w:sz w:val="24"/>
              </w:rPr>
              <w:t>72</w:t>
            </w:r>
          </w:p>
        </w:tc>
      </w:tr>
      <w:tr xmlns:wp14="http://schemas.microsoft.com/office/word/2010/wordml" w14:paraId="2C760FBA" wp14:textId="77777777">
        <w:tc>
          <w:tcPr>
            <w:tcW w:w="1995" w:type="dxa"/>
          </w:tcPr>
          <w:p w14:paraId="4F49E6D8" wp14:textId="77777777">
            <w:pPr>
              <w:jc w:val="center"/>
            </w:pPr>
            <w:r/>
            <w:r>
              <w:rPr>
                <w:sz w:val="24"/>
              </w:rPr>
              <w:t>R3</w:t>
            </w:r>
          </w:p>
        </w:tc>
        <w:tc>
          <w:tcPr>
            <w:tcW w:w="1995" w:type="dxa"/>
          </w:tcPr>
          <w:p w14:paraId="438FBD6C" wp14:textId="77777777">
            <w:pPr>
              <w:jc w:val="left"/>
            </w:pPr>
            <w:r/>
            <w:r>
              <w:rPr>
                <w:sz w:val="24"/>
              </w:rPr>
              <w:t>Текучка/выгорание ключевых разработчиков — потеря экспертизы — задержка</w:t>
            </w:r>
          </w:p>
        </w:tc>
        <w:tc>
          <w:tcPr>
            <w:tcW w:w="1995" w:type="dxa"/>
          </w:tcPr>
          <w:p w14:paraId="29B4EA11" wp14:textId="77777777">
            <w:pPr>
              <w:jc w:val="center"/>
            </w:pPr>
            <w:r/>
            <w:r>
              <w:rPr>
                <w:sz w:val="24"/>
              </w:rPr>
              <w:t>6</w:t>
            </w:r>
          </w:p>
        </w:tc>
        <w:tc>
          <w:tcPr>
            <w:tcW w:w="1995" w:type="dxa"/>
          </w:tcPr>
          <w:p w14:paraId="03853697" wp14:textId="77777777">
            <w:pPr>
              <w:jc w:val="center"/>
            </w:pPr>
            <w:r/>
            <w:r>
              <w:rPr>
                <w:sz w:val="24"/>
              </w:rPr>
              <w:t>8</w:t>
            </w:r>
          </w:p>
        </w:tc>
        <w:tc>
          <w:tcPr>
            <w:tcW w:w="1995" w:type="dxa"/>
          </w:tcPr>
          <w:p w14:paraId="6089FD39" wp14:textId="77777777">
            <w:pPr>
              <w:jc w:val="center"/>
            </w:pPr>
            <w:r/>
            <w:r>
              <w:rPr>
                <w:sz w:val="24"/>
              </w:rPr>
              <w:t>48</w:t>
            </w:r>
          </w:p>
        </w:tc>
      </w:tr>
      <w:tr xmlns:wp14="http://schemas.microsoft.com/office/word/2010/wordml" w14:paraId="4925A450" wp14:textId="77777777">
        <w:tc>
          <w:tcPr>
            <w:tcW w:w="1995" w:type="dxa"/>
          </w:tcPr>
          <w:p w14:paraId="785DCB5A" wp14:textId="77777777">
            <w:pPr>
              <w:jc w:val="center"/>
            </w:pPr>
            <w:r/>
            <w:r>
              <w:rPr>
                <w:sz w:val="24"/>
              </w:rPr>
              <w:t>R4</w:t>
            </w:r>
          </w:p>
        </w:tc>
        <w:tc>
          <w:tcPr>
            <w:tcW w:w="1995" w:type="dxa"/>
          </w:tcPr>
          <w:p w14:paraId="4C0F7279" wp14:textId="77777777">
            <w:pPr>
              <w:jc w:val="left"/>
            </w:pPr>
            <w:r/>
            <w:r>
              <w:rPr>
                <w:sz w:val="24"/>
              </w:rPr>
              <w:t>Падение серверов/DDoS — перенос бета-тестов и релиза</w:t>
            </w:r>
          </w:p>
        </w:tc>
        <w:tc>
          <w:tcPr>
            <w:tcW w:w="1995" w:type="dxa"/>
          </w:tcPr>
          <w:p w14:paraId="78941E47" wp14:textId="77777777">
            <w:pPr>
              <w:jc w:val="center"/>
            </w:pPr>
            <w:r/>
            <w:r>
              <w:rPr>
                <w:sz w:val="24"/>
              </w:rPr>
              <w:t>5</w:t>
            </w:r>
          </w:p>
        </w:tc>
        <w:tc>
          <w:tcPr>
            <w:tcW w:w="1995" w:type="dxa"/>
          </w:tcPr>
          <w:p w14:paraId="75697EEC" wp14:textId="77777777">
            <w:pPr>
              <w:jc w:val="center"/>
            </w:pPr>
            <w:r/>
            <w:r>
              <w:rPr>
                <w:sz w:val="24"/>
              </w:rPr>
              <w:t>7</w:t>
            </w:r>
          </w:p>
        </w:tc>
        <w:tc>
          <w:tcPr>
            <w:tcW w:w="1995" w:type="dxa"/>
          </w:tcPr>
          <w:p w14:paraId="3D5C510C" wp14:textId="77777777">
            <w:pPr>
              <w:jc w:val="center"/>
            </w:pPr>
            <w:r/>
            <w:r>
              <w:rPr>
                <w:sz w:val="24"/>
              </w:rPr>
              <w:t>35</w:t>
            </w:r>
          </w:p>
        </w:tc>
      </w:tr>
      <w:tr xmlns:wp14="http://schemas.microsoft.com/office/word/2010/wordml" w14:paraId="3703F969" wp14:textId="77777777">
        <w:tc>
          <w:tcPr>
            <w:tcW w:w="1995" w:type="dxa"/>
          </w:tcPr>
          <w:p w14:paraId="17C90654" wp14:textId="77777777">
            <w:pPr>
              <w:jc w:val="center"/>
            </w:pPr>
            <w:r/>
            <w:r>
              <w:rPr>
                <w:sz w:val="24"/>
              </w:rPr>
              <w:t>R5</w:t>
            </w:r>
          </w:p>
        </w:tc>
        <w:tc>
          <w:tcPr>
            <w:tcW w:w="1995" w:type="dxa"/>
          </w:tcPr>
          <w:p w14:paraId="63DF186D" wp14:textId="77777777">
            <w:pPr>
              <w:jc w:val="left"/>
            </w:pPr>
            <w:r/>
            <w:r>
              <w:rPr>
                <w:sz w:val="24"/>
              </w:rPr>
              <w:t>Неточные оценки — занижение сроков и переработки</w:t>
            </w:r>
          </w:p>
        </w:tc>
        <w:tc>
          <w:tcPr>
            <w:tcW w:w="1995" w:type="dxa"/>
          </w:tcPr>
          <w:p w14:paraId="109B8484" wp14:textId="77777777">
            <w:pPr>
              <w:jc w:val="center"/>
            </w:pPr>
            <w:r/>
            <w:r>
              <w:rPr>
                <w:sz w:val="24"/>
              </w:rPr>
              <w:t>7</w:t>
            </w:r>
          </w:p>
        </w:tc>
        <w:tc>
          <w:tcPr>
            <w:tcW w:w="1995" w:type="dxa"/>
          </w:tcPr>
          <w:p w14:paraId="6F74D8FD" wp14:textId="77777777">
            <w:pPr>
              <w:jc w:val="center"/>
            </w:pPr>
            <w:r/>
            <w:r>
              <w:rPr>
                <w:sz w:val="24"/>
              </w:rPr>
              <w:t>7</w:t>
            </w:r>
          </w:p>
        </w:tc>
        <w:tc>
          <w:tcPr>
            <w:tcW w:w="1995" w:type="dxa"/>
          </w:tcPr>
          <w:p w14:paraId="54368C02" wp14:textId="77777777">
            <w:pPr>
              <w:jc w:val="center"/>
            </w:pPr>
            <w:r/>
            <w:r>
              <w:rPr>
                <w:sz w:val="24"/>
              </w:rPr>
              <w:t>49</w:t>
            </w:r>
          </w:p>
        </w:tc>
      </w:tr>
      <w:tr xmlns:wp14="http://schemas.microsoft.com/office/word/2010/wordml" w14:paraId="35F0271F" wp14:textId="77777777">
        <w:tc>
          <w:tcPr>
            <w:tcW w:w="1995" w:type="dxa"/>
          </w:tcPr>
          <w:p w14:paraId="211EB735" wp14:textId="77777777">
            <w:pPr>
              <w:jc w:val="center"/>
            </w:pPr>
            <w:r/>
            <w:r>
              <w:rPr>
                <w:sz w:val="24"/>
              </w:rPr>
              <w:t>R6</w:t>
            </w:r>
          </w:p>
        </w:tc>
        <w:tc>
          <w:tcPr>
            <w:tcW w:w="1995" w:type="dxa"/>
          </w:tcPr>
          <w:p w14:paraId="2DDF982F" wp14:textId="77777777">
            <w:pPr>
              <w:jc w:val="left"/>
            </w:pPr>
            <w:r/>
            <w:r>
              <w:rPr>
                <w:sz w:val="24"/>
              </w:rPr>
              <w:t>Несовместимость с CS2 API после патчей Valve — внеплановые работы</w:t>
            </w:r>
          </w:p>
        </w:tc>
        <w:tc>
          <w:tcPr>
            <w:tcW w:w="1995" w:type="dxa"/>
          </w:tcPr>
          <w:p w14:paraId="1B87E3DE" wp14:textId="77777777">
            <w:pPr>
              <w:jc w:val="center"/>
            </w:pPr>
            <w:r/>
            <w:r>
              <w:rPr>
                <w:sz w:val="24"/>
              </w:rPr>
              <w:t>6</w:t>
            </w:r>
          </w:p>
        </w:tc>
        <w:tc>
          <w:tcPr>
            <w:tcW w:w="1995" w:type="dxa"/>
          </w:tcPr>
          <w:p w14:paraId="1946A7AE" wp14:textId="77777777">
            <w:pPr>
              <w:jc w:val="center"/>
            </w:pPr>
            <w:r/>
            <w:r>
              <w:rPr>
                <w:sz w:val="24"/>
              </w:rPr>
              <w:t>6</w:t>
            </w:r>
          </w:p>
        </w:tc>
        <w:tc>
          <w:tcPr>
            <w:tcW w:w="1995" w:type="dxa"/>
          </w:tcPr>
          <w:p w14:paraId="5AFB958C" wp14:textId="77777777">
            <w:pPr>
              <w:jc w:val="center"/>
            </w:pPr>
            <w:r/>
            <w:r>
              <w:rPr>
                <w:sz w:val="24"/>
              </w:rPr>
              <w:t>36</w:t>
            </w:r>
          </w:p>
        </w:tc>
      </w:tr>
      <w:tr xmlns:wp14="http://schemas.microsoft.com/office/word/2010/wordml" w14:paraId="65DE4DBD" wp14:textId="77777777">
        <w:tc>
          <w:tcPr>
            <w:tcW w:w="1995" w:type="dxa"/>
          </w:tcPr>
          <w:p w14:paraId="0B724C0D" wp14:textId="77777777">
            <w:pPr>
              <w:jc w:val="center"/>
            </w:pPr>
            <w:r/>
            <w:r>
              <w:rPr>
                <w:sz w:val="24"/>
              </w:rPr>
              <w:t>R7</w:t>
            </w:r>
          </w:p>
        </w:tc>
        <w:tc>
          <w:tcPr>
            <w:tcW w:w="1995" w:type="dxa"/>
          </w:tcPr>
          <w:p w14:paraId="568A6232" wp14:textId="77777777">
            <w:pPr>
              <w:jc w:val="left"/>
            </w:pPr>
            <w:r/>
            <w:r>
              <w:rPr>
                <w:sz w:val="24"/>
              </w:rPr>
              <w:t>Жалобы на матчмейкинг — пересмотр алгоритмов</w:t>
            </w:r>
          </w:p>
        </w:tc>
        <w:tc>
          <w:tcPr>
            <w:tcW w:w="1995" w:type="dxa"/>
          </w:tcPr>
          <w:p w14:paraId="44240AAE" wp14:textId="77777777">
            <w:pPr>
              <w:jc w:val="center"/>
            </w:pPr>
            <w:r/>
            <w:r>
              <w:rPr>
                <w:sz w:val="24"/>
              </w:rPr>
              <w:t>5</w:t>
            </w:r>
          </w:p>
        </w:tc>
        <w:tc>
          <w:tcPr>
            <w:tcW w:w="1995" w:type="dxa"/>
          </w:tcPr>
          <w:p w14:paraId="76DB90EB" wp14:textId="77777777">
            <w:pPr>
              <w:jc w:val="center"/>
            </w:pPr>
            <w:r/>
            <w:r>
              <w:rPr>
                <w:sz w:val="24"/>
              </w:rPr>
              <w:t>5</w:t>
            </w:r>
          </w:p>
        </w:tc>
        <w:tc>
          <w:tcPr>
            <w:tcW w:w="1995" w:type="dxa"/>
          </w:tcPr>
          <w:p w14:paraId="4BFDD700" wp14:textId="77777777">
            <w:pPr>
              <w:jc w:val="center"/>
            </w:pPr>
            <w:r/>
            <w:r>
              <w:rPr>
                <w:sz w:val="24"/>
              </w:rPr>
              <w:t>25</w:t>
            </w:r>
          </w:p>
        </w:tc>
      </w:tr>
      <w:tr xmlns:wp14="http://schemas.microsoft.com/office/word/2010/wordml" w14:paraId="3A0A48AE" wp14:textId="77777777">
        <w:tc>
          <w:tcPr>
            <w:tcW w:w="1995" w:type="dxa"/>
          </w:tcPr>
          <w:p w14:paraId="514E07A8" wp14:textId="77777777">
            <w:pPr>
              <w:jc w:val="center"/>
            </w:pPr>
            <w:r/>
            <w:r>
              <w:rPr>
                <w:sz w:val="24"/>
              </w:rPr>
              <w:t>R8</w:t>
            </w:r>
          </w:p>
        </w:tc>
        <w:tc>
          <w:tcPr>
            <w:tcW w:w="1995" w:type="dxa"/>
          </w:tcPr>
          <w:p w14:paraId="6C892076" wp14:textId="77777777">
            <w:pPr>
              <w:jc w:val="left"/>
            </w:pPr>
            <w:r/>
            <w:r>
              <w:rPr>
                <w:sz w:val="24"/>
              </w:rPr>
              <w:t>Долгое регрессионное тестирование — задержка выпуска</w:t>
            </w:r>
          </w:p>
        </w:tc>
        <w:tc>
          <w:tcPr>
            <w:tcW w:w="1995" w:type="dxa"/>
          </w:tcPr>
          <w:p w14:paraId="6DDB914C" wp14:textId="77777777">
            <w:pPr>
              <w:jc w:val="center"/>
            </w:pPr>
            <w:r/>
            <w:r>
              <w:rPr>
                <w:sz w:val="24"/>
              </w:rPr>
              <w:t>6</w:t>
            </w:r>
          </w:p>
        </w:tc>
        <w:tc>
          <w:tcPr>
            <w:tcW w:w="1995" w:type="dxa"/>
          </w:tcPr>
          <w:p w14:paraId="5D9A48CF" wp14:textId="77777777">
            <w:pPr>
              <w:jc w:val="center"/>
            </w:pPr>
            <w:r/>
            <w:r>
              <w:rPr>
                <w:sz w:val="24"/>
              </w:rPr>
              <w:t>6</w:t>
            </w:r>
          </w:p>
        </w:tc>
        <w:tc>
          <w:tcPr>
            <w:tcW w:w="1995" w:type="dxa"/>
          </w:tcPr>
          <w:p w14:paraId="27635376" wp14:textId="77777777">
            <w:pPr>
              <w:jc w:val="center"/>
            </w:pPr>
            <w:r/>
            <w:r>
              <w:rPr>
                <w:sz w:val="24"/>
              </w:rPr>
              <w:t>36</w:t>
            </w:r>
          </w:p>
        </w:tc>
      </w:tr>
    </w:tbl>
    <w:p xmlns:wp14="http://schemas.microsoft.com/office/word/2010/wordml" w14:paraId="0562CB0E" wp14:textId="77777777">
      <w:pPr>
        <w:spacing w:line="276" w:lineRule="auto"/>
        <w:ind w:firstLine="709"/>
        <w:jc w:val="both"/>
      </w:pPr>
      <w:r>
        <w:rPr>
          <w:b w:val="0"/>
          <w:i w:val="0"/>
        </w:rPr>
      </w:r>
    </w:p>
    <w:p xmlns:wp14="http://schemas.microsoft.com/office/word/2010/wordml" w14:paraId="5A9C263E" wp14:textId="77777777">
      <w:pPr>
        <w:spacing w:line="276" w:lineRule="auto"/>
        <w:ind w:firstLine="709"/>
        <w:jc w:val="both"/>
      </w:pPr>
      <w:r>
        <w:rPr>
          <w:b w:val="0"/>
          <w:i w:val="0"/>
        </w:rPr>
        <w:t xml:space="preserve">По результатам оценки к блоку критичных (Важность ≥ 50) попали риски R1, R2; близкими оказались R5 и R3. Для дальнейшей проработки выбраны </w:t>
      </w:r>
      <w:r>
        <w:rPr>
          <w:b/>
        </w:rPr>
        <w:t>два наиболее важных риска:</w:t>
      </w:r>
      <w:r/>
    </w:p>
    <w:p xmlns:wp14="http://schemas.microsoft.com/office/word/2010/wordml" w14:paraId="4731B535" wp14:textId="77777777">
      <w:pPr>
        <w:pStyle w:val="ListBullet"/>
        <w:spacing w:line="276" w:lineRule="auto"/>
      </w:pPr>
      <w:r>
        <w:rPr>
          <w:b/>
        </w:rPr>
        <w:t xml:space="preserve">R1. Сбои в работе античита </w:t>
      </w:r>
      <w:r>
        <w:t>— появление новых обходов античита и изменения ядра CS2 приведут к экстренной переработке FACEIT AC и сдвигу сроков релиза (В·П = 81).</w:t>
      </w:r>
    </w:p>
    <w:p xmlns:wp14="http://schemas.microsoft.com/office/word/2010/wordml" w14:paraId="21F41B5E" wp14:textId="77777777">
      <w:pPr>
        <w:pStyle w:val="ListBullet"/>
        <w:spacing w:line="276" w:lineRule="auto"/>
      </w:pPr>
      <w:r>
        <w:rPr>
          <w:b/>
        </w:rPr>
        <w:t xml:space="preserve">R2. Изменение требований со стороны партнёров (ESL, BLAST) </w:t>
      </w:r>
      <w:r>
        <w:t>— изменение правил/форматов турниров по ходу проекта приведёт к «расползанию» рамок проекта и росту объёмов работ (В·П = 72).</w:t>
      </w:r>
    </w:p>
    <w:p xmlns:wp14="http://schemas.microsoft.com/office/word/2010/wordml" w:rsidP="110BD1A6" w14:paraId="17A01B5E" wp14:textId="2C6E0BC1">
      <w:pPr>
        <w:pStyle w:val="Normal"/>
        <w:spacing w:before="120" w:after="120"/>
      </w:pPr>
      <w:r w:rsidRPr="110BD1A6" w:rsidR="110BD1A6">
        <w:rPr>
          <w:b w:val="1"/>
          <w:bCs w:val="1"/>
          <w:sz w:val="30"/>
          <w:szCs w:val="30"/>
        </w:rPr>
        <w:t>Задание</w:t>
      </w:r>
      <w:r w:rsidRPr="110BD1A6" w:rsidR="110BD1A6">
        <w:rPr>
          <w:b w:val="1"/>
          <w:bCs w:val="1"/>
          <w:sz w:val="30"/>
          <w:szCs w:val="30"/>
        </w:rPr>
        <w:t xml:space="preserve"> 3. Разработка </w:t>
      </w:r>
      <w:r w:rsidRPr="110BD1A6" w:rsidR="110BD1A6">
        <w:rPr>
          <w:b w:val="1"/>
          <w:bCs w:val="1"/>
          <w:sz w:val="30"/>
          <w:szCs w:val="30"/>
        </w:rPr>
        <w:t>стратегии</w:t>
      </w:r>
      <w:r w:rsidRPr="110BD1A6" w:rsidR="110BD1A6">
        <w:rPr>
          <w:b w:val="1"/>
          <w:bCs w:val="1"/>
          <w:sz w:val="30"/>
          <w:szCs w:val="30"/>
        </w:rPr>
        <w:t xml:space="preserve"> </w:t>
      </w:r>
      <w:r w:rsidRPr="110BD1A6" w:rsidR="110BD1A6">
        <w:rPr>
          <w:b w:val="1"/>
          <w:bCs w:val="1"/>
          <w:sz w:val="30"/>
          <w:szCs w:val="30"/>
        </w:rPr>
        <w:t>работы</w:t>
      </w:r>
      <w:r w:rsidRPr="110BD1A6" w:rsidR="110BD1A6">
        <w:rPr>
          <w:b w:val="1"/>
          <w:bCs w:val="1"/>
          <w:sz w:val="30"/>
          <w:szCs w:val="30"/>
        </w:rPr>
        <w:t xml:space="preserve"> с </w:t>
      </w:r>
      <w:r w:rsidRPr="110BD1A6" w:rsidR="110BD1A6">
        <w:rPr>
          <w:b w:val="1"/>
          <w:bCs w:val="1"/>
          <w:sz w:val="30"/>
          <w:szCs w:val="30"/>
        </w:rPr>
        <w:t>рисками</w:t>
      </w:r>
    </w:p>
    <w:p xmlns:wp14="http://schemas.microsoft.com/office/word/2010/wordml" w14:paraId="6FA9CF3B" wp14:textId="77777777">
      <w:pPr>
        <w:spacing w:line="276" w:lineRule="auto"/>
        <w:ind w:firstLine="709"/>
        <w:jc w:val="both"/>
      </w:pPr>
      <w:r>
        <w:rPr>
          <w:b w:val="0"/>
          <w:i w:val="0"/>
        </w:rPr>
        <w:t>Для двух выбранных рисков проведён анализ четырёх классических стратегий, рассмотренных в лекции: уклонение, передача, снижение и принятие (активное/пассивное).</w:t>
      </w:r>
    </w:p>
    <w:p xmlns:wp14="http://schemas.microsoft.com/office/word/2010/wordml" w14:paraId="2BFE9314" wp14:textId="77777777">
      <w:pPr>
        <w:spacing w:before="120" w:after="120"/>
      </w:pPr>
      <w:r>
        <w:rPr>
          <w:b/>
          <w:sz w:val="28"/>
        </w:rPr>
        <w:t>3.1. Риск R1 — сбои античита / новые читы</w:t>
      </w:r>
    </w:p>
    <w:p xmlns:wp14="http://schemas.microsoft.com/office/word/2010/wordml" w14:paraId="6B04B179" wp14:textId="77777777">
      <w:pPr>
        <w:pStyle w:val="ListBullet"/>
        <w:spacing w:after="80" w:line="276" w:lineRule="auto"/>
      </w:pPr>
      <w:r>
        <w:rPr>
          <w:b/>
        </w:rPr>
        <w:t xml:space="preserve">Стратегия уклонения. </w:t>
      </w:r>
      <w:r>
        <w:t>Полностью избежать риска можно было бы лишь отказавшись от собственного античита и полностью положившись на Valve VAC, либо вообще отказавшись от проведения соревновательных матчей на Faceit. Это равносильно потере ключевого конкурентного преимущества платформы и фактическому отказу от проекта, поэтому стратегия неприменима.</w:t>
      </w:r>
    </w:p>
    <w:p xmlns:wp14="http://schemas.microsoft.com/office/word/2010/wordml" w14:paraId="25018E64" wp14:textId="77777777">
      <w:pPr>
        <w:pStyle w:val="ListBullet"/>
        <w:spacing w:after="80" w:line="276" w:lineRule="auto"/>
      </w:pPr>
      <w:r>
        <w:rPr>
          <w:b/>
        </w:rPr>
        <w:t xml:space="preserve">Стратегия передачи. </w:t>
      </w:r>
      <w:r>
        <w:t>Часть риска можно передать внешнему вендору античитных решений (например, лицензировать готовый ядерный античит с гарантиями обновлений в СЛА). Но это противоречит позиционированию Faceit как платформы с собственным античитом и влечёт высокие лицензионные отчисления и потерю контроля над ядром защиты.</w:t>
      </w:r>
    </w:p>
    <w:p xmlns:wp14="http://schemas.microsoft.com/office/word/2010/wordml" w14:paraId="55400A70" wp14:textId="77777777">
      <w:pPr>
        <w:pStyle w:val="ListBullet"/>
        <w:spacing w:after="80" w:line="276" w:lineRule="auto"/>
      </w:pPr>
      <w:r>
        <w:rPr>
          <w:b/>
        </w:rPr>
        <w:t xml:space="preserve">Стратегия снижения. </w:t>
      </w:r>
      <w:r>
        <w:t>Реализуется комплекс мер: выделение постоянной команды по античиту, построение модульной архитектуры AC (детекторы отделены от ядра), развертывание программы bug bounty, постоянный мониторинг форумов/рынка читов и предварительный доступ к beta-билдам CS2. Снижает вероятность (быстрее реагируем) и влияние (правятся только модули, а не всё ядро).</w:t>
      </w:r>
    </w:p>
    <w:p xmlns:wp14="http://schemas.microsoft.com/office/word/2010/wordml" w14:paraId="13690894" wp14:textId="77777777">
      <w:pPr>
        <w:pStyle w:val="ListBullet"/>
        <w:spacing w:after="80" w:line="276" w:lineRule="auto"/>
      </w:pPr>
      <w:r>
        <w:rPr>
          <w:b/>
        </w:rPr>
        <w:t xml:space="preserve">Принятие риска. </w:t>
      </w:r>
      <w:r>
        <w:t>Активное принятие — заранее заложить в план резерв времени (2–3 спринта) и бюджета на экстренные исправления AC. Пассивное — «план Б» в виде временного ужесточения модерации матчей и привлечения ручных админов-вотчеров на период от всплеска читов до выпуска патча.</w:t>
      </w:r>
    </w:p>
    <w:p xmlns:wp14="http://schemas.microsoft.com/office/word/2010/wordml" w14:paraId="5B46DDAE" wp14:textId="77777777">
      <w:pPr>
        <w:spacing w:line="276" w:lineRule="auto"/>
        <w:ind w:firstLine="709"/>
        <w:jc w:val="both"/>
      </w:pPr>
      <w:r>
        <w:rPr>
          <w:b/>
          <w:i w:val="0"/>
        </w:rPr>
        <w:t>Выбранная стратегия: снижение с подкреплением активным принятием.</w:t>
      </w:r>
    </w:p>
    <w:p xmlns:wp14="http://schemas.microsoft.com/office/word/2010/wordml" w14:paraId="6BA899BF" wp14:textId="77777777">
      <w:pPr>
        <w:spacing w:line="276" w:lineRule="auto"/>
        <w:ind w:firstLine="709"/>
        <w:jc w:val="both"/>
      </w:pPr>
      <w:r>
        <w:rPr>
          <w:b w:val="0"/>
          <w:i w:val="0"/>
        </w:rPr>
        <w:t>Полностью исключить риск невозможно: игровое поле (CS2 и рынок читов) неподконтрольно команде проекта, а передавать ядро конкурентного преимущества внешнему вендору экономически и имиджево невыгодно. Поэтому оптимальным является снижение вероятности и влияния риска за счёт модульной архитектуры, постоянного мониторинга и bug bounty, дополненное резервом сроков и бюджета на случай экстренного патча. Эта стратегия выполнима в рамках текущей оргструктуры компании и согласуется с экономическим принципом управления рисками: стоимость мероприятий меньше потенциальных потерь от срыва сроков.</w:t>
      </w:r>
    </w:p>
    <w:p xmlns:wp14="http://schemas.microsoft.com/office/word/2010/wordml" w14:paraId="226BF0ED" wp14:textId="77777777">
      <w:pPr>
        <w:spacing w:before="120" w:after="120"/>
      </w:pPr>
      <w:r>
        <w:rPr>
          <w:b/>
          <w:sz w:val="28"/>
        </w:rPr>
        <w:t>3.2. Риск R2 — изменение требований со стороны партнёров</w:t>
      </w:r>
    </w:p>
    <w:p xmlns:wp14="http://schemas.microsoft.com/office/word/2010/wordml" w14:paraId="0325ECDD" wp14:textId="77777777">
      <w:pPr>
        <w:pStyle w:val="ListBullet"/>
        <w:spacing w:after="80" w:line="276" w:lineRule="auto"/>
      </w:pPr>
      <w:r>
        <w:rPr>
          <w:b/>
        </w:rPr>
        <w:t xml:space="preserve">Стратегия уклонения. </w:t>
      </w:r>
      <w:r>
        <w:t>Прописать в договоре с ESL/BLAST «жёсткий freeze» требований на всю длительность проекта — формально возможно, но на практике партнёры всё равно будут инициировать изменения в форматах лиг. Нереалистично, как и в примере из лекции про CRM-внедрение.</w:t>
      </w:r>
    </w:p>
    <w:p xmlns:wp14="http://schemas.microsoft.com/office/word/2010/wordml" w14:paraId="456AAC7F" wp14:textId="77777777">
      <w:pPr>
        <w:pStyle w:val="ListBullet"/>
        <w:spacing w:after="80" w:line="276" w:lineRule="auto"/>
      </w:pPr>
      <w:r>
        <w:rPr>
          <w:b/>
        </w:rPr>
        <w:t xml:space="preserve">Стратегия передачи. </w:t>
      </w:r>
      <w:r>
        <w:t>В уставе проекта и в партнёрском договоре зафиксировать: любое новое требование партнёра автоматически ведёт к пересмотру базового расписания и бюджета со стороны этого же партнёра. При этом сам риск не исчезает, но финансовые и временные последствия перекладываются на инициатора изменений.</w:t>
      </w:r>
    </w:p>
    <w:p xmlns:wp14="http://schemas.microsoft.com/office/word/2010/wordml" w14:paraId="2A77D5F5" wp14:textId="77777777">
      <w:pPr>
        <w:pStyle w:val="ListBullet"/>
        <w:spacing w:after="80" w:line="276" w:lineRule="auto"/>
      </w:pPr>
      <w:r>
        <w:rPr>
          <w:b/>
        </w:rPr>
        <w:t xml:space="preserve">Стратегия снижения. </w:t>
      </w:r>
      <w:r>
        <w:t>Внедрить формальную процедуру управления изменениями требований (Change Request → impact analysis → одобрение КиС проекта), ввести выделенную роль product owner-а со стороны ESL/BLAST, работать по Agile с короткими итерациями и MVP, в которые изменения «вписываются» по приоритету. Снижает вероятность «внезапных» требований и их влияние на сроки.</w:t>
      </w:r>
    </w:p>
    <w:p xmlns:wp14="http://schemas.microsoft.com/office/word/2010/wordml" w14:paraId="4E2E6944" wp14:textId="77777777">
      <w:pPr>
        <w:pStyle w:val="ListBullet"/>
        <w:spacing w:after="80" w:line="276" w:lineRule="auto"/>
      </w:pPr>
      <w:r>
        <w:rPr>
          <w:b/>
        </w:rPr>
        <w:t xml:space="preserve">Принятие риска. </w:t>
      </w:r>
      <w:r>
        <w:t>Активное — выделить 10–15 % резерва времени и бюджета на «неожиданные» фичи; пассивное — держать план Б (сокращённый scope релиза, вынос новых требований в следующий релиз).</w:t>
      </w:r>
    </w:p>
    <w:p xmlns:wp14="http://schemas.microsoft.com/office/word/2010/wordml" w14:paraId="3E3938B6" wp14:textId="77777777">
      <w:pPr>
        <w:spacing w:line="276" w:lineRule="auto"/>
        <w:ind w:firstLine="709"/>
        <w:jc w:val="both"/>
      </w:pPr>
      <w:r>
        <w:rPr>
          <w:b/>
          <w:i w:val="0"/>
        </w:rPr>
        <w:t>Выбранная стратегия: комбинация снижения и передачи.</w:t>
      </w:r>
    </w:p>
    <w:p xmlns:wp14="http://schemas.microsoft.com/office/word/2010/wordml" w14:paraId="30EBE2BB" wp14:textId="77777777">
      <w:pPr>
        <w:spacing w:line="276" w:lineRule="auto"/>
        <w:ind w:firstLine="709"/>
        <w:jc w:val="both"/>
      </w:pPr>
      <w:r>
        <w:rPr>
          <w:b w:val="0"/>
          <w:i w:val="0"/>
        </w:rPr>
        <w:t>Основной инструмент — снижение риска через процедуру управления изменениями и Agile-подход: это экономически наиболее выгодно и применимо к реальным процессам команды. Дополнительно в контракт вносится условие о пересмотре базового расписания и бюджета при любом изменении со стороны партнёра — это фактически передаёт финансовые и временные последствия инициатору изменений. Стратегия полностью соответствует рекомендациям PMBOK и примеру из лекции про CRM-проект.</w:t>
      </w:r>
    </w:p>
    <w:p xmlns:wp14="http://schemas.microsoft.com/office/word/2010/wordml" w:rsidP="110BD1A6" w14:paraId="6B9C866B" wp14:textId="34494C04">
      <w:pPr>
        <w:pStyle w:val="Normal"/>
        <w:spacing w:before="120" w:after="120"/>
      </w:pPr>
      <w:r w:rsidRPr="110BD1A6" w:rsidR="110BD1A6">
        <w:rPr>
          <w:b w:val="1"/>
          <w:bCs w:val="1"/>
          <w:sz w:val="30"/>
          <w:szCs w:val="30"/>
        </w:rPr>
        <w:t xml:space="preserve">План </w:t>
      </w:r>
      <w:r w:rsidRPr="110BD1A6" w:rsidR="110BD1A6">
        <w:rPr>
          <w:b w:val="1"/>
          <w:bCs w:val="1"/>
          <w:sz w:val="30"/>
          <w:szCs w:val="30"/>
        </w:rPr>
        <w:t>работы</w:t>
      </w:r>
      <w:r w:rsidRPr="110BD1A6" w:rsidR="110BD1A6">
        <w:rPr>
          <w:b w:val="1"/>
          <w:bCs w:val="1"/>
          <w:sz w:val="30"/>
          <w:szCs w:val="30"/>
        </w:rPr>
        <w:t xml:space="preserve"> с </w:t>
      </w:r>
      <w:r w:rsidRPr="110BD1A6" w:rsidR="110BD1A6">
        <w:rPr>
          <w:b w:val="1"/>
          <w:bCs w:val="1"/>
          <w:sz w:val="30"/>
          <w:szCs w:val="30"/>
        </w:rPr>
        <w:t>критичными</w:t>
      </w:r>
      <w:r w:rsidRPr="110BD1A6" w:rsidR="110BD1A6">
        <w:rPr>
          <w:b w:val="1"/>
          <w:bCs w:val="1"/>
          <w:sz w:val="30"/>
          <w:szCs w:val="30"/>
        </w:rPr>
        <w:t xml:space="preserve"> </w:t>
      </w:r>
      <w:r w:rsidRPr="110BD1A6" w:rsidR="110BD1A6">
        <w:rPr>
          <w:b w:val="1"/>
          <w:bCs w:val="1"/>
          <w:sz w:val="30"/>
          <w:szCs w:val="30"/>
        </w:rPr>
        <w:t>рисками</w:t>
      </w:r>
    </w:p>
    <w:p xmlns:wp14="http://schemas.microsoft.com/office/word/2010/wordml" w14:paraId="40169BE1" wp14:textId="77777777">
      <w:pPr>
        <w:spacing w:line="276" w:lineRule="auto"/>
        <w:ind w:firstLine="709"/>
        <w:jc w:val="both"/>
      </w:pPr>
      <w:r>
        <w:rPr>
          <w:b w:val="0"/>
          <w:i w:val="0"/>
        </w:rPr>
        <w:t>По итогам выполненных заданий сформирован сводный план работы с двумя наиболее важными рисками проекта.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995"/>
        <w:gridCol w:w="1995"/>
        <w:gridCol w:w="1995"/>
        <w:gridCol w:w="1995"/>
        <w:gridCol w:w="1995"/>
      </w:tblGrid>
      <w:tr xmlns:wp14="http://schemas.microsoft.com/office/word/2010/wordml" w:rsidTr="110BD1A6" w14:paraId="3991AF9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5" w:type="dxa"/>
            <w:shd w:val="clear" w:color="auto" w:fill="D9E2F3"/>
            <w:tcMar/>
          </w:tcPr>
          <w:p w14:paraId="090E5B72" wp14:textId="77777777">
            <w:pPr>
              <w:jc w:val="center"/>
            </w:pPr>
            <w:r/>
            <w:r>
              <w:rPr>
                <w:b/>
                <w:sz w:val="22"/>
              </w:rPr>
              <w:t>Тип риска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5" w:type="dxa"/>
            <w:shd w:val="clear" w:color="auto" w:fill="D9E2F3"/>
            <w:tcMar/>
          </w:tcPr>
          <w:p w14:paraId="40612245" wp14:textId="77777777">
            <w:pPr>
              <w:jc w:val="center"/>
            </w:pPr>
            <w:r/>
            <w:r>
              <w:rPr>
                <w:b/>
                <w:sz w:val="22"/>
              </w:rPr>
              <w:t>Название риска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5" w:type="dxa"/>
            <w:shd w:val="clear" w:color="auto" w:fill="D9E2F3"/>
            <w:tcMar/>
          </w:tcPr>
          <w:p w14:paraId="4F3907E8" wp14:textId="77777777">
            <w:pPr>
              <w:jc w:val="center"/>
            </w:pPr>
            <w:r/>
            <w:r>
              <w:rPr>
                <w:b/>
                <w:sz w:val="22"/>
              </w:rPr>
              <w:t>Триггер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5" w:type="dxa"/>
            <w:shd w:val="clear" w:color="auto" w:fill="D9E2F3"/>
            <w:tcMar/>
          </w:tcPr>
          <w:p w14:paraId="0DECE206" wp14:textId="77777777">
            <w:pPr>
              <w:jc w:val="center"/>
            </w:pPr>
            <w:r/>
            <w:r>
              <w:rPr>
                <w:b/>
                <w:sz w:val="22"/>
              </w:rPr>
              <w:t>Мероприятия по недопущению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5" w:type="dxa"/>
            <w:shd w:val="clear" w:color="auto" w:fill="D9E2F3"/>
            <w:tcMar/>
          </w:tcPr>
          <w:p w14:paraId="0040C682" wp14:textId="77777777">
            <w:pPr>
              <w:jc w:val="center"/>
            </w:pPr>
            <w:r/>
            <w:r>
              <w:rPr>
                <w:b/>
                <w:sz w:val="22"/>
              </w:rPr>
              <w:t>Мероприятия по минимизации последствий</w:t>
            </w:r>
          </w:p>
        </w:tc>
      </w:tr>
      <w:tr xmlns:wp14="http://schemas.microsoft.com/office/word/2010/wordml" w:rsidTr="110BD1A6" w14:paraId="1047502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5" w:type="dxa"/>
            <w:tcMar/>
          </w:tcPr>
          <w:p w14:paraId="5037B5F5" wp14:textId="77777777">
            <w:pPr>
              <w:jc w:val="left"/>
            </w:pPr>
            <w:r/>
            <w:r>
              <w:rPr>
                <w:sz w:val="22"/>
              </w:rPr>
              <w:t>Внешний / технологический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5" w:type="dxa"/>
            <w:tcMar/>
          </w:tcPr>
          <w:p w14:paraId="337F1BAA" wp14:textId="77777777">
            <w:pPr>
              <w:jc w:val="left"/>
            </w:pPr>
            <w:r/>
            <w:r>
              <w:rPr>
                <w:sz w:val="22"/>
              </w:rPr>
              <w:t>R1. Сбои античита из-за новых читов / патчей CS2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5" w:type="dxa"/>
            <w:tcMar/>
          </w:tcPr>
          <w:p w14:paraId="23212B45" wp14:textId="77777777">
            <w:pPr>
              <w:jc w:val="left"/>
            </w:pPr>
            <w:r/>
            <w:r>
              <w:rPr>
                <w:sz w:val="22"/>
              </w:rPr>
              <w:t>Рост обращений в support «читеры в хабе» &gt;20 %/неделю; публикация major-патча CS2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5" w:type="dxa"/>
            <w:tcMar/>
          </w:tcPr>
          <w:p w14:paraId="3B055E85" wp14:textId="77777777">
            <w:pPr>
              <w:jc w:val="left"/>
            </w:pPr>
            <w:r/>
            <w:r>
              <w:rPr>
                <w:sz w:val="22"/>
              </w:rPr>
              <w:t>Модульная архитектура AC; выделенная команда anti-cheat; мониторинг чит-рынка; bug bounty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5" w:type="dxa"/>
            <w:tcMar/>
          </w:tcPr>
          <w:p w14:paraId="5C3E2B02" wp14:textId="77777777">
            <w:pPr>
              <w:jc w:val="left"/>
            </w:pPr>
            <w:r/>
            <w:r>
              <w:rPr>
                <w:sz w:val="22"/>
              </w:rPr>
              <w:t>Подключение заранее зарезервированных senior-инженеров; временное ужесточение ручной модерации матчей</w:t>
            </w:r>
          </w:p>
        </w:tc>
      </w:tr>
      <w:tr xmlns:wp14="http://schemas.microsoft.com/office/word/2010/wordml" w:rsidTr="110BD1A6" w14:paraId="43C5633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5" w:type="dxa"/>
            <w:tcMar/>
          </w:tcPr>
          <w:p w14:paraId="0F6967E6" wp14:textId="77777777">
            <w:pPr>
              <w:jc w:val="left"/>
            </w:pPr>
            <w:r/>
            <w:r>
              <w:rPr>
                <w:sz w:val="22"/>
              </w:rPr>
              <w:t>Внешний / связанный с требованиями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5" w:type="dxa"/>
            <w:tcMar/>
          </w:tcPr>
          <w:p w14:paraId="12DAE6E6" wp14:textId="77777777">
            <w:pPr>
              <w:jc w:val="left"/>
            </w:pPr>
            <w:r/>
            <w:r>
              <w:rPr>
                <w:sz w:val="22"/>
              </w:rPr>
              <w:t>R2. Изменение требований от ESL / BLAST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5" w:type="dxa"/>
            <w:tcMar/>
          </w:tcPr>
          <w:p w14:paraId="501D5B04" wp14:textId="77777777">
            <w:pPr>
              <w:jc w:val="left"/>
            </w:pPr>
            <w:r/>
            <w:r>
              <w:rPr>
                <w:sz w:val="22"/>
              </w:rPr>
              <w:t>Появление новых регламентов лиги / изменение формата турнира в течении &lt;30 дней до релиза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5" w:type="dxa"/>
            <w:tcMar/>
          </w:tcPr>
          <w:p w14:paraId="6217764A" wp14:textId="77777777">
            <w:pPr>
              <w:jc w:val="left"/>
            </w:pPr>
            <w:r/>
            <w:r>
              <w:rPr>
                <w:sz w:val="22"/>
              </w:rPr>
              <w:t>Процедура Change Request; выделенный представитель партнёра; Agile-итерации и MVP; условие о пересмотре базового расписания в договоре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5" w:type="dxa"/>
            <w:tcMar/>
          </w:tcPr>
          <w:p w14:paraId="410595BA" wp14:textId="77777777">
            <w:pPr>
              <w:jc w:val="left"/>
            </w:pPr>
            <w:r/>
            <w:r>
              <w:rPr>
                <w:sz w:val="22"/>
              </w:rPr>
              <w:t>Сокращение scope релиза (MVP); перенос части изменений в следующий релиз; использование резерва 10–15 %</w:t>
            </w:r>
          </w:p>
        </w:tc>
      </w:tr>
    </w:tbl>
    <w:p w:rsidR="110BD1A6" w:rsidP="110BD1A6" w:rsidRDefault="110BD1A6" w14:paraId="50FBAB56" w14:textId="31ABDF5F">
      <w:pPr>
        <w:spacing w:before="120" w:after="120"/>
        <w:rPr>
          <w:b w:val="1"/>
          <w:bCs w:val="1"/>
          <w:sz w:val="30"/>
          <w:szCs w:val="30"/>
        </w:rPr>
      </w:pPr>
    </w:p>
    <w:p xmlns:wp14="http://schemas.microsoft.com/office/word/2010/wordml" w14:paraId="5E3B1ADF" wp14:textId="77777777">
      <w:pPr>
        <w:spacing w:before="120" w:after="120"/>
      </w:pPr>
      <w:r>
        <w:rPr>
          <w:b/>
          <w:sz w:val="30"/>
        </w:rPr>
        <w:t>Выводы</w:t>
      </w:r>
    </w:p>
    <w:p xmlns:wp14="http://schemas.microsoft.com/office/word/2010/wordml" w14:paraId="41DF87E8" wp14:textId="77777777">
      <w:pPr>
        <w:spacing w:line="276" w:lineRule="auto"/>
        <w:ind w:firstLine="709"/>
        <w:jc w:val="both"/>
      </w:pPr>
      <w:r>
        <w:rPr>
          <w:b w:val="0"/>
          <w:i w:val="0"/>
        </w:rPr>
        <w:t>В ходе лабораторной работы была проведена полная итерация управления рисками по PMBOK для проекта развития платформы Faceit: выявление рисков через диаграмму Исикавы, экспертная оценка вероятности и последствий, выбор двух критичных рисков и проработка четырёх стратегий реагирования.</w:t>
      </w:r>
    </w:p>
    <w:p xmlns:wp14="http://schemas.microsoft.com/office/word/2010/wordml" w14:paraId="74C0A707" wp14:textId="77777777">
      <w:pPr>
        <w:spacing w:line="276" w:lineRule="auto"/>
        <w:ind w:firstLine="709"/>
        <w:jc w:val="both"/>
      </w:pPr>
      <w:r>
        <w:rPr>
          <w:b w:val="0"/>
          <w:i w:val="0"/>
        </w:rPr>
        <w:t>Наиболее оптимальными для выбранных рисков оказались стратегии снижения (R1) и снижения в связке с передачей (R2). Обе стратегии выполнимы в рамках текущей организационной структуры платформы и соответствуют экономическому принципу управления рисками: стоимость антирисковых мероприятий значительно меньше возможных потерь от срыва сроков релиза.</w:t>
      </w:r>
    </w:p>
    <w:p xmlns:wp14="http://schemas.microsoft.com/office/word/2010/wordml" w14:paraId="59EF351C" wp14:textId="77777777">
      <w:pPr>
        <w:spacing w:line="276" w:lineRule="auto"/>
        <w:ind w:firstLine="709"/>
        <w:jc w:val="both"/>
      </w:pPr>
      <w:r>
        <w:rPr>
          <w:b w:val="0"/>
          <w:i w:val="0"/>
        </w:rPr>
        <w:t>Для полноценного управления рисками рекомендуется повторять весь цикл (идентификация → оценка → планирование → мониторинг) с периодичностью в две недели и вести журнал рисков (Risk Log) в актуальном состоянии.</w:t>
      </w:r>
    </w:p>
    <w:sectPr w:rsidRPr="0006063C" w:rsidR="00FC693F" w:rsidSect="00034616">
      <w:pgSz w:w="12240" w:h="15840" w:orient="portrait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0BD1A6"/>
    <w:rsid w:val="58F21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C779F8C3-2BCA-4C47-918E-C94853BC701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media/image1.pn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Вадим Потребко</lastModifiedBy>
  <revision>2</revision>
  <dcterms:created xsi:type="dcterms:W3CDTF">2013-12-23T23:15:00.0000000Z</dcterms:created>
  <dcterms:modified xsi:type="dcterms:W3CDTF">2026-05-25T23:53:48.7534832Z</dcterms:modified>
  <category/>
</coreProperties>
</file>