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0" w:before="0" w:line="300" w:lineRule="auto"/>
        <w:jc w:val="center"/>
        <w:rPr>
          <w:rFonts w:ascii="Calibri" w:cs="Calibri" w:eastAsia="Calibri" w:hAnsi="Calibri"/>
          <w:b w:val="1"/>
          <w:bCs w:val="1"/>
        </w:rPr>
      </w:pPr>
      <w:bookmarkStart w:colFirst="0" w:colLast="0" w:name="_wbvqztgbbpk" w:id="0"/>
      <w:bookmarkEnd w:id="0"/>
      <w:r w:rsidDel="00000000" w:rsidR="00000000" w:rsidRPr="00000000">
        <w:rPr>
          <w:rFonts w:ascii="Calibri" w:cs="Calibri" w:eastAsia="Calibri" w:hAnsi="Calibri"/>
          <w:b w:val="1"/>
          <w:bCs w:val="1"/>
          <w:rtl w:val="0"/>
        </w:rPr>
        <w:t xml:space="preserve">KalliCode </w:t>
      </w:r>
    </w:p>
    <w:p w:rsidR="00000000" w:rsidDel="00000000" w:rsidP="00000000" w:rsidRDefault="00000000" w:rsidRPr="00000000" w14:paraId="00000002">
      <w:pPr>
        <w:keepNext w:val="0"/>
        <w:keepLines w:val="0"/>
        <w:spacing w:after="0" w:line="300" w:lineRule="auto"/>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Definition of Done (DoD)</w:t>
      </w:r>
    </w:p>
    <w:p w:rsidR="00000000" w:rsidDel="00000000" w:rsidP="00000000" w:rsidRDefault="00000000" w:rsidRPr="00000000" w14:paraId="00000003">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04">
      <w:pPr>
        <w:pStyle w:val="Heading1"/>
        <w:keepNext w:val="0"/>
        <w:keepLines w:val="0"/>
        <w:spacing w:after="0" w:before="100" w:line="300" w:lineRule="auto"/>
        <w:jc w:val="both"/>
        <w:rPr>
          <w:rFonts w:ascii="Calibri" w:cs="Calibri" w:eastAsia="Calibri" w:hAnsi="Calibri"/>
        </w:rPr>
      </w:pPr>
      <w:bookmarkStart w:colFirst="0" w:colLast="0" w:name="_czuhgocgr6dv" w:id="1"/>
      <w:bookmarkEnd w:id="1"/>
      <w:r w:rsidDel="00000000" w:rsidR="00000000" w:rsidRPr="00000000">
        <w:rPr>
          <w:rFonts w:ascii="Calibri" w:cs="Calibri" w:eastAsia="Calibri" w:hAnsi="Calibri"/>
          <w:b w:val="1"/>
          <w:bCs w:val="1"/>
          <w:sz w:val="32"/>
          <w:szCs w:val="32"/>
          <w:rtl w:val="0"/>
        </w:rPr>
        <w:t xml:space="preserve">1. Qué significa "Terminado"</w:t>
      </w:r>
      <w:r w:rsidDel="00000000" w:rsidR="00000000" w:rsidRPr="00000000">
        <w:rPr>
          <w:rtl w:val="0"/>
        </w:rPr>
      </w:r>
    </w:p>
    <w:p w:rsidR="00000000" w:rsidDel="00000000" w:rsidP="00000000" w:rsidRDefault="00000000" w:rsidRPr="00000000" w14:paraId="00000005">
      <w:pPr>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Un ticket no se marca terminado por haber escrito el código: se marca terminado cuando puede demostrarse en la Sprint Review, sobre el entorno de demostración y no en local, que cumple sus criterios de aceptación y las condiciones de esta Definición de Terminado. Ambas cosas son necesarias; ninguna reemplaza a la otra.</w:t>
      </w:r>
    </w:p>
    <w:p w:rsidR="00000000" w:rsidDel="00000000" w:rsidP="00000000" w:rsidRDefault="00000000" w:rsidRPr="00000000" w14:paraId="00000006">
      <w:pPr>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Esta DoD es la misma para los cinco subproyectos del programa (CodeMapping, Database, Backend, Portal y Testing). Este documento la reproduce completa y agrega, al final, lo que se suma específicamente al trabajo de Backend y de Portal.</w:t>
      </w:r>
    </w:p>
    <w:p w:rsidR="00000000" w:rsidDel="00000000" w:rsidP="00000000" w:rsidRDefault="00000000" w:rsidRPr="00000000" w14:paraId="00000007">
      <w:pPr>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08">
      <w:pPr>
        <w:pStyle w:val="Heading1"/>
        <w:keepNext w:val="0"/>
        <w:keepLines w:val="0"/>
        <w:spacing w:after="0" w:before="100" w:line="300" w:lineRule="auto"/>
        <w:jc w:val="both"/>
        <w:rPr>
          <w:b w:val="1"/>
          <w:bCs w:val="1"/>
        </w:rPr>
      </w:pPr>
      <w:bookmarkStart w:colFirst="0" w:colLast="0" w:name="_24pfk2z2xiym" w:id="2"/>
      <w:bookmarkEnd w:id="2"/>
      <w:r w:rsidDel="00000000" w:rsidR="00000000" w:rsidRPr="00000000">
        <w:rPr>
          <w:rFonts w:ascii="Calibri" w:cs="Calibri" w:eastAsia="Calibri" w:hAnsi="Calibri"/>
          <w:b w:val="1"/>
          <w:bCs w:val="1"/>
          <w:sz w:val="32"/>
          <w:szCs w:val="32"/>
          <w:rtl w:val="0"/>
        </w:rPr>
        <w:t xml:space="preserve">2. Definición de Preparado (DoR), como puerta de entrada</w:t>
      </w:r>
      <w:r w:rsidDel="00000000" w:rsidR="00000000" w:rsidRPr="00000000">
        <w:rPr>
          <w:rtl w:val="0"/>
        </w:rPr>
      </w:r>
    </w:p>
    <w:p w:rsidR="00000000" w:rsidDel="00000000" w:rsidP="00000000" w:rsidRDefault="00000000" w:rsidRPr="00000000" w14:paraId="00000009">
      <w:pPr>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Antes de comprometer un ticket a un sprint, tiene que tener: descripción clara, criterios de aceptación verificables, dependencias identificadas con el equipo correspondiente, estimación en Story Points y, cuando cruza una frontera entre subproyectos, un contrato acordado por escrito (OpenAPI, esquema SQL o tipos compartidos). Un ticket que no cumple esto no entra al sprint, sin importar cuánta prioridad tenga.</w:t>
      </w:r>
    </w:p>
    <w:p w:rsidR="00000000" w:rsidDel="00000000" w:rsidP="00000000" w:rsidRDefault="00000000" w:rsidRPr="00000000" w14:paraId="0000000A">
      <w:pPr>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0B">
      <w:pPr>
        <w:pStyle w:val="Heading1"/>
        <w:keepNext w:val="0"/>
        <w:keepLines w:val="0"/>
        <w:spacing w:after="0" w:before="100" w:line="300" w:lineRule="auto"/>
        <w:jc w:val="both"/>
        <w:rPr>
          <w:rFonts w:ascii="Calibri" w:cs="Calibri" w:eastAsia="Calibri" w:hAnsi="Calibri"/>
          <w:b w:val="1"/>
          <w:bCs w:val="1"/>
          <w:sz w:val="32"/>
          <w:szCs w:val="32"/>
        </w:rPr>
      </w:pPr>
      <w:bookmarkStart w:colFirst="0" w:colLast="0" w:name="_urdvy4lujv62" w:id="3"/>
      <w:bookmarkEnd w:id="3"/>
      <w:r w:rsidDel="00000000" w:rsidR="00000000" w:rsidRPr="00000000">
        <w:rPr>
          <w:rFonts w:ascii="Calibri" w:cs="Calibri" w:eastAsia="Calibri" w:hAnsi="Calibri"/>
          <w:b w:val="1"/>
          <w:bCs w:val="1"/>
          <w:sz w:val="32"/>
          <w:szCs w:val="32"/>
          <w:rtl w:val="0"/>
        </w:rPr>
        <w:t xml:space="preserve">3. Definición de Terminado común al programa</w:t>
      </w:r>
    </w:p>
    <w:p w:rsidR="00000000" w:rsidDel="00000000" w:rsidP="00000000" w:rsidRDefault="00000000" w:rsidRPr="00000000" w14:paraId="0000000C">
      <w:pPr>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Un ticket está terminado cuando se cumplen, todas, las siguientes condiciones:</w:t>
      </w:r>
    </w:p>
    <w:p w:rsidR="00000000" w:rsidDel="00000000" w:rsidP="00000000" w:rsidRDefault="00000000" w:rsidRPr="00000000" w14:paraId="0000000D">
      <w:pPr>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0E">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sz w:val="21"/>
          <w:szCs w:val="21"/>
          <w:rtl w:val="0"/>
        </w:rPr>
        <w:t xml:space="preserve">Revisión de código: el código está en la rama principal tras un Pull Request aprobado por al menos un revisor. Los cambios que tocan seguridad, RLS, auditoría o pipeline requieren, además, la aprobación del Tech Lead del subproyecto.</w:t>
      </w:r>
    </w:p>
    <w:p w:rsidR="00000000" w:rsidDel="00000000" w:rsidP="00000000" w:rsidRDefault="00000000" w:rsidRPr="00000000" w14:paraId="0000000F">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sz w:val="21"/>
          <w:szCs w:val="21"/>
          <w:rtl w:val="0"/>
        </w:rPr>
        <w:t xml:space="preserve">Pruebas en verde: las pruebas unitarias y de integración pasan. La cobertura del módulo tocado no baja de su línea base y, una vez alcanzado el umbral, nunca queda por debajo del 80 % (decisión D17 del programa).</w:t>
      </w:r>
    </w:p>
    <w:p w:rsidR="00000000" w:rsidDel="00000000" w:rsidP="00000000" w:rsidRDefault="00000000" w:rsidRPr="00000000" w14:paraId="00000010">
      <w:pPr>
        <w:numPr>
          <w:ilvl w:val="0"/>
          <w:numId w:val="2"/>
        </w:numPr>
        <w:ind w:left="720" w:hanging="360"/>
        <w:jc w:val="both"/>
        <w:rPr/>
      </w:pPr>
      <w:r w:rsidDel="00000000" w:rsidR="00000000" w:rsidRPr="00000000">
        <w:rPr>
          <w:rFonts w:ascii="Calibri" w:cs="Calibri" w:eastAsia="Calibri" w:hAnsi="Calibri"/>
          <w:sz w:val="21"/>
          <w:szCs w:val="21"/>
          <w:rtl w:val="0"/>
        </w:rPr>
        <w:t xml:space="preserve">Calidad estática: el linter y el formateador no reportan errores (</w:t>
      </w:r>
      <w:r w:rsidDel="00000000" w:rsidR="00000000" w:rsidRPr="00000000">
        <w:rPr>
          <w:rFonts w:ascii="Calibri" w:cs="Calibri" w:eastAsia="Calibri" w:hAnsi="Calibri"/>
          <w:sz w:val="19"/>
          <w:szCs w:val="19"/>
          <w:rtl w:val="0"/>
        </w:rPr>
        <w:t xml:space="preserve">ruff</w:t>
      </w:r>
      <w:r w:rsidDel="00000000" w:rsidR="00000000" w:rsidRPr="00000000">
        <w:rPr>
          <w:rFonts w:ascii="Calibri" w:cs="Calibri" w:eastAsia="Calibri" w:hAnsi="Calibri"/>
          <w:sz w:val="21"/>
          <w:szCs w:val="21"/>
          <w:rtl w:val="0"/>
        </w:rPr>
        <w:t xml:space="preserve"> y </w:t>
      </w:r>
      <w:r w:rsidDel="00000000" w:rsidR="00000000" w:rsidRPr="00000000">
        <w:rPr>
          <w:rFonts w:ascii="Calibri" w:cs="Calibri" w:eastAsia="Calibri" w:hAnsi="Calibri"/>
          <w:sz w:val="19"/>
          <w:szCs w:val="19"/>
          <w:rtl w:val="0"/>
        </w:rPr>
        <w:t xml:space="preserve">black</w:t>
      </w:r>
      <w:r w:rsidDel="00000000" w:rsidR="00000000" w:rsidRPr="00000000">
        <w:rPr>
          <w:rFonts w:ascii="Calibri" w:cs="Calibri" w:eastAsia="Calibri" w:hAnsi="Calibri"/>
          <w:sz w:val="21"/>
          <w:szCs w:val="21"/>
          <w:rtl w:val="0"/>
        </w:rPr>
        <w:t xml:space="preserve"> en Python; </w:t>
      </w:r>
      <w:r w:rsidDel="00000000" w:rsidR="00000000" w:rsidRPr="00000000">
        <w:rPr>
          <w:rFonts w:ascii="Calibri" w:cs="Calibri" w:eastAsia="Calibri" w:hAnsi="Calibri"/>
          <w:sz w:val="19"/>
          <w:szCs w:val="19"/>
          <w:rtl w:val="0"/>
        </w:rPr>
        <w:t xml:space="preserve">eslint</w:t>
      </w:r>
      <w:r w:rsidDel="00000000" w:rsidR="00000000" w:rsidRPr="00000000">
        <w:rPr>
          <w:rFonts w:ascii="Calibri" w:cs="Calibri" w:eastAsia="Calibri" w:hAnsi="Calibri"/>
          <w:sz w:val="21"/>
          <w:szCs w:val="21"/>
          <w:rtl w:val="0"/>
        </w:rPr>
        <w:t xml:space="preserve"> y </w:t>
      </w:r>
      <w:r w:rsidDel="00000000" w:rsidR="00000000" w:rsidRPr="00000000">
        <w:rPr>
          <w:rFonts w:ascii="Calibri" w:cs="Calibri" w:eastAsia="Calibri" w:hAnsi="Calibri"/>
          <w:sz w:val="19"/>
          <w:szCs w:val="19"/>
          <w:rtl w:val="0"/>
        </w:rPr>
        <w:t xml:space="preserve">prettier</w:t>
      </w:r>
      <w:r w:rsidDel="00000000" w:rsidR="00000000" w:rsidRPr="00000000">
        <w:rPr>
          <w:rFonts w:ascii="Calibri" w:cs="Calibri" w:eastAsia="Calibri" w:hAnsi="Calibri"/>
          <w:sz w:val="21"/>
          <w:szCs w:val="21"/>
          <w:rtl w:val="0"/>
        </w:rPr>
        <w:t xml:space="preserve"> en el portal), y la verificación de tipos pasa (</w:t>
      </w:r>
      <w:r w:rsidDel="00000000" w:rsidR="00000000" w:rsidRPr="00000000">
        <w:rPr>
          <w:rFonts w:ascii="Calibri" w:cs="Calibri" w:eastAsia="Calibri" w:hAnsi="Calibri"/>
          <w:sz w:val="19"/>
          <w:szCs w:val="19"/>
          <w:rtl w:val="0"/>
        </w:rPr>
        <w:t xml:space="preserve">mypy</w:t>
      </w:r>
      <w:r w:rsidDel="00000000" w:rsidR="00000000" w:rsidRPr="00000000">
        <w:rPr>
          <w:rFonts w:ascii="Calibri" w:cs="Calibri" w:eastAsia="Calibri" w:hAnsi="Calibri"/>
          <w:sz w:val="21"/>
          <w:szCs w:val="21"/>
          <w:rtl w:val="0"/>
        </w:rPr>
        <w:t xml:space="preserve"> en </w:t>
      </w:r>
      <w:r w:rsidDel="00000000" w:rsidR="00000000" w:rsidRPr="00000000">
        <w:rPr>
          <w:rFonts w:ascii="Calibri" w:cs="Calibri" w:eastAsia="Calibri" w:hAnsi="Calibri"/>
          <w:sz w:val="19"/>
          <w:szCs w:val="19"/>
          <w:rtl w:val="0"/>
        </w:rPr>
        <w:t xml:space="preserve">packages/core</w:t>
      </w:r>
      <w:r w:rsidDel="00000000" w:rsidR="00000000" w:rsidRPr="00000000">
        <w:rPr>
          <w:rFonts w:ascii="Calibri" w:cs="Calibri" w:eastAsia="Calibri" w:hAnsi="Calibri"/>
          <w:sz w:val="21"/>
          <w:szCs w:val="21"/>
          <w:rtl w:val="0"/>
        </w:rPr>
        <w:t xml:space="preserve"> y en CodeMapping; </w:t>
      </w:r>
      <w:r w:rsidDel="00000000" w:rsidR="00000000" w:rsidRPr="00000000">
        <w:rPr>
          <w:rFonts w:ascii="Calibri" w:cs="Calibri" w:eastAsia="Calibri" w:hAnsi="Calibri"/>
          <w:sz w:val="19"/>
          <w:szCs w:val="19"/>
          <w:rtl w:val="0"/>
        </w:rPr>
        <w:t xml:space="preserve">tsc --strict</w:t>
      </w:r>
      <w:r w:rsidDel="00000000" w:rsidR="00000000" w:rsidRPr="00000000">
        <w:rPr>
          <w:rFonts w:ascii="Calibri" w:cs="Calibri" w:eastAsia="Calibri" w:hAnsi="Calibri"/>
          <w:sz w:val="21"/>
          <w:szCs w:val="21"/>
          <w:rtl w:val="0"/>
        </w:rPr>
        <w:t xml:space="preserve"> en el portal).</w:t>
      </w:r>
    </w:p>
    <w:p w:rsidR="00000000" w:rsidDel="00000000" w:rsidP="00000000" w:rsidRDefault="00000000" w:rsidRPr="00000000" w14:paraId="00000011">
      <w:pPr>
        <w:numPr>
          <w:ilvl w:val="0"/>
          <w:numId w:val="2"/>
        </w:numPr>
        <w:ind w:left="720" w:hanging="360"/>
        <w:jc w:val="both"/>
        <w:rPr/>
      </w:pPr>
      <w:r w:rsidDel="00000000" w:rsidR="00000000" w:rsidRPr="00000000">
        <w:rPr>
          <w:rFonts w:ascii="Calibri" w:cs="Calibri" w:eastAsia="Calibri" w:hAnsi="Calibri"/>
          <w:sz w:val="21"/>
          <w:szCs w:val="21"/>
          <w:rtl w:val="0"/>
        </w:rPr>
        <w:t xml:space="preserve">Aislamiento multi-tenant: toda consulta nueva se ejecuta en una sesión con </w:t>
      </w:r>
      <w:r w:rsidDel="00000000" w:rsidR="00000000" w:rsidRPr="00000000">
        <w:rPr>
          <w:rFonts w:ascii="Calibri" w:cs="Calibri" w:eastAsia="Calibri" w:hAnsi="Calibri"/>
          <w:sz w:val="19"/>
          <w:szCs w:val="19"/>
          <w:rtl w:val="0"/>
        </w:rPr>
        <w:t xml:space="preserve">app.tenant_id</w:t>
      </w:r>
      <w:r w:rsidDel="00000000" w:rsidR="00000000" w:rsidRPr="00000000">
        <w:rPr>
          <w:rFonts w:ascii="Calibri" w:cs="Calibri" w:eastAsia="Calibri" w:hAnsi="Calibri"/>
          <w:sz w:val="21"/>
          <w:szCs w:val="21"/>
          <w:rtl w:val="0"/>
        </w:rPr>
        <w:t xml:space="preserve"> fijado, y existe una prueba que demuestra que no hay fuga de datos entre dos tenants.</w:t>
      </w:r>
    </w:p>
    <w:p w:rsidR="00000000" w:rsidDel="00000000" w:rsidP="00000000" w:rsidRDefault="00000000" w:rsidRPr="00000000" w14:paraId="00000012">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sz w:val="21"/>
          <w:szCs w:val="21"/>
          <w:rtl w:val="0"/>
        </w:rPr>
        <w:t xml:space="preserve">Cadena de auditoría intacta: las mutaciones de negocio emiten su evento sellado y la verificación de la cadena de auditoría sigue pasando.</w:t>
      </w:r>
    </w:p>
    <w:p w:rsidR="00000000" w:rsidDel="00000000" w:rsidP="00000000" w:rsidRDefault="00000000" w:rsidRPr="00000000" w14:paraId="00000013">
      <w:pPr>
        <w:numPr>
          <w:ilvl w:val="0"/>
          <w:numId w:val="2"/>
        </w:numPr>
        <w:ind w:left="720" w:hanging="360"/>
        <w:jc w:val="both"/>
        <w:rPr/>
      </w:pPr>
      <w:r w:rsidDel="00000000" w:rsidR="00000000" w:rsidRPr="00000000">
        <w:rPr>
          <w:rFonts w:ascii="Calibri" w:cs="Calibri" w:eastAsia="Calibri" w:hAnsi="Calibri"/>
          <w:sz w:val="21"/>
          <w:szCs w:val="21"/>
          <w:rtl w:val="0"/>
        </w:rPr>
        <w:t xml:space="preserve">Migraciones versionadas: si el cambio toca el esquema, la migración vive en </w:t>
      </w:r>
      <w:r w:rsidDel="00000000" w:rsidR="00000000" w:rsidRPr="00000000">
        <w:rPr>
          <w:rFonts w:ascii="Calibri" w:cs="Calibri" w:eastAsia="Calibri" w:hAnsi="Calibri"/>
          <w:sz w:val="19"/>
          <w:szCs w:val="19"/>
          <w:rtl w:val="0"/>
        </w:rPr>
        <w:t xml:space="preserve">db/migrations/NNN_*.sql</w:t>
      </w:r>
      <w:r w:rsidDel="00000000" w:rsidR="00000000" w:rsidRPr="00000000">
        <w:rPr>
          <w:rFonts w:ascii="Calibri" w:cs="Calibri" w:eastAsia="Calibri" w:hAnsi="Calibri"/>
          <w:sz w:val="21"/>
          <w:szCs w:val="21"/>
          <w:rtl w:val="0"/>
        </w:rPr>
        <w:t xml:space="preserve"> (D06) y queda registrada en </w:t>
      </w:r>
      <w:r w:rsidDel="00000000" w:rsidR="00000000" w:rsidRPr="00000000">
        <w:rPr>
          <w:rFonts w:ascii="Calibri" w:cs="Calibri" w:eastAsia="Calibri" w:hAnsi="Calibri"/>
          <w:sz w:val="19"/>
          <w:szCs w:val="19"/>
          <w:rtl w:val="0"/>
        </w:rPr>
        <w:t xml:space="preserve">core.schema_migrations</w:t>
      </w:r>
      <w:r w:rsidDel="00000000" w:rsidR="00000000" w:rsidRPr="00000000">
        <w:rPr>
          <w:rFonts w:ascii="Calibri" w:cs="Calibri" w:eastAsia="Calibri" w:hAnsi="Calibri"/>
          <w:sz w:val="21"/>
          <w:szCs w:val="21"/>
          <w:rtl w:val="0"/>
        </w:rPr>
        <w:t xml:space="preserve">.</w:t>
      </w:r>
    </w:p>
    <w:p w:rsidR="00000000" w:rsidDel="00000000" w:rsidP="00000000" w:rsidRDefault="00000000" w:rsidRPr="00000000" w14:paraId="00000014">
      <w:pPr>
        <w:numPr>
          <w:ilvl w:val="0"/>
          <w:numId w:val="2"/>
        </w:numPr>
        <w:ind w:left="720" w:hanging="360"/>
        <w:jc w:val="both"/>
        <w:rPr/>
      </w:pPr>
      <w:r w:rsidDel="00000000" w:rsidR="00000000" w:rsidRPr="00000000">
        <w:rPr>
          <w:rFonts w:ascii="Calibri" w:cs="Calibri" w:eastAsia="Calibri" w:hAnsi="Calibri"/>
          <w:sz w:val="21"/>
          <w:szCs w:val="21"/>
          <w:rtl w:val="0"/>
        </w:rPr>
        <w:t xml:space="preserve">Log estructurado: todo camino nuevo deja rastro con </w:t>
      </w:r>
      <w:r w:rsidDel="00000000" w:rsidR="00000000" w:rsidRPr="00000000">
        <w:rPr>
          <w:rFonts w:ascii="Calibri" w:cs="Calibri" w:eastAsia="Calibri" w:hAnsi="Calibri"/>
          <w:sz w:val="19"/>
          <w:szCs w:val="19"/>
          <w:rtl w:val="0"/>
        </w:rPr>
        <w:t xml:space="preserve">trace_id</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sz w:val="19"/>
          <w:szCs w:val="19"/>
          <w:rtl w:val="0"/>
        </w:rPr>
        <w:t xml:space="preserve">tenant_id</w:t>
      </w:r>
      <w:r w:rsidDel="00000000" w:rsidR="00000000" w:rsidRPr="00000000">
        <w:rPr>
          <w:rFonts w:ascii="Calibri" w:cs="Calibri" w:eastAsia="Calibri" w:hAnsi="Calibri"/>
          <w:sz w:val="21"/>
          <w:szCs w:val="21"/>
          <w:rtl w:val="0"/>
        </w:rPr>
        <w:t xml:space="preserve"> y actor.</w:t>
      </w:r>
    </w:p>
    <w:p w:rsidR="00000000" w:rsidDel="00000000" w:rsidP="00000000" w:rsidRDefault="00000000" w:rsidRPr="00000000" w14:paraId="00000015">
      <w:pPr>
        <w:numPr>
          <w:ilvl w:val="0"/>
          <w:numId w:val="2"/>
        </w:numPr>
        <w:ind w:left="720" w:hanging="360"/>
        <w:jc w:val="both"/>
        <w:rPr/>
      </w:pPr>
      <w:r w:rsidDel="00000000" w:rsidR="00000000" w:rsidRPr="00000000">
        <w:rPr>
          <w:rFonts w:ascii="Calibri" w:cs="Calibri" w:eastAsia="Calibri" w:hAnsi="Calibri"/>
          <w:sz w:val="21"/>
          <w:szCs w:val="21"/>
          <w:rtl w:val="0"/>
        </w:rPr>
        <w:t xml:space="preserve">Documentación al día: el </w:t>
      </w:r>
      <w:r w:rsidDel="00000000" w:rsidR="00000000" w:rsidRPr="00000000">
        <w:rPr>
          <w:rFonts w:ascii="Calibri" w:cs="Calibri" w:eastAsia="Calibri" w:hAnsi="Calibri"/>
          <w:sz w:val="19"/>
          <w:szCs w:val="19"/>
          <w:rtl w:val="0"/>
        </w:rPr>
        <w:t xml:space="preserve">README</w:t>
      </w:r>
      <w:r w:rsidDel="00000000" w:rsidR="00000000" w:rsidRPr="00000000">
        <w:rPr>
          <w:rFonts w:ascii="Calibri" w:cs="Calibri" w:eastAsia="Calibri" w:hAnsi="Calibri"/>
          <w:sz w:val="21"/>
          <w:szCs w:val="21"/>
          <w:rtl w:val="0"/>
        </w:rPr>
        <w:t xml:space="preserve"> y el </w:t>
      </w:r>
      <w:r w:rsidDel="00000000" w:rsidR="00000000" w:rsidRPr="00000000">
        <w:rPr>
          <w:rFonts w:ascii="Calibri" w:cs="Calibri" w:eastAsia="Calibri" w:hAnsi="Calibri"/>
          <w:sz w:val="19"/>
          <w:szCs w:val="19"/>
          <w:rtl w:val="0"/>
        </w:rPr>
        <w:t xml:space="preserve">.env.example</w:t>
      </w:r>
      <w:r w:rsidDel="00000000" w:rsidR="00000000" w:rsidRPr="00000000">
        <w:rPr>
          <w:rFonts w:ascii="Calibri" w:cs="Calibri" w:eastAsia="Calibri" w:hAnsi="Calibri"/>
          <w:sz w:val="21"/>
          <w:szCs w:val="21"/>
          <w:rtl w:val="0"/>
        </w:rPr>
        <w:t xml:space="preserve"> quedan actualizados; el escaneo de secretos pasa en verde y no hay secretos en el repositorio.</w:t>
      </w:r>
    </w:p>
    <w:p w:rsidR="00000000" w:rsidDel="00000000" w:rsidP="00000000" w:rsidRDefault="00000000" w:rsidRPr="00000000" w14:paraId="00000016">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sz w:val="21"/>
          <w:szCs w:val="21"/>
          <w:rtl w:val="0"/>
        </w:rPr>
        <w:t xml:space="preserve">Demostrado, no solo codificado: los criterios de aceptación del ticket se muestran funcionando en el entorno de demostración durante la Sprint Review.</w:t>
      </w:r>
    </w:p>
    <w:p w:rsidR="00000000" w:rsidDel="00000000" w:rsidP="00000000" w:rsidRDefault="00000000" w:rsidRPr="00000000" w14:paraId="00000017">
      <w:pPr>
        <w:pStyle w:val="Heading1"/>
        <w:keepNext w:val="0"/>
        <w:keepLines w:val="0"/>
        <w:spacing w:after="0" w:before="100" w:line="300" w:lineRule="auto"/>
        <w:jc w:val="both"/>
        <w:rPr>
          <w:rFonts w:ascii="Calibri" w:cs="Calibri" w:eastAsia="Calibri" w:hAnsi="Calibri"/>
          <w:b w:val="1"/>
          <w:bCs w:val="1"/>
          <w:sz w:val="32"/>
          <w:szCs w:val="32"/>
        </w:rPr>
      </w:pPr>
      <w:bookmarkStart w:colFirst="0" w:colLast="0" w:name="_w1dcvpcmxe0v" w:id="4"/>
      <w:bookmarkEnd w:id="4"/>
      <w:r w:rsidDel="00000000" w:rsidR="00000000" w:rsidRPr="00000000">
        <w:rPr>
          <w:rFonts w:ascii="Calibri" w:cs="Calibri" w:eastAsia="Calibri" w:hAnsi="Calibri"/>
          <w:b w:val="1"/>
          <w:bCs w:val="1"/>
          <w:sz w:val="32"/>
          <w:szCs w:val="32"/>
          <w:rtl w:val="0"/>
        </w:rPr>
        <w:t xml:space="preserve">4. Extensión propia del Backend</w:t>
      </w:r>
    </w:p>
    <w:p w:rsidR="00000000" w:rsidDel="00000000" w:rsidP="00000000" w:rsidRDefault="00000000" w:rsidRPr="00000000" w14:paraId="00000018">
      <w:pPr>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Sobre la DoD común, todo ticket de Backend agrega:</w:t>
      </w:r>
    </w:p>
    <w:p w:rsidR="00000000" w:rsidDel="00000000" w:rsidP="00000000" w:rsidRDefault="00000000" w:rsidRPr="00000000" w14:paraId="00000019">
      <w:pPr>
        <w:numPr>
          <w:ilvl w:val="0"/>
          <w:numId w:val="1"/>
        </w:numPr>
        <w:ind w:left="720" w:hanging="360"/>
        <w:jc w:val="both"/>
        <w:rPr/>
      </w:pPr>
      <w:r w:rsidDel="00000000" w:rsidR="00000000" w:rsidRPr="00000000">
        <w:rPr>
          <w:rFonts w:ascii="Calibri" w:cs="Calibri" w:eastAsia="Calibri" w:hAnsi="Calibri"/>
          <w:sz w:val="21"/>
          <w:szCs w:val="21"/>
          <w:rtl w:val="0"/>
        </w:rPr>
        <w:t xml:space="preserve">La puerta de integración continua ejecuta </w:t>
      </w:r>
      <w:r w:rsidDel="00000000" w:rsidR="00000000" w:rsidRPr="00000000">
        <w:rPr>
          <w:rFonts w:ascii="Calibri" w:cs="Calibri" w:eastAsia="Calibri" w:hAnsi="Calibri"/>
          <w:sz w:val="19"/>
          <w:szCs w:val="19"/>
          <w:rtl w:val="0"/>
        </w:rPr>
        <w:t xml:space="preserve">ruff</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sz w:val="19"/>
          <w:szCs w:val="19"/>
          <w:rtl w:val="0"/>
        </w:rPr>
        <w:t xml:space="preserve">ruff format --check</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sz w:val="19"/>
          <w:szCs w:val="19"/>
          <w:rtl w:val="0"/>
        </w:rPr>
        <w:t xml:space="preserve">mypy</w:t>
      </w:r>
      <w:r w:rsidDel="00000000" w:rsidR="00000000" w:rsidRPr="00000000">
        <w:rPr>
          <w:rFonts w:ascii="Calibri" w:cs="Calibri" w:eastAsia="Calibri" w:hAnsi="Calibri"/>
          <w:sz w:val="21"/>
          <w:szCs w:val="21"/>
          <w:rtl w:val="0"/>
        </w:rPr>
        <w:t xml:space="preserve"> sobre </w:t>
      </w:r>
      <w:r w:rsidDel="00000000" w:rsidR="00000000" w:rsidRPr="00000000">
        <w:rPr>
          <w:rFonts w:ascii="Calibri" w:cs="Calibri" w:eastAsia="Calibri" w:hAnsi="Calibri"/>
          <w:sz w:val="19"/>
          <w:szCs w:val="19"/>
          <w:rtl w:val="0"/>
        </w:rPr>
        <w:t xml:space="preserve">packages/core</w:t>
      </w:r>
      <w:r w:rsidDel="00000000" w:rsidR="00000000" w:rsidRPr="00000000">
        <w:rPr>
          <w:rFonts w:ascii="Calibri" w:cs="Calibri" w:eastAsia="Calibri" w:hAnsi="Calibri"/>
          <w:sz w:val="21"/>
          <w:szCs w:val="21"/>
          <w:rtl w:val="0"/>
        </w:rPr>
        <w:t xml:space="preserve"> y </w:t>
      </w:r>
      <w:r w:rsidDel="00000000" w:rsidR="00000000" w:rsidRPr="00000000">
        <w:rPr>
          <w:rFonts w:ascii="Calibri" w:cs="Calibri" w:eastAsia="Calibri" w:hAnsi="Calibri"/>
          <w:sz w:val="19"/>
          <w:szCs w:val="19"/>
          <w:rtl w:val="0"/>
        </w:rPr>
        <w:t xml:space="preserve">pytest</w:t>
      </w:r>
      <w:r w:rsidDel="00000000" w:rsidR="00000000" w:rsidRPr="00000000">
        <w:rPr>
          <w:rFonts w:ascii="Calibri" w:cs="Calibri" w:eastAsia="Calibri" w:hAnsi="Calibri"/>
          <w:sz w:val="21"/>
          <w:szCs w:val="21"/>
          <w:rtl w:val="0"/>
        </w:rPr>
        <w:t xml:space="preserve"> contra un contenedor real de PostgreSQL 16 con </w:t>
      </w:r>
      <w:r w:rsidDel="00000000" w:rsidR="00000000" w:rsidRPr="00000000">
        <w:rPr>
          <w:rFonts w:ascii="Calibri" w:cs="Calibri" w:eastAsia="Calibri" w:hAnsi="Calibri"/>
          <w:sz w:val="19"/>
          <w:szCs w:val="19"/>
          <w:rtl w:val="0"/>
        </w:rPr>
        <w:t xml:space="preserve">pgvector</w:t>
      </w:r>
      <w:r w:rsidDel="00000000" w:rsidR="00000000" w:rsidRPr="00000000">
        <w:rPr>
          <w:rFonts w:ascii="Calibri" w:cs="Calibri" w:eastAsia="Calibri" w:hAnsi="Calibri"/>
          <w:sz w:val="21"/>
          <w:szCs w:val="21"/>
          <w:rtl w:val="0"/>
        </w:rPr>
        <w:t xml:space="preserve">, y bloquea el merge si algo falla.</w:t>
      </w:r>
    </w:p>
    <w:p w:rsidR="00000000" w:rsidDel="00000000" w:rsidP="00000000" w:rsidRDefault="00000000" w:rsidRPr="00000000" w14:paraId="0000001A">
      <w:pPr>
        <w:numPr>
          <w:ilvl w:val="0"/>
          <w:numId w:val="1"/>
        </w:numPr>
        <w:ind w:left="720" w:hanging="360"/>
        <w:jc w:val="both"/>
        <w:rPr/>
      </w:pPr>
      <w:r w:rsidDel="00000000" w:rsidR="00000000" w:rsidRPr="00000000">
        <w:rPr>
          <w:rFonts w:ascii="Calibri" w:cs="Calibri" w:eastAsia="Calibri" w:hAnsi="Calibri"/>
          <w:sz w:val="19"/>
          <w:szCs w:val="19"/>
          <w:rtl w:val="0"/>
        </w:rPr>
        <w:t xml:space="preserve">gitleaks</w:t>
      </w:r>
      <w:r w:rsidDel="00000000" w:rsidR="00000000" w:rsidRPr="00000000">
        <w:rPr>
          <w:rFonts w:ascii="Calibri" w:cs="Calibri" w:eastAsia="Calibri" w:hAnsi="Calibri"/>
          <w:sz w:val="21"/>
          <w:szCs w:val="21"/>
          <w:rtl w:val="0"/>
        </w:rPr>
        <w:t xml:space="preserve"> y </w:t>
      </w:r>
      <w:r w:rsidDel="00000000" w:rsidR="00000000" w:rsidRPr="00000000">
        <w:rPr>
          <w:rFonts w:ascii="Calibri" w:cs="Calibri" w:eastAsia="Calibri" w:hAnsi="Calibri"/>
          <w:sz w:val="19"/>
          <w:szCs w:val="19"/>
          <w:rtl w:val="0"/>
        </w:rPr>
        <w:t xml:space="preserve">semgrep</w:t>
      </w:r>
      <w:r w:rsidDel="00000000" w:rsidR="00000000" w:rsidRPr="00000000">
        <w:rPr>
          <w:rFonts w:ascii="Calibri" w:cs="Calibri" w:eastAsia="Calibri" w:hAnsi="Calibri"/>
          <w:sz w:val="21"/>
          <w:szCs w:val="21"/>
          <w:rtl w:val="0"/>
        </w:rPr>
        <w:t xml:space="preserve"> se ejecutan en cada Pull Request y quedan en verde, con cualquier excepción documentada y justificada.</w:t>
      </w:r>
    </w:p>
    <w:p w:rsidR="00000000" w:rsidDel="00000000" w:rsidP="00000000" w:rsidRDefault="00000000" w:rsidRPr="00000000" w14:paraId="0000001B">
      <w:pPr>
        <w:numPr>
          <w:ilvl w:val="0"/>
          <w:numId w:val="1"/>
        </w:numPr>
        <w:ind w:left="720" w:hanging="360"/>
        <w:jc w:val="both"/>
        <w:rPr>
          <w:rFonts w:ascii="Calibri" w:cs="Calibri" w:eastAsia="Calibri" w:hAnsi="Calibri"/>
        </w:rPr>
      </w:pPr>
      <w:r w:rsidDel="00000000" w:rsidR="00000000" w:rsidRPr="00000000">
        <w:rPr>
          <w:rFonts w:ascii="Calibri" w:cs="Calibri" w:eastAsia="Calibri" w:hAnsi="Calibri"/>
          <w:sz w:val="21"/>
          <w:szCs w:val="21"/>
          <w:rtl w:val="0"/>
        </w:rPr>
        <w:t xml:space="preserve">Toda diferencia respecto al contrato OpenAPI publicado se detecta automáticamente antes del merge.</w:t>
      </w:r>
    </w:p>
    <w:p w:rsidR="00000000" w:rsidDel="00000000" w:rsidP="00000000" w:rsidRDefault="00000000" w:rsidRPr="00000000" w14:paraId="0000001C">
      <w:pPr>
        <w:numPr>
          <w:ilvl w:val="0"/>
          <w:numId w:val="1"/>
        </w:numPr>
        <w:ind w:left="720" w:hanging="360"/>
        <w:jc w:val="both"/>
        <w:rPr>
          <w:rFonts w:ascii="Calibri" w:cs="Calibri" w:eastAsia="Calibri" w:hAnsi="Calibri"/>
        </w:rPr>
      </w:pPr>
      <w:r w:rsidDel="00000000" w:rsidR="00000000" w:rsidRPr="00000000">
        <w:rPr>
          <w:rFonts w:ascii="Calibri" w:cs="Calibri" w:eastAsia="Calibri" w:hAnsi="Calibri"/>
          <w:sz w:val="21"/>
          <w:szCs w:val="21"/>
          <w:rtl w:val="0"/>
        </w:rPr>
        <w:t xml:space="preserve">Un endpoint nuevo o modificado tiene su prueba de contrato: existe, responde con el código declarado y no rompe los endpoints ya publicados.</w:t>
      </w:r>
    </w:p>
    <w:p w:rsidR="00000000" w:rsidDel="00000000" w:rsidP="00000000" w:rsidRDefault="00000000" w:rsidRPr="00000000" w14:paraId="0000001D">
      <w:pPr>
        <w:numPr>
          <w:ilvl w:val="0"/>
          <w:numId w:val="1"/>
        </w:numPr>
        <w:ind w:left="720" w:hanging="360"/>
        <w:jc w:val="both"/>
        <w:rPr/>
      </w:pPr>
      <w:r w:rsidDel="00000000" w:rsidR="00000000" w:rsidRPr="00000000">
        <w:rPr>
          <w:rFonts w:ascii="Calibri" w:cs="Calibri" w:eastAsia="Calibri" w:hAnsi="Calibri"/>
          <w:sz w:val="21"/>
          <w:szCs w:val="21"/>
          <w:rtl w:val="0"/>
        </w:rPr>
        <w:t xml:space="preserve">Cuando el ticket toca una consulta que alimenta auditoría, pipeline o consumo, las filas devueltas están tipadas (no </w:t>
      </w:r>
      <w:r w:rsidDel="00000000" w:rsidR="00000000" w:rsidRPr="00000000">
        <w:rPr>
          <w:rFonts w:ascii="Calibri" w:cs="Calibri" w:eastAsia="Calibri" w:hAnsi="Calibri"/>
          <w:sz w:val="19"/>
          <w:szCs w:val="19"/>
          <w:rtl w:val="0"/>
        </w:rPr>
        <w:t xml:space="preserve">dict</w:t>
      </w:r>
      <w:r w:rsidDel="00000000" w:rsidR="00000000" w:rsidRPr="00000000">
        <w:rPr>
          <w:rFonts w:ascii="Calibri" w:cs="Calibri" w:eastAsia="Calibri" w:hAnsi="Calibri"/>
          <w:sz w:val="21"/>
          <w:szCs w:val="21"/>
          <w:rtl w:val="0"/>
        </w:rPr>
        <w:t xml:space="preserve"> suelto), de modo que un campo inexistente falla en la verificación de tipos.</w:t>
      </w:r>
    </w:p>
    <w:p w:rsidR="00000000" w:rsidDel="00000000" w:rsidP="00000000" w:rsidRDefault="00000000" w:rsidRPr="00000000" w14:paraId="0000001E">
      <w:pPr>
        <w:numPr>
          <w:ilvl w:val="0"/>
          <w:numId w:val="1"/>
        </w:numPr>
        <w:ind w:left="720" w:hanging="360"/>
        <w:jc w:val="both"/>
        <w:rPr>
          <w:rFonts w:ascii="Calibri" w:cs="Calibri" w:eastAsia="Calibri" w:hAnsi="Calibri"/>
        </w:rPr>
      </w:pPr>
      <w:r w:rsidDel="00000000" w:rsidR="00000000" w:rsidRPr="00000000">
        <w:rPr>
          <w:rFonts w:ascii="Calibri" w:cs="Calibri" w:eastAsia="Calibri" w:hAnsi="Calibri"/>
          <w:sz w:val="21"/>
          <w:szCs w:val="21"/>
          <w:rtl w:val="0"/>
        </w:rPr>
        <w:t xml:space="preserve">El umbral de cobertura se declara en la configuración del proyecto, arranca desde la línea base medida en el Sprint 1 y sube al cierre de cada sprint; nunca baja.</w:t>
      </w:r>
    </w:p>
    <w:p w:rsidR="00000000" w:rsidDel="00000000" w:rsidP="00000000" w:rsidRDefault="00000000" w:rsidRPr="00000000" w14:paraId="0000001F">
      <w:pPr>
        <w:pStyle w:val="Heading1"/>
        <w:keepNext w:val="0"/>
        <w:keepLines w:val="0"/>
        <w:spacing w:after="0" w:before="100" w:line="300" w:lineRule="auto"/>
        <w:jc w:val="both"/>
        <w:rPr>
          <w:rFonts w:ascii="Calibri" w:cs="Calibri" w:eastAsia="Calibri" w:hAnsi="Calibri"/>
          <w:sz w:val="32"/>
          <w:szCs w:val="32"/>
        </w:rPr>
      </w:pPr>
      <w:bookmarkStart w:colFirst="0" w:colLast="0" w:name="_8vg1nqfd1jwx" w:id="5"/>
      <w:bookmarkEnd w:id="5"/>
      <w:r w:rsidDel="00000000" w:rsidR="00000000" w:rsidRPr="00000000">
        <w:rPr>
          <w:rFonts w:ascii="Calibri" w:cs="Calibri" w:eastAsia="Calibri" w:hAnsi="Calibri"/>
          <w:sz w:val="32"/>
          <w:szCs w:val="32"/>
          <w:rtl w:val="0"/>
        </w:rPr>
        <w:t xml:space="preserve">5. Extensión propia del Portal</w:t>
      </w:r>
    </w:p>
    <w:p w:rsidR="00000000" w:rsidDel="00000000" w:rsidP="00000000" w:rsidRDefault="00000000" w:rsidRPr="00000000" w14:paraId="00000020">
      <w:pPr>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Sobre la DoD común, todo ticket de Portal agrega:</w:t>
      </w:r>
    </w:p>
    <w:p w:rsidR="00000000" w:rsidDel="00000000" w:rsidP="00000000" w:rsidRDefault="00000000" w:rsidRPr="00000000" w14:paraId="00000021">
      <w:pPr>
        <w:numPr>
          <w:ilvl w:val="0"/>
          <w:numId w:val="5"/>
        </w:numPr>
        <w:ind w:left="720" w:hanging="360"/>
        <w:jc w:val="both"/>
        <w:rPr/>
      </w:pPr>
      <w:r w:rsidDel="00000000" w:rsidR="00000000" w:rsidRPr="00000000">
        <w:rPr>
          <w:rFonts w:ascii="Calibri" w:cs="Calibri" w:eastAsia="Calibri" w:hAnsi="Calibri"/>
          <w:sz w:val="21"/>
          <w:szCs w:val="21"/>
          <w:rtl w:val="0"/>
        </w:rPr>
        <w:t xml:space="preserve">La puerta de integración continua ejecuta typecheck (</w:t>
      </w:r>
      <w:r w:rsidDel="00000000" w:rsidR="00000000" w:rsidRPr="00000000">
        <w:rPr>
          <w:rFonts w:ascii="Calibri" w:cs="Calibri" w:eastAsia="Calibri" w:hAnsi="Calibri"/>
          <w:sz w:val="19"/>
          <w:szCs w:val="19"/>
          <w:rtl w:val="0"/>
        </w:rPr>
        <w:t xml:space="preserve">tsc --strict</w:t>
      </w:r>
      <w:r w:rsidDel="00000000" w:rsidR="00000000" w:rsidRPr="00000000">
        <w:rPr>
          <w:rFonts w:ascii="Calibri" w:cs="Calibri" w:eastAsia="Calibri" w:hAnsi="Calibri"/>
          <w:sz w:val="21"/>
          <w:szCs w:val="21"/>
          <w:rtl w:val="0"/>
        </w:rPr>
        <w:t xml:space="preserve">), lint (con </w:t>
      </w:r>
      <w:r w:rsidDel="00000000" w:rsidR="00000000" w:rsidRPr="00000000">
        <w:rPr>
          <w:rFonts w:ascii="Calibri" w:cs="Calibri" w:eastAsia="Calibri" w:hAnsi="Calibri"/>
          <w:sz w:val="19"/>
          <w:szCs w:val="19"/>
          <w:rtl w:val="0"/>
        </w:rPr>
        <w:t xml:space="preserve">react-hooks</w:t>
      </w:r>
      <w:r w:rsidDel="00000000" w:rsidR="00000000" w:rsidRPr="00000000">
        <w:rPr>
          <w:rFonts w:ascii="Calibri" w:cs="Calibri" w:eastAsia="Calibri" w:hAnsi="Calibri"/>
          <w:sz w:val="21"/>
          <w:szCs w:val="21"/>
          <w:rtl w:val="0"/>
        </w:rPr>
        <w:t xml:space="preserve"> y </w:t>
      </w:r>
      <w:r w:rsidDel="00000000" w:rsidR="00000000" w:rsidRPr="00000000">
        <w:rPr>
          <w:rFonts w:ascii="Calibri" w:cs="Calibri" w:eastAsia="Calibri" w:hAnsi="Calibri"/>
          <w:sz w:val="19"/>
          <w:szCs w:val="19"/>
          <w:rtl w:val="0"/>
        </w:rPr>
        <w:t xml:space="preserve">jsx-a11y</w:t>
      </w:r>
      <w:r w:rsidDel="00000000" w:rsidR="00000000" w:rsidRPr="00000000">
        <w:rPr>
          <w:rFonts w:ascii="Calibri" w:cs="Calibri" w:eastAsia="Calibri" w:hAnsi="Calibri"/>
          <w:sz w:val="21"/>
          <w:szCs w:val="21"/>
          <w:rtl w:val="0"/>
        </w:rPr>
        <w:t xml:space="preserve"> en modo error), pruebas de componente con Testing Library y build, y bloquea el merge si algo falla.</w:t>
      </w:r>
    </w:p>
    <w:p w:rsidR="00000000" w:rsidDel="00000000" w:rsidP="00000000" w:rsidRDefault="00000000" w:rsidRPr="00000000" w14:paraId="00000022">
      <w:pPr>
        <w:numPr>
          <w:ilvl w:val="0"/>
          <w:numId w:val="5"/>
        </w:numPr>
        <w:ind w:left="720" w:hanging="360"/>
        <w:jc w:val="both"/>
        <w:rPr/>
      </w:pPr>
      <w:r w:rsidDel="00000000" w:rsidR="00000000" w:rsidRPr="00000000">
        <w:rPr>
          <w:rFonts w:ascii="Calibri" w:cs="Calibri" w:eastAsia="Calibri" w:hAnsi="Calibri"/>
          <w:sz w:val="21"/>
          <w:szCs w:val="21"/>
          <w:rtl w:val="0"/>
        </w:rPr>
        <w:t xml:space="preserve">Toda pantalla o componente nuevo que se comunique con la API tiene su doble de prueba con </w:t>
      </w:r>
      <w:r w:rsidDel="00000000" w:rsidR="00000000" w:rsidRPr="00000000">
        <w:rPr>
          <w:rFonts w:ascii="Calibri" w:cs="Calibri" w:eastAsia="Calibri" w:hAnsi="Calibri"/>
          <w:sz w:val="19"/>
          <w:szCs w:val="19"/>
          <w:rtl w:val="0"/>
        </w:rPr>
        <w:t xml:space="preserve">msw</w:t>
      </w:r>
      <w:r w:rsidDel="00000000" w:rsidR="00000000" w:rsidRPr="00000000">
        <w:rPr>
          <w:rFonts w:ascii="Calibri" w:cs="Calibri" w:eastAsia="Calibri" w:hAnsi="Calibri"/>
          <w:sz w:val="21"/>
          <w:szCs w:val="21"/>
          <w:rtl w:val="0"/>
        </w:rPr>
        <w:t xml:space="preserve">; ninguna prueba de componente depende de la red real.</w:t>
      </w:r>
    </w:p>
    <w:p w:rsidR="00000000" w:rsidDel="00000000" w:rsidP="00000000" w:rsidRDefault="00000000" w:rsidRPr="00000000" w14:paraId="00000023">
      <w:pPr>
        <w:numPr>
          <w:ilvl w:val="0"/>
          <w:numId w:val="5"/>
        </w:numPr>
        <w:ind w:left="720" w:hanging="360"/>
        <w:jc w:val="both"/>
        <w:rPr/>
      </w:pPr>
      <w:r w:rsidDel="00000000" w:rsidR="00000000" w:rsidRPr="00000000">
        <w:rPr>
          <w:rFonts w:ascii="Calibri" w:cs="Calibri" w:eastAsia="Calibri" w:hAnsi="Calibri"/>
          <w:sz w:val="21"/>
          <w:szCs w:val="21"/>
          <w:rtl w:val="0"/>
        </w:rPr>
        <w:t xml:space="preserve">Todo control interactivo tiene una etiqueta asociada, es operable por teclado y su contraste cumple WCAG 2.1 AA; la auditoría automática con </w:t>
      </w:r>
      <w:r w:rsidDel="00000000" w:rsidR="00000000" w:rsidRPr="00000000">
        <w:rPr>
          <w:rFonts w:ascii="Calibri" w:cs="Calibri" w:eastAsia="Calibri" w:hAnsi="Calibri"/>
          <w:sz w:val="19"/>
          <w:szCs w:val="19"/>
          <w:rtl w:val="0"/>
        </w:rPr>
        <w:t xml:space="preserve">axe</w:t>
      </w:r>
      <w:r w:rsidDel="00000000" w:rsidR="00000000" w:rsidRPr="00000000">
        <w:rPr>
          <w:rFonts w:ascii="Calibri" w:cs="Calibri" w:eastAsia="Calibri" w:hAnsi="Calibri"/>
          <w:sz w:val="21"/>
          <w:szCs w:val="21"/>
          <w:rtl w:val="0"/>
        </w:rPr>
        <w:t xml:space="preserve"> pasa sin violaciones críticas.</w:t>
      </w:r>
    </w:p>
    <w:p w:rsidR="00000000" w:rsidDel="00000000" w:rsidP="00000000" w:rsidRDefault="00000000" w:rsidRPr="00000000" w14:paraId="00000024">
      <w:pPr>
        <w:numPr>
          <w:ilvl w:val="0"/>
          <w:numId w:val="5"/>
        </w:numPr>
        <w:ind w:left="720" w:hanging="360"/>
        <w:jc w:val="both"/>
        <w:rPr>
          <w:rFonts w:ascii="Calibri" w:cs="Calibri" w:eastAsia="Calibri" w:hAnsi="Calibri"/>
        </w:rPr>
      </w:pPr>
      <w:r w:rsidDel="00000000" w:rsidR="00000000" w:rsidRPr="00000000">
        <w:rPr>
          <w:rFonts w:ascii="Calibri" w:cs="Calibri" w:eastAsia="Calibri" w:hAnsi="Calibri"/>
          <w:sz w:val="21"/>
          <w:szCs w:val="21"/>
          <w:rtl w:val="0"/>
        </w:rPr>
        <w:t xml:space="preserve">El componente o pantalla se ve y funciona correctamente desde 375 px de ancho, sin scroll horizontal fuera de los contenedores previstos para tablas o código.</w:t>
      </w:r>
    </w:p>
    <w:p w:rsidR="00000000" w:rsidDel="00000000" w:rsidP="00000000" w:rsidRDefault="00000000" w:rsidRPr="00000000" w14:paraId="00000025">
      <w:pPr>
        <w:numPr>
          <w:ilvl w:val="0"/>
          <w:numId w:val="5"/>
        </w:numPr>
        <w:ind w:left="720" w:hanging="360"/>
        <w:jc w:val="both"/>
        <w:rPr>
          <w:rFonts w:ascii="Calibri" w:cs="Calibri" w:eastAsia="Calibri" w:hAnsi="Calibri"/>
        </w:rPr>
      </w:pPr>
      <w:r w:rsidDel="00000000" w:rsidR="00000000" w:rsidRPr="00000000">
        <w:rPr>
          <w:rFonts w:ascii="Calibri" w:cs="Calibri" w:eastAsia="Calibri" w:hAnsi="Calibri"/>
          <w:sz w:val="21"/>
          <w:szCs w:val="21"/>
          <w:rtl w:val="0"/>
        </w:rPr>
        <w:t xml:space="preserve">Ningún texto queda incrustado en el componente: toda cadena visible sale del sistema de internacionalización, con sus tres locales (español, inglés y portugués) cubiertos.</w:t>
      </w:r>
    </w:p>
    <w:p w:rsidR="00000000" w:rsidDel="00000000" w:rsidP="00000000" w:rsidRDefault="00000000" w:rsidRPr="00000000" w14:paraId="00000026">
      <w:pPr>
        <w:numPr>
          <w:ilvl w:val="0"/>
          <w:numId w:val="5"/>
        </w:numPr>
        <w:ind w:left="720" w:hanging="360"/>
        <w:jc w:val="both"/>
        <w:rPr/>
      </w:pPr>
      <w:r w:rsidDel="00000000" w:rsidR="00000000" w:rsidRPr="00000000">
        <w:rPr>
          <w:rFonts w:ascii="Calibri" w:cs="Calibri" w:eastAsia="Calibri" w:hAnsi="Calibri"/>
          <w:sz w:val="21"/>
          <w:szCs w:val="21"/>
          <w:rtl w:val="0"/>
        </w:rPr>
        <w:t xml:space="preserve">Cada elemento interactivo relevante lleva su atributo </w:t>
      </w:r>
      <w:r w:rsidDel="00000000" w:rsidR="00000000" w:rsidRPr="00000000">
        <w:rPr>
          <w:rFonts w:ascii="Calibri" w:cs="Calibri" w:eastAsia="Calibri" w:hAnsi="Calibri"/>
          <w:sz w:val="19"/>
          <w:szCs w:val="19"/>
          <w:rtl w:val="0"/>
        </w:rPr>
        <w:t xml:space="preserve">data-testid</w:t>
      </w:r>
      <w:r w:rsidDel="00000000" w:rsidR="00000000" w:rsidRPr="00000000">
        <w:rPr>
          <w:rFonts w:ascii="Calibri" w:cs="Calibri" w:eastAsia="Calibri" w:hAnsi="Calibri"/>
          <w:sz w:val="21"/>
          <w:szCs w:val="21"/>
          <w:rtl w:val="0"/>
        </w:rPr>
        <w:t xml:space="preserve"> según la convención acordada con Testing; cambiar uno ya publicado se anuncia con un sprint de convivencia.</w:t>
      </w:r>
    </w:p>
    <w:p w:rsidR="00000000" w:rsidDel="00000000" w:rsidP="00000000" w:rsidRDefault="00000000" w:rsidRPr="00000000" w14:paraId="00000027">
      <w:pPr>
        <w:numPr>
          <w:ilvl w:val="0"/>
          <w:numId w:val="5"/>
        </w:numPr>
        <w:ind w:left="720" w:hanging="360"/>
        <w:jc w:val="both"/>
        <w:rPr/>
      </w:pPr>
      <w:r w:rsidDel="00000000" w:rsidR="00000000" w:rsidRPr="00000000">
        <w:rPr>
          <w:rFonts w:ascii="Calibri" w:cs="Calibri" w:eastAsia="Calibri" w:hAnsi="Calibri"/>
          <w:sz w:val="21"/>
          <w:szCs w:val="21"/>
          <w:rtl w:val="0"/>
        </w:rPr>
        <w:t xml:space="preserve">Ningún dato de sesión sensible queda en </w:t>
      </w:r>
      <w:r w:rsidDel="00000000" w:rsidR="00000000" w:rsidRPr="00000000">
        <w:rPr>
          <w:rFonts w:ascii="Calibri" w:cs="Calibri" w:eastAsia="Calibri" w:hAnsi="Calibri"/>
          <w:sz w:val="19"/>
          <w:szCs w:val="19"/>
          <w:rtl w:val="0"/>
        </w:rPr>
        <w:t xml:space="preserve">localStorage</w:t>
      </w:r>
      <w:r w:rsidDel="00000000" w:rsidR="00000000" w:rsidRPr="00000000">
        <w:rPr>
          <w:rFonts w:ascii="Calibri" w:cs="Calibri" w:eastAsia="Calibri" w:hAnsi="Calibri"/>
          <w:sz w:val="21"/>
          <w:szCs w:val="21"/>
          <w:rtl w:val="0"/>
        </w:rPr>
        <w:t xml:space="preserve"> ni en </w:t>
      </w:r>
      <w:r w:rsidDel="00000000" w:rsidR="00000000" w:rsidRPr="00000000">
        <w:rPr>
          <w:rFonts w:ascii="Calibri" w:cs="Calibri" w:eastAsia="Calibri" w:hAnsi="Calibri"/>
          <w:sz w:val="19"/>
          <w:szCs w:val="19"/>
          <w:rtl w:val="0"/>
        </w:rPr>
        <w:t xml:space="preserve">sessionStorage</w:t>
      </w:r>
      <w:r w:rsidDel="00000000" w:rsidR="00000000" w:rsidRPr="00000000">
        <w:rPr>
          <w:rFonts w:ascii="Calibri" w:cs="Calibri" w:eastAsia="Calibri" w:hAnsi="Calibri"/>
          <w:sz w:val="21"/>
          <w:szCs w:val="21"/>
          <w:rtl w:val="0"/>
        </w:rPr>
        <w:t xml:space="preserve"> accesible por script.</w:t>
      </w:r>
    </w:p>
    <w:p w:rsidR="00000000" w:rsidDel="00000000" w:rsidP="00000000" w:rsidRDefault="00000000" w:rsidRPr="00000000" w14:paraId="00000028">
      <w:pPr>
        <w:pStyle w:val="Heading1"/>
        <w:keepNext w:val="0"/>
        <w:keepLines w:val="0"/>
        <w:spacing w:after="0" w:before="100" w:line="300" w:lineRule="auto"/>
        <w:jc w:val="both"/>
        <w:rPr>
          <w:rFonts w:ascii="Calibri" w:cs="Calibri" w:eastAsia="Calibri" w:hAnsi="Calibri"/>
          <w:sz w:val="32"/>
          <w:szCs w:val="32"/>
        </w:rPr>
      </w:pPr>
      <w:bookmarkStart w:colFirst="0" w:colLast="0" w:name="_3hfjemezjqc" w:id="6"/>
      <w:bookmarkEnd w:id="6"/>
      <w:r w:rsidDel="00000000" w:rsidR="00000000" w:rsidRPr="00000000">
        <w:rPr>
          <w:rtl w:val="0"/>
        </w:rPr>
      </w:r>
    </w:p>
    <w:p w:rsidR="00000000" w:rsidDel="00000000" w:rsidP="00000000" w:rsidRDefault="00000000" w:rsidRPr="00000000" w14:paraId="00000029">
      <w:pPr>
        <w:pStyle w:val="Heading1"/>
        <w:keepNext w:val="0"/>
        <w:keepLines w:val="0"/>
        <w:spacing w:after="0" w:before="100" w:line="300" w:lineRule="auto"/>
        <w:jc w:val="both"/>
        <w:rPr>
          <w:rFonts w:ascii="Calibri" w:cs="Calibri" w:eastAsia="Calibri" w:hAnsi="Calibri"/>
          <w:b w:val="1"/>
          <w:bCs w:val="1"/>
          <w:sz w:val="32"/>
          <w:szCs w:val="32"/>
        </w:rPr>
      </w:pPr>
      <w:bookmarkStart w:colFirst="0" w:colLast="0" w:name="_nen8eri2u9jk" w:id="7"/>
      <w:bookmarkEnd w:id="7"/>
      <w:r w:rsidDel="00000000" w:rsidR="00000000" w:rsidRPr="00000000">
        <w:rPr>
          <w:rFonts w:ascii="Calibri" w:cs="Calibri" w:eastAsia="Calibri" w:hAnsi="Calibri"/>
          <w:b w:val="1"/>
          <w:bCs w:val="1"/>
          <w:sz w:val="32"/>
          <w:szCs w:val="32"/>
          <w:rtl w:val="0"/>
        </w:rPr>
        <w:t xml:space="preserve">6. Condición reforzada en hitos del programa</w:t>
      </w:r>
    </w:p>
    <w:p w:rsidR="00000000" w:rsidDel="00000000" w:rsidP="00000000" w:rsidRDefault="00000000" w:rsidRPr="00000000" w14:paraId="0000002A">
      <w:pPr>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Dos hitos exigen, además de la DoD de cada ticket, una demostración conjunta:</w:t>
      </w:r>
    </w:p>
    <w:tbl>
      <w:tblPr>
        <w:tblStyle w:val="Table1"/>
        <w:tblW w:w="7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810"/>
        <w:gridCol w:w="5190"/>
        <w:tblGridChange w:id="0">
          <w:tblGrid>
            <w:gridCol w:w="1890"/>
            <w:gridCol w:w="810"/>
            <w:gridCol w:w="5190"/>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2B">
            <w:pPr>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Hito</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2C">
            <w:pPr>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Sprint</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2D">
            <w:pPr>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Qué se suma a la DoD de cada ticket</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2E">
            <w:pPr>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M5 — Producto completo y observable</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2F">
            <w:pPr>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S10</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30">
            <w:pPr>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El portal se demuestra accesible y responsive en tres anchos, con </w:t>
            </w:r>
            <w:r w:rsidDel="00000000" w:rsidR="00000000" w:rsidRPr="00000000">
              <w:rPr>
                <w:rFonts w:ascii="Calibri" w:cs="Calibri" w:eastAsia="Calibri" w:hAnsi="Calibri"/>
                <w:sz w:val="19"/>
                <w:szCs w:val="19"/>
                <w:rtl w:val="0"/>
              </w:rPr>
              <w:t xml:space="preserve">axe</w:t>
            </w:r>
            <w:r w:rsidDel="00000000" w:rsidR="00000000" w:rsidRPr="00000000">
              <w:rPr>
                <w:rFonts w:ascii="Calibri" w:cs="Calibri" w:eastAsia="Calibri" w:hAnsi="Calibri"/>
                <w:sz w:val="21"/>
                <w:szCs w:val="21"/>
                <w:rtl w:val="0"/>
              </w:rPr>
              <w:t xml:space="preserve"> sin violaciones críticas; las doce vistas están en los tres idiomas sin cadenas en español fuera de lugar</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31">
            <w:pPr>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M6 — Release GA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32">
            <w:pPr>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S12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33">
            <w:pPr>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UAT aceptado por los seis roles; documentación de usuario publicada en tres idiomas; auditoría final de accesibilidad y responsive superada; humo de release en verde</w:t>
            </w:r>
          </w:p>
        </w:tc>
      </w:tr>
    </w:tbl>
    <w:p w:rsidR="00000000" w:rsidDel="00000000" w:rsidP="00000000" w:rsidRDefault="00000000" w:rsidRPr="00000000" w14:paraId="00000034">
      <w:pPr>
        <w:pStyle w:val="Heading1"/>
        <w:keepNext w:val="0"/>
        <w:keepLines w:val="0"/>
        <w:spacing w:after="0" w:before="100" w:line="300" w:lineRule="auto"/>
        <w:jc w:val="both"/>
        <w:rPr>
          <w:rFonts w:ascii="Calibri" w:cs="Calibri" w:eastAsia="Calibri" w:hAnsi="Calibri"/>
          <w:b w:val="1"/>
          <w:bCs w:val="1"/>
          <w:sz w:val="32"/>
          <w:szCs w:val="32"/>
        </w:rPr>
      </w:pPr>
      <w:bookmarkStart w:colFirst="0" w:colLast="0" w:name="_ojw9eqjcng01" w:id="8"/>
      <w:bookmarkEnd w:id="8"/>
      <w:r w:rsidDel="00000000" w:rsidR="00000000" w:rsidRPr="00000000">
        <w:rPr>
          <w:rFonts w:ascii="Calibri" w:cs="Calibri" w:eastAsia="Calibri" w:hAnsi="Calibri"/>
          <w:b w:val="1"/>
          <w:bCs w:val="1"/>
          <w:sz w:val="32"/>
          <w:szCs w:val="32"/>
          <w:rtl w:val="0"/>
        </w:rPr>
        <w:t xml:space="preserve">7. Qué no basta para llamar "terminado" a un ticket</w:t>
      </w:r>
    </w:p>
    <w:p w:rsidR="00000000" w:rsidDel="00000000" w:rsidP="00000000" w:rsidRDefault="00000000" w:rsidRPr="00000000" w14:paraId="00000035">
      <w:pPr>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Estas situaciones, aunque frecuentes, no cumplen la DoD por sí solas:</w:t>
      </w:r>
    </w:p>
    <w:p w:rsidR="00000000" w:rsidDel="00000000" w:rsidP="00000000" w:rsidRDefault="00000000" w:rsidRPr="00000000" w14:paraId="00000036">
      <w:pPr>
        <w:numPr>
          <w:ilvl w:val="0"/>
          <w:numId w:val="3"/>
        </w:numPr>
        <w:ind w:left="720" w:hanging="360"/>
        <w:jc w:val="both"/>
        <w:rPr>
          <w:rFonts w:ascii="Calibri" w:cs="Calibri" w:eastAsia="Calibri" w:hAnsi="Calibri"/>
        </w:rPr>
      </w:pPr>
      <w:r w:rsidDel="00000000" w:rsidR="00000000" w:rsidRPr="00000000">
        <w:rPr>
          <w:rFonts w:ascii="Calibri" w:cs="Calibri" w:eastAsia="Calibri" w:hAnsi="Calibri"/>
          <w:sz w:val="21"/>
          <w:szCs w:val="21"/>
          <w:rtl w:val="0"/>
        </w:rPr>
        <w:t xml:space="preserve">El código se compila y pasa al computador de quien lo escribió, pero no se demostró en el entorno de demostración.</w:t>
      </w:r>
    </w:p>
    <w:p w:rsidR="00000000" w:rsidDel="00000000" w:rsidP="00000000" w:rsidRDefault="00000000" w:rsidRPr="00000000" w14:paraId="00000037">
      <w:pPr>
        <w:numPr>
          <w:ilvl w:val="0"/>
          <w:numId w:val="3"/>
        </w:numPr>
        <w:ind w:left="720" w:hanging="360"/>
        <w:jc w:val="both"/>
        <w:rPr>
          <w:rFonts w:ascii="Calibri" w:cs="Calibri" w:eastAsia="Calibri" w:hAnsi="Calibri"/>
        </w:rPr>
      </w:pPr>
      <w:r w:rsidDel="00000000" w:rsidR="00000000" w:rsidRPr="00000000">
        <w:rPr>
          <w:rFonts w:ascii="Calibri" w:cs="Calibri" w:eastAsia="Calibri" w:hAnsi="Calibri"/>
          <w:sz w:val="21"/>
          <w:szCs w:val="21"/>
          <w:rtl w:val="0"/>
        </w:rPr>
        <w:t xml:space="preserve">Las pruebas pasan, pero la cobertura del módulo bajó respecto a su línea base.</w:t>
      </w:r>
    </w:p>
    <w:p w:rsidR="00000000" w:rsidDel="00000000" w:rsidP="00000000" w:rsidRDefault="00000000" w:rsidRPr="00000000" w14:paraId="00000038">
      <w:pPr>
        <w:numPr>
          <w:ilvl w:val="0"/>
          <w:numId w:val="3"/>
        </w:numPr>
        <w:ind w:left="720" w:hanging="360"/>
        <w:jc w:val="both"/>
        <w:rPr>
          <w:rFonts w:ascii="Calibri" w:cs="Calibri" w:eastAsia="Calibri" w:hAnsi="Calibri"/>
        </w:rPr>
      </w:pPr>
      <w:r w:rsidDel="00000000" w:rsidR="00000000" w:rsidRPr="00000000">
        <w:rPr>
          <w:rFonts w:ascii="Calibri" w:cs="Calibri" w:eastAsia="Calibri" w:hAnsi="Calibri"/>
          <w:sz w:val="21"/>
          <w:szCs w:val="21"/>
          <w:rtl w:val="0"/>
        </w:rPr>
        <w:t xml:space="preserve">La funcionalidad existe, pero la consulta nueva no tiene una prueba de no-fuga entre tenants.</w:t>
      </w:r>
    </w:p>
    <w:p w:rsidR="00000000" w:rsidDel="00000000" w:rsidP="00000000" w:rsidRDefault="00000000" w:rsidRPr="00000000" w14:paraId="00000039">
      <w:pPr>
        <w:numPr>
          <w:ilvl w:val="0"/>
          <w:numId w:val="3"/>
        </w:numPr>
        <w:ind w:left="720" w:hanging="360"/>
        <w:jc w:val="both"/>
        <w:rPr/>
      </w:pPr>
      <w:r w:rsidDel="00000000" w:rsidR="00000000" w:rsidRPr="00000000">
        <w:rPr>
          <w:rFonts w:ascii="Calibri" w:cs="Calibri" w:eastAsia="Calibri" w:hAnsi="Calibri"/>
          <w:sz w:val="21"/>
          <w:szCs w:val="21"/>
          <w:rtl w:val="0"/>
        </w:rPr>
        <w:t xml:space="preserve">La pantalla se ve bien en escritorio, pero no se probó a 375 px ni con </w:t>
      </w:r>
      <w:r w:rsidDel="00000000" w:rsidR="00000000" w:rsidRPr="00000000">
        <w:rPr>
          <w:rFonts w:ascii="Calibri" w:cs="Calibri" w:eastAsia="Calibri" w:hAnsi="Calibri"/>
          <w:sz w:val="19"/>
          <w:szCs w:val="19"/>
          <w:rtl w:val="0"/>
        </w:rPr>
        <w:t xml:space="preserve">axe</w:t>
      </w:r>
      <w:r w:rsidDel="00000000" w:rsidR="00000000" w:rsidRPr="00000000">
        <w:rPr>
          <w:rFonts w:ascii="Calibri" w:cs="Calibri" w:eastAsia="Calibri" w:hAnsi="Calibri"/>
          <w:sz w:val="21"/>
          <w:szCs w:val="21"/>
          <w:rtl w:val="0"/>
        </w:rPr>
        <w:t xml:space="preserve">.</w:t>
      </w:r>
    </w:p>
    <w:p w:rsidR="00000000" w:rsidDel="00000000" w:rsidP="00000000" w:rsidRDefault="00000000" w:rsidRPr="00000000" w14:paraId="0000003A">
      <w:pPr>
        <w:numPr>
          <w:ilvl w:val="0"/>
          <w:numId w:val="3"/>
        </w:numPr>
        <w:ind w:left="720" w:hanging="360"/>
        <w:jc w:val="both"/>
        <w:rPr>
          <w:rFonts w:ascii="Calibri" w:cs="Calibri" w:eastAsia="Calibri" w:hAnsi="Calibri"/>
        </w:rPr>
      </w:pPr>
      <w:r w:rsidDel="00000000" w:rsidR="00000000" w:rsidRPr="00000000">
        <w:rPr>
          <w:rFonts w:ascii="Calibri" w:cs="Calibri" w:eastAsia="Calibri" w:hAnsi="Calibri"/>
          <w:sz w:val="21"/>
          <w:szCs w:val="21"/>
          <w:rtl w:val="0"/>
        </w:rPr>
        <w:t xml:space="preserve">El Pull Request está aprobado, pero el cambio toca RLS o auditoría y no pasó por el Tech Lead.</w:t>
      </w:r>
    </w:p>
    <w:p w:rsidR="00000000" w:rsidDel="00000000" w:rsidP="00000000" w:rsidRDefault="00000000" w:rsidRPr="00000000" w14:paraId="0000003B">
      <w:pPr>
        <w:pStyle w:val="Heading1"/>
        <w:keepNext w:val="0"/>
        <w:keepLines w:val="0"/>
        <w:spacing w:after="0" w:before="100" w:line="300" w:lineRule="auto"/>
        <w:jc w:val="both"/>
        <w:rPr>
          <w:rFonts w:ascii="Calibri" w:cs="Calibri" w:eastAsia="Calibri" w:hAnsi="Calibri"/>
          <w:b w:val="1"/>
          <w:bCs w:val="1"/>
          <w:sz w:val="32"/>
          <w:szCs w:val="32"/>
        </w:rPr>
      </w:pPr>
      <w:bookmarkStart w:colFirst="0" w:colLast="0" w:name="_r96b1q60vm4q" w:id="9"/>
      <w:bookmarkEnd w:id="9"/>
      <w:r w:rsidDel="00000000" w:rsidR="00000000" w:rsidRPr="00000000">
        <w:rPr>
          <w:rFonts w:ascii="Calibri" w:cs="Calibri" w:eastAsia="Calibri" w:hAnsi="Calibri"/>
          <w:b w:val="1"/>
          <w:bCs w:val="1"/>
          <w:sz w:val="32"/>
          <w:szCs w:val="32"/>
          <w:rtl w:val="0"/>
        </w:rPr>
        <w:t xml:space="preserve">8. Pendientes por confirmar</w:t>
      </w:r>
    </w:p>
    <w:p w:rsidR="00000000" w:rsidDel="00000000" w:rsidP="00000000" w:rsidRDefault="00000000" w:rsidRPr="00000000" w14:paraId="0000003C">
      <w:pPr>
        <w:numPr>
          <w:ilvl w:val="0"/>
          <w:numId w:val="4"/>
        </w:numPr>
        <w:ind w:left="720" w:hanging="360"/>
        <w:jc w:val="both"/>
        <w:rPr>
          <w:rFonts w:ascii="Calibri" w:cs="Calibri" w:eastAsia="Calibri" w:hAnsi="Calibri"/>
        </w:rPr>
      </w:pPr>
      <w:r w:rsidDel="00000000" w:rsidR="00000000" w:rsidRPr="00000000">
        <w:rPr>
          <w:rFonts w:ascii="Calibri" w:cs="Calibri" w:eastAsia="Calibri" w:hAnsi="Calibri"/>
          <w:sz w:val="21"/>
          <w:szCs w:val="21"/>
          <w:rtl w:val="0"/>
        </w:rPr>
        <w:t xml:space="preserve">Herramienta y frecuencia exacta con que se mide y publica la línea base de cobertura de cada módulo.</w:t>
      </w:r>
    </w:p>
    <w:p w:rsidR="00000000" w:rsidDel="00000000" w:rsidP="00000000" w:rsidRDefault="00000000" w:rsidRPr="00000000" w14:paraId="0000003D">
      <w:pPr>
        <w:numPr>
          <w:ilvl w:val="0"/>
          <w:numId w:val="4"/>
        </w:numPr>
        <w:ind w:left="720" w:hanging="360"/>
        <w:jc w:val="both"/>
        <w:rPr>
          <w:rFonts w:ascii="Calibri" w:cs="Calibri" w:eastAsia="Calibri" w:hAnsi="Calibri"/>
        </w:rPr>
      </w:pPr>
      <w:r w:rsidDel="00000000" w:rsidR="00000000" w:rsidRPr="00000000">
        <w:rPr>
          <w:rFonts w:ascii="Calibri" w:cs="Calibri" w:eastAsia="Calibri" w:hAnsi="Calibri"/>
          <w:sz w:val="21"/>
          <w:szCs w:val="21"/>
          <w:rtl w:val="0"/>
        </w:rPr>
        <w:t xml:space="preserve">Quién, dentro del equipo real de cuatro personas, cumple el rol de Tech Lead de cada subproyecto a efectos de esta DoD.</w:t>
      </w:r>
    </w:p>
    <w:p w:rsidR="00000000" w:rsidDel="00000000" w:rsidP="00000000" w:rsidRDefault="00000000" w:rsidRPr="00000000" w14:paraId="0000003E">
      <w:pPr>
        <w:numPr>
          <w:ilvl w:val="0"/>
          <w:numId w:val="4"/>
        </w:numPr>
        <w:ind w:left="720" w:hanging="360"/>
        <w:jc w:val="both"/>
        <w:rPr>
          <w:rFonts w:ascii="Calibri" w:cs="Calibri" w:eastAsia="Calibri" w:hAnsi="Calibri"/>
        </w:rPr>
      </w:pPr>
      <w:r w:rsidDel="00000000" w:rsidR="00000000" w:rsidRPr="00000000">
        <w:rPr>
          <w:rFonts w:ascii="Calibri" w:cs="Calibri" w:eastAsia="Calibri" w:hAnsi="Calibri"/>
          <w:sz w:val="21"/>
          <w:szCs w:val="21"/>
          <w:rtl w:val="0"/>
        </w:rPr>
        <w:t xml:space="preserve">Fecha en que Testing publica el CI/CD compartido de la plataforma, del que hoy Backend y Portal dependen con un workflow propio mientras tanto.</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