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rPr>
      </w:pPr>
      <w:bookmarkStart w:colFirst="0" w:colLast="0" w:name="_ewvq7qaoccl9" w:id="0"/>
      <w:bookmarkEnd w:id="0"/>
      <w:r w:rsidDel="00000000" w:rsidR="00000000" w:rsidRPr="00000000">
        <w:rPr>
          <w:rFonts w:ascii="Calibri" w:cs="Calibri" w:eastAsia="Calibri" w:hAnsi="Calibri"/>
          <w:b w:val="1"/>
          <w:bCs w:val="1"/>
          <w:rtl w:val="0"/>
        </w:rPr>
        <w:t xml:space="preserve">KalliCode</w:t>
      </w:r>
    </w:p>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Arquitectura</w:t>
      </w:r>
    </w:p>
    <w:p w:rsidR="00000000" w:rsidDel="00000000" w:rsidP="00000000" w:rsidRDefault="00000000" w:rsidRPr="00000000" w14:paraId="00000003">
      <w:pPr>
        <w:pStyle w:val="Heading1"/>
        <w:jc w:val="both"/>
        <w:rPr>
          <w:rFonts w:ascii="Calibri" w:cs="Calibri" w:eastAsia="Calibri" w:hAnsi="Calibri"/>
          <w:b w:val="1"/>
          <w:bCs w:val="1"/>
          <w:sz w:val="32"/>
          <w:szCs w:val="32"/>
        </w:rPr>
      </w:pPr>
      <w:bookmarkStart w:colFirst="0" w:colLast="0" w:name="_dda6lu5hxnw8" w:id="1"/>
      <w:bookmarkEnd w:id="1"/>
      <w:r w:rsidDel="00000000" w:rsidR="00000000" w:rsidRPr="00000000">
        <w:rPr>
          <w:rFonts w:ascii="Calibri" w:cs="Calibri" w:eastAsia="Calibri" w:hAnsi="Calibri"/>
          <w:b w:val="1"/>
          <w:bCs w:val="1"/>
          <w:sz w:val="32"/>
          <w:szCs w:val="32"/>
          <w:rtl w:val="0"/>
        </w:rPr>
        <w:t xml:space="preserve">1. Visión general del sistema</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KalliCode es una plataforma SaaS multi-tenant que automatiza la producción de software mediante un pipeline orquestado por IA: recibe tickets del cliente, diseña alternativas, ejecuta cambios de código con tres tiers de modelos de lenguaje, aplica controles de calidad y seguridad, exige aprobaciones humanas (gates) y mantiene una auditoría inmutable de toda la operación.</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El motor se reparte entre cinco subproyectos independientes, cada uno dueño de sus épicas de extremo a extremo y de los contratos que publica hacia los demás:</w:t>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Flujo de comunicación entre los cinco subproyectos:</w:t>
      </w:r>
    </w:p>
    <w:p w:rsidR="00000000" w:rsidDel="00000000" w:rsidP="00000000" w:rsidRDefault="00000000" w:rsidRPr="00000000" w14:paraId="00000008">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Cliente (no técnico) usa el Portal.</w:t>
      </w:r>
    </w:p>
    <w:p w:rsidR="00000000" w:rsidDel="00000000" w:rsidP="00000000" w:rsidRDefault="00000000" w:rsidRPr="00000000" w14:paraId="00000009">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Portal llama a la API /api/v1 (OpenAPI v1) del Backend.</w:t>
      </w:r>
    </w:p>
    <w:p w:rsidR="00000000" w:rsidDel="00000000" w:rsidP="00000000" w:rsidRDefault="00000000" w:rsidRPr="00000000" w14:paraId="0000000A">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Backend consulta PostgreSQL 16 + pgvector (propiedad de Database, Equipo 2) vía sesiones con RLS.</w:t>
      </w:r>
    </w:p>
    <w:p w:rsidR="00000000" w:rsidDel="00000000" w:rsidP="00000000" w:rsidRDefault="00000000" w:rsidRPr="00000000" w14:paraId="0000000B">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Backend consulta el grafo de conocimiento del código de CodeMapping (Equipo 1, esquema cm).</w:t>
      </w:r>
    </w:p>
    <w:p w:rsidR="00000000" w:rsidDel="00000000" w:rsidP="00000000" w:rsidRDefault="00000000" w:rsidRPr="00000000" w14:paraId="0000000C">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Backend llama a los proveedores de LLM (OpenAI / Anthropic) con escalado por tiers (flash / pro / fable).</w:t>
      </w:r>
    </w:p>
    <w:p w:rsidR="00000000" w:rsidDel="00000000" w:rsidP="00000000" w:rsidRDefault="00000000" w:rsidRPr="00000000" w14:paraId="0000000D">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Backend usa Redis para colas, Azure Key Vault para secretos y Azure Blob Storage para artefactos.</w:t>
      </w:r>
    </w:p>
    <w:p w:rsidR="00000000" w:rsidDel="00000000" w:rsidP="00000000" w:rsidRDefault="00000000" w:rsidRPr="00000000" w14:paraId="0000000E">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Backend expone /internal/v1 hacia Testing (Equipo 5), que a su vez provee utilidades de prueba y fixtures tanto a Backend como a Portal.</w:t>
      </w:r>
    </w:p>
    <w:p w:rsidR="00000000" w:rsidDel="00000000" w:rsidP="00000000" w:rsidRDefault="00000000" w:rsidRPr="00000000" w14:paraId="0000000F">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CodeMapping informa a Backend el estado de la ingesta del repositorio del cliente.</w:t>
      </w:r>
    </w:p>
    <w:p w:rsidR="00000000" w:rsidDel="00000000" w:rsidP="00000000" w:rsidRDefault="00000000" w:rsidRPr="00000000" w14:paraId="000000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rPr>
      </w:pPr>
      <w:r w:rsidDel="00000000" w:rsidR="00000000" w:rsidRPr="00000000">
        <w:rPr>
          <w:rFonts w:ascii="Calibri" w:cs="Calibri" w:eastAsia="Calibri" w:hAnsi="Calibri"/>
          <w:rtl w:val="0"/>
        </w:rPr>
        <w:t xml:space="preserve">Este equipo construye Backend y Portal: dos de los cinco subproyectos. </w:t>
      </w:r>
    </w:p>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Los otros tres CodeMapping, Database y Testing se consumen por contrato.</w:t>
      </w:r>
    </w:p>
    <w:p w:rsidR="00000000" w:rsidDel="00000000" w:rsidP="00000000" w:rsidRDefault="00000000" w:rsidRPr="00000000" w14:paraId="00000013">
      <w:pPr>
        <w:jc w:val="both"/>
        <w:rPr>
          <w:rFonts w:ascii="Calibri" w:cs="Calibri" w:eastAsia="Calibri" w:hAnsi="Calibri"/>
        </w:rPr>
      </w:pPr>
      <w:r w:rsidDel="00000000" w:rsidR="00000000" w:rsidRPr="00000000">
        <w:rPr>
          <w:rtl w:val="0"/>
        </w:rPr>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30"/>
        <w:gridCol w:w="3915"/>
        <w:tblGridChange w:id="0">
          <w:tblGrid>
            <w:gridCol w:w="1845"/>
            <w:gridCol w:w="2130"/>
            <w:gridCol w:w="391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Subproyecto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Dominio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Responsabilidad principal</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1  CodeMapping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codemapping/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Ingesta del repositorio del cliente, grafo de conocimiento del código, capa de consulta de impacto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2  Database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database/, kallicode-backend/db/</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Esquema, índices, triggers, RLS, migraciones versionadas, particionado y rendimiento de PostgreSQL</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3  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kallicode-backend/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 del portal, API interna del pipeline, orquestador, motor LLM por tiers, gates, comercial, auditoría, workers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4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kallicode-portal/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 cliente: vistas, estado de servidor, sesión, RBAC de interfaz, i18n, accesibilidad</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5  Testing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testing/, CI de todo el repositorio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Etapa QA del pipeline de producto; estrategia de pruebas y CI/CD de toda la plataforma</w:t>
            </w:r>
          </w:p>
        </w:tc>
      </w:tr>
    </w:tbl>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Fonts w:ascii="Calibri" w:cs="Calibri" w:eastAsia="Calibri" w:hAnsi="Calibri"/>
          <w:rtl w:val="0"/>
        </w:rPr>
        <w:t xml:space="preserve">Backend decide qué ocurre: recibe el ticket, lo clasifica, elige el modelo, ejecuta la etapa, exige la firma humana, descuenta la cuota y sella la evidencia. Es el único subproyecto que toca aislamiento entre organizaciones, credenciales del repositorio del cliente y gasto en modelos de lenguaje.</w:t>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Portal es la única superficie por la que el cliente ve KalliCode: todo lo que los otros subproyectos construyen existe para el cliente solo en la medida en que el portal lo muestre. Un defecto de backend se traduce en un dato equivocado; un defecto de portal, en un producto que parece roto.</w:t>
      </w:r>
    </w:p>
    <w:p w:rsidR="00000000" w:rsidDel="00000000" w:rsidP="00000000" w:rsidRDefault="00000000" w:rsidRPr="00000000" w14:paraId="00000029">
      <w:pPr>
        <w:pStyle w:val="Heading1"/>
        <w:jc w:val="both"/>
        <w:rPr>
          <w:rFonts w:ascii="Calibri" w:cs="Calibri" w:eastAsia="Calibri" w:hAnsi="Calibri"/>
          <w:b w:val="1"/>
          <w:bCs w:val="1"/>
          <w:sz w:val="32"/>
          <w:szCs w:val="32"/>
        </w:rPr>
      </w:pPr>
      <w:bookmarkStart w:colFirst="0" w:colLast="0" w:name="_cjgcl37yatat" w:id="2"/>
      <w:bookmarkEnd w:id="2"/>
      <w:r w:rsidDel="00000000" w:rsidR="00000000" w:rsidRPr="00000000">
        <w:rPr>
          <w:rFonts w:ascii="Calibri" w:cs="Calibri" w:eastAsia="Calibri" w:hAnsi="Calibri"/>
          <w:b w:val="1"/>
          <w:bCs w:val="1"/>
          <w:sz w:val="32"/>
          <w:szCs w:val="32"/>
          <w:rtl w:val="0"/>
        </w:rPr>
        <w:t xml:space="preserve">2. Decisiones de arquitectura de programa</w:t>
      </w:r>
    </w:p>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Dos decisiones, tomadas antes de la planificación, condicionan el diseño de los cinco subproyectos y se dan por firmes:</w:t>
      </w:r>
    </w:p>
    <w:tbl>
      <w:tblPr>
        <w:tblStyle w:val="Table2"/>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150"/>
        <w:gridCol w:w="2955"/>
        <w:tblGridChange w:id="0">
          <w:tblGrid>
            <w:gridCol w:w="1785"/>
            <w:gridCol w:w="3150"/>
            <w:gridCol w:w="295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Decisión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Contenido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Consecuencia</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D18  Convergencia de la persistencia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grafo de conocimiento de CodeMapping abandona Neo4j y Qdrant y se modela en PostgreSQL 16 + pgvector, en un esquema cm dentro de la misma instancia que el resto de la plataforma.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Una sola tecnología de persistencia; RLS reutilizado para el aislamiento del grafo; transacciones ACID en el refresco; menor superficie en el despliegue soberano on-premise.</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D19 Calidad como subproyecto propio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Testing es dueño de la etapa QA del pipeline de producto y, además, de la estrategia de pruebas y del CI/CD de la plataforma KalliCode misma.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 y Portal consumen el CI y las utilidades de prueba que Testing publica desde el Sprint 1, en vez de construir cada uno las suyas.</w:t>
            </w:r>
          </w:p>
        </w:tc>
      </w:tr>
    </w:tbl>
    <w:p w:rsidR="00000000" w:rsidDel="00000000" w:rsidP="00000000" w:rsidRDefault="00000000" w:rsidRPr="00000000" w14:paraId="0000003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Otras decisiones relevantes citadas por los planes: D06 (los .sql de database/ son la fuente de verdad del esquema, no el código de Backend), D10 (la pantalla Modelos IA del portal es de solo lectura), D13 (el ciclo de facturación es por aniversario de contratación, no mes calendario), D17 (cobertura mínima del 80 % como puerta de CI en todo el programa).</w:t>
      </w:r>
    </w:p>
    <w:p w:rsidR="00000000" w:rsidDel="00000000" w:rsidP="00000000" w:rsidRDefault="00000000" w:rsidRPr="00000000" w14:paraId="00000036">
      <w:pPr>
        <w:pStyle w:val="Heading2"/>
        <w:jc w:val="both"/>
        <w:rPr>
          <w:rFonts w:ascii="Calibri" w:cs="Calibri" w:eastAsia="Calibri" w:hAnsi="Calibri"/>
        </w:rPr>
      </w:pPr>
      <w:bookmarkStart w:colFirst="0" w:colLast="0" w:name="_jyl66270r6k4" w:id="3"/>
      <w:bookmarkEnd w:id="3"/>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rFonts w:ascii="Calibri" w:cs="Calibri" w:eastAsia="Calibri" w:hAnsi="Calibri"/>
          <w:b w:val="1"/>
          <w:bCs w:val="1"/>
          <w:sz w:val="32"/>
          <w:szCs w:val="32"/>
        </w:rPr>
      </w:pPr>
      <w:bookmarkStart w:colFirst="0" w:colLast="0" w:name="_9fbt5w7xtjal" w:id="4"/>
      <w:bookmarkEnd w:id="4"/>
      <w:r w:rsidDel="00000000" w:rsidR="00000000" w:rsidRPr="00000000">
        <w:rPr>
          <w:rFonts w:ascii="Calibri" w:cs="Calibri" w:eastAsia="Calibri" w:hAnsi="Calibri"/>
          <w:b w:val="1"/>
          <w:bCs w:val="1"/>
          <w:sz w:val="32"/>
          <w:szCs w:val="32"/>
          <w:rtl w:val="0"/>
        </w:rPr>
        <w:t xml:space="preserve">3. Vista de contenedores</w:t>
      </w:r>
    </w:p>
    <w:p w:rsidR="00000000" w:rsidDel="00000000" w:rsidP="00000000" w:rsidRDefault="00000000" w:rsidRPr="00000000" w14:paraId="00000038">
      <w:pPr>
        <w:jc w:val="both"/>
        <w:rPr>
          <w:rFonts w:ascii="Calibri" w:cs="Calibri" w:eastAsia="Calibri" w:hAnsi="Calibri"/>
        </w:rPr>
      </w:pPr>
      <w:r w:rsidDel="00000000" w:rsidR="00000000" w:rsidRPr="00000000">
        <w:rPr>
          <w:rFonts w:ascii="Calibri" w:cs="Calibri" w:eastAsia="Calibri" w:hAnsi="Calibri"/>
          <w:rtl w:val="0"/>
        </w:rPr>
        <w:t xml:space="preserve">Contenedores y cómo se comunican:</w:t>
      </w:r>
    </w:p>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Portal — SPA React + TypeScript (Vite, TanStack Query, zod), corre en el navegador del cliente. Llama por HTTPS a /api/v1 con JWT y cookie HttpOnly.</w:t>
      </w:r>
    </w:p>
    <w:p w:rsidR="00000000" w:rsidDel="00000000" w:rsidP="00000000" w:rsidRDefault="00000000" w:rsidRPr="00000000" w14:paraId="0000003B">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apps/api — FastAPI, 15 routers en las tres superficies. Recibe las llamadas del Portal, usa packages/core para sesiones, seguridad y auditoría, y se comunica con apps/workers a través de /internal/v1 (mTLS, red privada).</w:t>
      </w:r>
    </w:p>
    <w:p w:rsidR="00000000" w:rsidDel="00000000" w:rsidP="00000000" w:rsidRDefault="00000000" w:rsidRPr="00000000" w14:paraId="0000003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packages/core — biblioteca compartida: abre sesiones RLS por rol contra PostgreSQL, usa Azure Key Vault para secretos, Azure Blob Storage para artefactos, y llama a los proveedores de LLM con el escalado flash → pro → fable.</w:t>
      </w:r>
    </w:p>
    <w:p w:rsidR="00000000" w:rsidDel="00000000" w:rsidP="00000000" w:rsidRDefault="00000000" w:rsidRPr="00000000" w14:paraId="0000003D">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apps/workers — runner de colas; usa packages/core y Redis.</w:t>
      </w:r>
    </w:p>
    <w:p w:rsidR="00000000" w:rsidDel="00000000" w:rsidP="00000000" w:rsidRDefault="00000000" w:rsidRPr="00000000" w14:paraId="0000003E">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PostgreSQL 16 + pgvector — 41 tablas con RLS, más el esquema cm del grafo de conocimiento.</w:t>
      </w:r>
    </w:p>
    <w:p w:rsidR="00000000" w:rsidDel="00000000" w:rsidP="00000000" w:rsidRDefault="00000000" w:rsidRPr="00000000" w14:paraId="0000003F">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Redis — colas y espacio de nombres por tenant.</w:t>
      </w:r>
    </w:p>
    <w:p w:rsidR="00000000" w:rsidDel="00000000" w:rsidP="00000000" w:rsidRDefault="00000000" w:rsidRPr="00000000" w14:paraId="00000040">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rPr>
      </w:pPr>
      <w:r w:rsidDel="00000000" w:rsidR="00000000" w:rsidRPr="00000000">
        <w:rPr>
          <w:rFonts w:ascii="Calibri" w:cs="Calibri" w:eastAsia="Calibri" w:hAnsi="Calibri"/>
          <w:rtl w:val="0"/>
        </w:rPr>
        <w:t xml:space="preserve">Tres superficies expone la API del backend, todas dentro del mismo servicio FastAPI pero con distinta audiencia y aislamiento de red:</w:t>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090"/>
        <w:gridCol w:w="2775"/>
        <w:tblGridChange w:id="0">
          <w:tblGrid>
            <w:gridCol w:w="2025"/>
            <w:gridCol w:w="3090"/>
            <w:gridCol w:w="2775"/>
          </w:tblGrid>
        </w:tblGridChange>
      </w:tblGrid>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Superficie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Consumidor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Endpoints (hoy / especificados)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/api/v1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77 de 79, repartidos en 12 routers de negocio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/api/v1/webhooks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Integraciones entrantes del cliente (Jira, repositorios Git)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/internal/v1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Pipeline (orquestador, Testing, CodeMapping)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 tras red privada con mTLS desde el Sprint 11</w:t>
            </w:r>
          </w:p>
        </w:tc>
      </w:tr>
    </w:tbl>
    <w:p w:rsidR="00000000" w:rsidDel="00000000" w:rsidP="00000000" w:rsidRDefault="00000000" w:rsidRPr="00000000" w14:paraId="0000004E">
      <w:pPr>
        <w:pStyle w:val="Heading1"/>
        <w:jc w:val="both"/>
        <w:rPr>
          <w:rFonts w:ascii="Calibri" w:cs="Calibri" w:eastAsia="Calibri" w:hAnsi="Calibri"/>
          <w:b w:val="1"/>
          <w:bCs w:val="1"/>
          <w:sz w:val="32"/>
          <w:szCs w:val="32"/>
        </w:rPr>
      </w:pPr>
      <w:bookmarkStart w:colFirst="0" w:colLast="0" w:name="_f4h54wd2vwx7" w:id="5"/>
      <w:bookmarkEnd w:id="5"/>
      <w:r w:rsidDel="00000000" w:rsidR="00000000" w:rsidRPr="00000000">
        <w:rPr>
          <w:rFonts w:ascii="Calibri" w:cs="Calibri" w:eastAsia="Calibri" w:hAnsi="Calibri"/>
          <w:b w:val="1"/>
          <w:bCs w:val="1"/>
          <w:sz w:val="32"/>
          <w:szCs w:val="32"/>
          <w:rtl w:val="0"/>
        </w:rPr>
        <w:t xml:space="preserve">4. Componentes del Backend</w:t>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kallicode-backend es un workspace uv con tres paquetes, 4.463 líneas de Python y 80 rutas HTTP:</w:t>
      </w:r>
    </w:p>
    <w:tbl>
      <w:tblPr>
        <w:tblStyle w:val="Table4"/>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535"/>
        <w:gridCol w:w="3210"/>
        <w:tblGridChange w:id="0">
          <w:tblGrid>
            <w:gridCol w:w="2130"/>
            <w:gridCol w:w="2535"/>
            <w:gridCol w:w="321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Paquete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Contenido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Responsabilidad</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packages/core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 módulos + llm/: config.py, db.py, errors.py, ids.py, logging.py, seguridad.py, auditoria.py, comercial.py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Biblioteca compartida: sesiones RLS con dos engines (tenant y sistema), identidad y JWT RS256, catálogo de errores, log estructurado con trace_id, auditoría con hash encadenado, reglas comerciales</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packages/core/llm</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plantillas.py (21 plantillas), cliente.py + tiers.py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Catálogo de pasos del pipeline por etapa, con JSON Schema de salida y prompt de sistema; cliente con escalado flash → pro → fable, reintento con feedback y rastro de intentos</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apps/api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main.py, deps.py, 15 routers, 3 servicios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Aplicación FastAPI: las tres superficies, middleware de trace_id, autenticación y RBAC por dependencia</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apps/workers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 módulos: normalizador, planificador, ciclo de facturación, notificador, housekeeping, exportación de auditoría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Runner de 4 colas Redis y 3 trabajos programados, consumo at-least-once con cola de mensajes muertos</w:t>
            </w:r>
          </w:p>
        </w:tc>
      </w:tr>
    </w:tbl>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Lo que falta construir — el orquestador del pipeline es la pieza central ausente: el bucle que reserva jobs, resuelve la etapa (Triage → Design → Build → QA → Security → Deploy), ejecuta sus pasos con las 21 plantillas del catálogo, publica artefactos por /internal/v1 y transiciona por la máquina de estados única. Hoy 18 de las 21 plantillas no tienen llamador.</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rtl w:val="0"/>
        </w:rPr>
        <w:t xml:space="preserve">Las seis etapas del pipeline, en orden: Triage → Design → Build → QA → Security → Deploy. Triage puede detenerse en un gate de aprobación humana si corresponde; Deploy siempre exige un gate humano obligatorio antes de ejecutarse.</w:t>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rtl w:val="0"/>
        </w:rPr>
        <w:t xml:space="preserve">Cada etapa se ejecuta con uno de los tres tiers de modelo (flash, pro, fable), con escalado automático cuando el resultado no cumple el esquema esperado, retroceso con jitter, interruptor de circuito por tier y contabilidad de tokens por tenant.</w:t>
      </w:r>
    </w:p>
    <w:p w:rsidR="00000000" w:rsidDel="00000000" w:rsidP="00000000" w:rsidRDefault="00000000" w:rsidRPr="00000000" w14:paraId="00000063">
      <w:pPr>
        <w:pStyle w:val="Heading1"/>
        <w:jc w:val="both"/>
        <w:rPr>
          <w:rFonts w:ascii="Calibri" w:cs="Calibri" w:eastAsia="Calibri" w:hAnsi="Calibri"/>
          <w:b w:val="1"/>
          <w:bCs w:val="1"/>
          <w:sz w:val="32"/>
          <w:szCs w:val="32"/>
        </w:rPr>
      </w:pPr>
      <w:bookmarkStart w:colFirst="0" w:colLast="0" w:name="_537gw0e4s3q3" w:id="6"/>
      <w:bookmarkEnd w:id="6"/>
      <w:r w:rsidDel="00000000" w:rsidR="00000000" w:rsidRPr="00000000">
        <w:rPr>
          <w:rFonts w:ascii="Calibri" w:cs="Calibri" w:eastAsia="Calibri" w:hAnsi="Calibri"/>
          <w:b w:val="1"/>
          <w:bCs w:val="1"/>
          <w:sz w:val="32"/>
          <w:szCs w:val="32"/>
          <w:rtl w:val="0"/>
        </w:rPr>
        <w:t xml:space="preserve">5. Componentes del Portal</w:t>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kallicode-portal es una SPA React con TypeScript, 2.143 líneas y doce vistas:</w:t>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bl>
      <w:tblPr>
        <w:tblStyle w:val="Table5"/>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4890"/>
        <w:tblGridChange w:id="0">
          <w:tblGrid>
            <w:gridCol w:w="3015"/>
            <w:gridCol w:w="489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Vista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Qué muestra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Autenticación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Tablero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Kanban de tickets por estado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Listado y filtros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Nuevo ticket / 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Creación de tickets, con deduplicación e impacto en vivo</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Detalle de ticket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vista más grande: pestañas, spec, firmas, impacto, regresión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Aprobaciones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Gates pendientes de firma humana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Registro de eventos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Expediente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Evidencia inmutable por ticket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Conexiones y onboarding</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 de repositorio, mapa de ramas, asistente de cinco pasos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Modelos 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 proveedores (solo lectura, D10)</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Consumo y plan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Uso de tokens, comparador de planes</w:t>
            </w:r>
          </w:p>
        </w:tc>
      </w:tr>
    </w:tbl>
    <w:p w:rsidR="00000000" w:rsidDel="00000000" w:rsidP="00000000" w:rsidRDefault="00000000" w:rsidRPr="00000000" w14:paraId="0000007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Arquitectura de datos del cliente: TanStack Query como capa única de estado de servidor (caché, deduplicación, cancelación, invalidación por mutación); esquemas zod en la frontera que validan cada respuesta contra tipos generados desde el OpenAPI publicado por Backend, de modo que una divergencia de contrato produce un error con trace_id en vez de un dato falso o una pantalla en blanco.</w:t>
      </w:r>
    </w:p>
    <w:p w:rsidR="00000000" w:rsidDel="00000000" w:rsidP="00000000" w:rsidRDefault="00000000" w:rsidRPr="00000000" w14:paraId="00000080">
      <w:pPr>
        <w:pStyle w:val="Heading1"/>
        <w:jc w:val="both"/>
        <w:rPr>
          <w:rFonts w:ascii="Calibri" w:cs="Calibri" w:eastAsia="Calibri" w:hAnsi="Calibri"/>
          <w:b w:val="1"/>
          <w:bCs w:val="1"/>
          <w:sz w:val="32"/>
          <w:szCs w:val="32"/>
        </w:rPr>
      </w:pPr>
      <w:bookmarkStart w:colFirst="0" w:colLast="0" w:name="_id13malj2f4" w:id="7"/>
      <w:bookmarkEnd w:id="7"/>
      <w:r w:rsidDel="00000000" w:rsidR="00000000" w:rsidRPr="00000000">
        <w:rPr>
          <w:rFonts w:ascii="Calibri" w:cs="Calibri" w:eastAsia="Calibri" w:hAnsi="Calibri"/>
          <w:b w:val="1"/>
          <w:bCs w:val="1"/>
          <w:sz w:val="32"/>
          <w:szCs w:val="32"/>
          <w:rtl w:val="0"/>
        </w:rPr>
        <w:t xml:space="preserve">6. Modelo de datos y aislamiento multi-tenant</w:t>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El esquema vive en PostgreSQL 16 + pgvector, 41 tablas, propiedad de Database (Equipo 2); Backend lo consume, no lo modifica (D06). El aislamiento entre organizaciones se implementa con Row-Level Security: toda sesión de negocio fija app.tenant_id mediante SET LOCAL al abrir la transacción, y las políticas RLS filtran cada fila por ese valor.</w:t>
      </w:r>
    </w:p>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Dos roles de base de datos sostienen el diseño:</w:t>
      </w:r>
    </w:p>
    <w:p w:rsidR="00000000" w:rsidDel="00000000" w:rsidP="00000000" w:rsidRDefault="00000000" w:rsidRPr="00000000" w14:paraId="00000083">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kallicode_app, sujeto a RLS: todas las sesiones de tenant salen de aquí.</w:t>
      </w:r>
    </w:p>
    <w:p w:rsidR="00000000" w:rsidDel="00000000" w:rsidP="00000000" w:rsidRDefault="00000000" w:rsidRPr="00000000" w14:paraId="00000084">
      <w:pPr>
        <w:numPr>
          <w:ilvl w:val="0"/>
          <w:numId w:val="7"/>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Un rol con BYPASSRLS, reservado a las sesiones de sistema (workers, migraciones, tareas administrativas).</w:t>
      </w:r>
    </w:p>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El grafo de conocimiento del código (CodeMapping, esquema cm) vive en la misma instancia desde la decisión D18, y reutiliza el mismo mecanismo de RLS para su propio aislamiento entre tenants.</w:t>
      </w:r>
    </w:p>
    <w:p w:rsidR="00000000" w:rsidDel="00000000" w:rsidP="00000000" w:rsidRDefault="00000000" w:rsidRPr="00000000" w14:paraId="00000086">
      <w:pPr>
        <w:pStyle w:val="Heading1"/>
        <w:jc w:val="both"/>
        <w:rPr>
          <w:rFonts w:ascii="Calibri" w:cs="Calibri" w:eastAsia="Calibri" w:hAnsi="Calibri"/>
          <w:b w:val="1"/>
          <w:bCs w:val="1"/>
          <w:sz w:val="32"/>
          <w:szCs w:val="32"/>
        </w:rPr>
      </w:pPr>
      <w:bookmarkStart w:colFirst="0" w:colLast="0" w:name="_mpkl3jd5clh6" w:id="8"/>
      <w:bookmarkEnd w:id="8"/>
      <w:r w:rsidDel="00000000" w:rsidR="00000000" w:rsidRPr="00000000">
        <w:rPr>
          <w:rFonts w:ascii="Calibri" w:cs="Calibri" w:eastAsia="Calibri" w:hAnsi="Calibri"/>
          <w:b w:val="1"/>
          <w:bCs w:val="1"/>
          <w:sz w:val="32"/>
          <w:szCs w:val="32"/>
          <w:rtl w:val="0"/>
        </w:rPr>
        <w:t xml:space="preserve">7. Seguridad</w:t>
      </w:r>
    </w:p>
    <w:tbl>
      <w:tblPr>
        <w:tblStyle w:val="Table6"/>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225"/>
        <w:tblGridChange w:id="0">
          <w:tblGrid>
            <w:gridCol w:w="1680"/>
            <w:gridCol w:w="62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Mecanismo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Detalle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Autenticación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Argon2id para contraseñas; JWT RS256 con claims de emisor y audiencia; tokens opacos para sesiones de larga duración</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Revocación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Denylist de jti; desactivar un usuario o degradar su rol corta el acceso en la siguiente petición</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Aislamiento multi-tenant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RLS por rol con dos engines (tenant y sistema); toda consulta nueva se demuestra con una prueba de no-fuga entre dos tenants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Secretos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Bóveda sobre Azure Key Vault (interfaz estable, con cifrado local en desarrollo); nunca en texto plano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Transporte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Cabeceras de seguridad, límite de tamaño de cuerpo, TrustedHost; red privada con mTLS para /internal/v1 desde el Sprint 11</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Sesión del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Renovación de token con exclusión mutua (single-flight); nada de sesión persiste en localStorage ni sessionStorage accesible por script; logout revoca en el servidor</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Modelos de lenguaje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Delimitación del contenido no confiable (título y descripción del ticket), esquemas de salida cerrados (additionalProperties: false), validación de campos que gobiernan decisiones contra el estado del tenant, allowlist de rutas verificada en el servidor</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Auditoría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Eventos sellados con hash encadenado, en la misma transacción que la mutación que registran; verificación de cadena acotada por rango</w:t>
            </w:r>
          </w:p>
        </w:tc>
      </w:tr>
    </w:tbl>
    <w:p w:rsidR="00000000" w:rsidDel="00000000" w:rsidP="00000000" w:rsidRDefault="00000000" w:rsidRPr="00000000" w14:paraId="00000099">
      <w:pPr>
        <w:pStyle w:val="Heading1"/>
        <w:jc w:val="both"/>
        <w:rPr>
          <w:rFonts w:ascii="Calibri" w:cs="Calibri" w:eastAsia="Calibri" w:hAnsi="Calibri"/>
          <w:b w:val="1"/>
          <w:bCs w:val="1"/>
          <w:sz w:val="32"/>
          <w:szCs w:val="32"/>
        </w:rPr>
      </w:pPr>
      <w:bookmarkStart w:colFirst="0" w:colLast="0" w:name="_h9hevugrfqqb" w:id="9"/>
      <w:bookmarkEnd w:id="9"/>
      <w:r w:rsidDel="00000000" w:rsidR="00000000" w:rsidRPr="00000000">
        <w:rPr>
          <w:rFonts w:ascii="Calibri" w:cs="Calibri" w:eastAsia="Calibri" w:hAnsi="Calibri"/>
          <w:b w:val="1"/>
          <w:bCs w:val="1"/>
          <w:sz w:val="32"/>
          <w:szCs w:val="32"/>
          <w:rtl w:val="0"/>
        </w:rPr>
        <w:t xml:space="preserve">8. Observabilidad y calidad</w:t>
      </w:r>
    </w:p>
    <w:p w:rsidR="00000000" w:rsidDel="00000000" w:rsidP="00000000" w:rsidRDefault="00000000" w:rsidRPr="00000000" w14:paraId="0000009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Log estructurado con trace_id, tenant_id y actor en todo el backend.</w:t>
      </w:r>
    </w:p>
    <w:p w:rsidR="00000000" w:rsidDel="00000000" w:rsidP="00000000" w:rsidRDefault="00000000" w:rsidRPr="00000000" w14:paraId="0000009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/metrics expuesto en el listener privado; sondas de salud verídicas (GET /health, GET /health/ready).</w:t>
      </w:r>
    </w:p>
    <w:p w:rsidR="00000000" w:rsidDel="00000000" w:rsidP="00000000" w:rsidRDefault="00000000" w:rsidRPr="00000000" w14:paraId="0000009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Presupuesto de rendimiento como puerta de merge en el portal: ≤ 180 kB comprimido en login, ≤ 280 kB en tablero; LCP ≤ 2,0 s e INP ≤ 200 ms en percentil 75.</w:t>
      </w:r>
    </w:p>
    <w:p w:rsidR="00000000" w:rsidDel="00000000" w:rsidP="00000000" w:rsidRDefault="00000000" w:rsidRPr="00000000" w14:paraId="0000009D">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Cobertura de pruebas creciente por decisión de programa (D17): nunca baja de su línea base, con 80 % global y 95 % en seguridad y auditoría al cierre del plan.</w:t>
      </w:r>
    </w:p>
    <w:p w:rsidR="00000000" w:rsidDel="00000000" w:rsidP="00000000" w:rsidRDefault="00000000" w:rsidRPr="00000000" w14:paraId="0000009E">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Testing (Equipo 5) es dueño del CI/CD compartido; mientras no esté disponible, Backend y Portal arrancan cada uno un workflow mínimo propio desde el Sprint 1 y lo ceden cuando Testing lo publica.</w:t>
      </w:r>
    </w:p>
    <w:p w:rsidR="00000000" w:rsidDel="00000000" w:rsidP="00000000" w:rsidRDefault="00000000" w:rsidRPr="00000000" w14:paraId="0000009F">
      <w:pPr>
        <w:pStyle w:val="Heading1"/>
        <w:jc w:val="both"/>
        <w:rPr>
          <w:rFonts w:ascii="Calibri" w:cs="Calibri" w:eastAsia="Calibri" w:hAnsi="Calibri"/>
          <w:b w:val="1"/>
          <w:bCs w:val="1"/>
          <w:sz w:val="32"/>
          <w:szCs w:val="32"/>
        </w:rPr>
      </w:pPr>
      <w:bookmarkStart w:colFirst="0" w:colLast="0" w:name="_4bb6k82hamse" w:id="10"/>
      <w:bookmarkEnd w:id="10"/>
      <w:r w:rsidDel="00000000" w:rsidR="00000000" w:rsidRPr="00000000">
        <w:rPr>
          <w:rFonts w:ascii="Calibri" w:cs="Calibri" w:eastAsia="Calibri" w:hAnsi="Calibri"/>
          <w:b w:val="1"/>
          <w:bCs w:val="1"/>
          <w:sz w:val="32"/>
          <w:szCs w:val="32"/>
          <w:rtl w:val="0"/>
        </w:rPr>
        <w:t xml:space="preserve">9. Despliegue</w:t>
      </w:r>
    </w:p>
    <w:p w:rsidR="00000000" w:rsidDel="00000000" w:rsidP="00000000" w:rsidRDefault="00000000" w:rsidRPr="00000000" w14:paraId="000000A0">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Imágenes Docker multi-etapa, sin privilegios (no como root), con HEALTHCHECK.</w:t>
      </w:r>
    </w:p>
    <w:p w:rsidR="00000000" w:rsidDel="00000000" w:rsidP="00000000" w:rsidRDefault="00000000" w:rsidRPr="00000000" w14:paraId="000000A1">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Tres modalidades de despliegue soportadas por el diseño: cloud, híbrida y soberana on-premise, pensada para clientes de sectores regulados que no pueden sacar su código de su propia infraestructura.</w:t>
      </w:r>
    </w:p>
    <w:p w:rsidR="00000000" w:rsidDel="00000000" w:rsidP="00000000" w:rsidRDefault="00000000" w:rsidRPr="00000000" w14:paraId="000000A2">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Workspace uv con lockfile versionado (uv.lock), reproducible entre entornos.</w:t>
      </w:r>
    </w:p>
    <w:p w:rsidR="00000000" w:rsidDel="00000000" w:rsidP="00000000" w:rsidRDefault="00000000" w:rsidRPr="00000000" w14:paraId="000000A3">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Red privada con mTLS para separar /internal/v1 del tráfico público del portal (endurecimiento del Sprint 11).</w:t>
      </w:r>
    </w:p>
    <w:p w:rsidR="00000000" w:rsidDel="00000000" w:rsidP="00000000" w:rsidRDefault="00000000" w:rsidRPr="00000000" w14:paraId="000000A4">
      <w:pPr>
        <w:pStyle w:val="Heading1"/>
        <w:jc w:val="both"/>
        <w:rPr>
          <w:rFonts w:ascii="Calibri" w:cs="Calibri" w:eastAsia="Calibri" w:hAnsi="Calibri"/>
          <w:b w:val="1"/>
          <w:bCs w:val="1"/>
          <w:sz w:val="32"/>
          <w:szCs w:val="32"/>
        </w:rPr>
      </w:pPr>
      <w:bookmarkStart w:colFirst="0" w:colLast="0" w:name="_359hsvle2qoq" w:id="11"/>
      <w:bookmarkEnd w:id="11"/>
      <w:r w:rsidDel="00000000" w:rsidR="00000000" w:rsidRPr="00000000">
        <w:rPr>
          <w:rFonts w:ascii="Calibri" w:cs="Calibri" w:eastAsia="Calibri" w:hAnsi="Calibri"/>
          <w:b w:val="1"/>
          <w:bCs w:val="1"/>
          <w:sz w:val="32"/>
          <w:szCs w:val="32"/>
          <w:rtl w:val="0"/>
        </w:rPr>
        <w:t xml:space="preserve">10. Contratos entre subproyectos</w:t>
      </w:r>
    </w:p>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Las dependencias se gestionan por contrato, no por espera: cuando un equipo necesita algo que otro aún no entrega, trabaja contra el contrato acordado y datos simulados, y sustituye el simulador por la implementación real cuando llega.</w:t>
      </w:r>
    </w:p>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Contratos que Backend posee:</w:t>
      </w:r>
    </w:p>
    <w:p w:rsidR="00000000" w:rsidDel="00000000" w:rsidP="00000000" w:rsidRDefault="00000000" w:rsidRPr="00000000" w14:paraId="000000A7">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OpenAPI /api/v1 (consumido por Portal) y OpenAPI /internal/v1 (consumido por Testing y CodeMapping), ambos congelados en v1 y versionados; todo cambio incompatible pasa por el Architecture Board con un sprint de convivencia.</w:t>
      </w:r>
    </w:p>
    <w:p w:rsidR="00000000" w:rsidDel="00000000" w:rsidP="00000000" w:rsidRDefault="00000000" w:rsidRPr="00000000" w14:paraId="000000A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 máquina de estados del pipeline y la política de gates.</w:t>
      </w:r>
    </w:p>
    <w:p w:rsidR="00000000" w:rsidDel="00000000" w:rsidP="00000000" w:rsidRDefault="00000000" w:rsidRPr="00000000" w14:paraId="000000A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catálogo de 21 plantillas de LLM, con su versión persistida en cada paso ejecutado.</w:t>
      </w:r>
    </w:p>
    <w:p w:rsidR="00000000" w:rsidDel="00000000" w:rsidP="00000000" w:rsidRDefault="00000000" w:rsidRPr="00000000" w14:paraId="000000A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catálogo de códigos de error y el catálogo de eventos de auditoría.</w:t>
      </w:r>
    </w:p>
    <w:p w:rsidR="00000000" w:rsidDel="00000000" w:rsidP="00000000" w:rsidRDefault="00000000" w:rsidRPr="00000000" w14:paraId="000000A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 bóveda de secretos como interfaz estable.</w:t>
      </w:r>
    </w:p>
    <w:p w:rsidR="00000000" w:rsidDel="00000000" w:rsidP="00000000" w:rsidRDefault="00000000" w:rsidRPr="00000000" w14:paraId="000000A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Contratos que Backend consume:</w:t>
      </w:r>
    </w:p>
    <w:p w:rsidR="00000000" w:rsidDel="00000000" w:rsidP="00000000" w:rsidRDefault="00000000" w:rsidRPr="00000000" w14:paraId="000000AE">
      <w:pPr>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esquema SQL completo (Database): Backend pide la migración, la revisa y adapta su código, pero no lo modifica.</w:t>
      </w:r>
    </w:p>
    <w:p w:rsidR="00000000" w:rsidDel="00000000" w:rsidP="00000000" w:rsidRDefault="00000000" w:rsidRPr="00000000" w14:paraId="000000AF">
      <w:pPr>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 capa de consulta del grafo (CodeMapping): subgrafo, impacto a k saltos e inventario de interfaz, tras una interfaz GrafoCliente con doble de prueba mientras CodeMapping no la publique.</w:t>
      </w:r>
    </w:p>
    <w:p w:rsidR="00000000" w:rsidDel="00000000" w:rsidP="00000000" w:rsidRDefault="00000000" w:rsidRPr="00000000" w14:paraId="000000B0">
      <w:pPr>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CI compartido y las utilidades de prueba (Testing).</w:t>
      </w:r>
    </w:p>
    <w:p w:rsidR="00000000" w:rsidDel="00000000" w:rsidP="00000000" w:rsidRDefault="00000000" w:rsidRPr="00000000" w14:paraId="000000B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Contrato entre Backend y Portal: Portal consume el OpenAPI /api/v1 y genera sus tipos desde ahí; a cambio, entrega a Backend el inventario de campos efectivamente usados por cada vista, insumo para congelar el contrato sin campos muertos.</w:t>
      </w:r>
    </w:p>
    <w:p w:rsidR="00000000" w:rsidDel="00000000" w:rsidP="00000000" w:rsidRDefault="00000000" w:rsidRPr="00000000" w14:paraId="000000B3">
      <w:pPr>
        <w:pStyle w:val="Heading1"/>
        <w:jc w:val="both"/>
        <w:rPr>
          <w:rFonts w:ascii="Calibri" w:cs="Calibri" w:eastAsia="Calibri" w:hAnsi="Calibri"/>
          <w:b w:val="1"/>
          <w:bCs w:val="1"/>
          <w:sz w:val="32"/>
          <w:szCs w:val="32"/>
        </w:rPr>
      </w:pPr>
      <w:bookmarkStart w:colFirst="0" w:colLast="0" w:name="_sq8lwhkg7dau" w:id="12"/>
      <w:bookmarkEnd w:id="12"/>
      <w:r w:rsidDel="00000000" w:rsidR="00000000" w:rsidRPr="00000000">
        <w:rPr>
          <w:rFonts w:ascii="Calibri" w:cs="Calibri" w:eastAsia="Calibri" w:hAnsi="Calibri"/>
          <w:b w:val="1"/>
          <w:bCs w:val="1"/>
          <w:sz w:val="32"/>
          <w:szCs w:val="32"/>
          <w:rtl w:val="0"/>
        </w:rPr>
        <w:t xml:space="preserve">11. Estado actual del código</w:t>
      </w:r>
    </w:p>
    <w:tbl>
      <w:tblPr>
        <w:tblStyle w:val="Table7"/>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85"/>
        <w:gridCol w:w="3450"/>
        <w:tblGridChange w:id="0">
          <w:tblGrid>
            <w:gridCol w:w="2055"/>
            <w:gridCol w:w="2385"/>
            <w:gridCol w:w="345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4">
            <w:pPr>
              <w:spacing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Portal</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Tamaño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4.463 líneas de Python, 80 rutas HTTP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2.143 líneas de TypeScript, 12 vistas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Cobertura de pruebas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0 %</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Endpoints/claves de interfaz</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77 de 79 endpoints implementados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122 de 364 claves de interfaz del wireframe; 32 de 62 endpoints consumidos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Hallazgos de la auditoría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43 (7 bloqueantes, 18 altos, 11 medios, 7 bajos)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 bloqueantes y altos en el alcance de los cinco primeros sprints</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Pieza más valiosa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Catálogo de 21 plantillas de LLM, fiel al diseño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Fidelidad estructural al wireframe: nueve pantallas con tokens de estilo, modo claro/oscuro y tres idiomas</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Ausencia mayor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orquestador del pipeline no existe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Siete pantallas completas del wireframe, incluido el asistente de onboarding</w:t>
            </w:r>
          </w:p>
        </w:tc>
      </w:tr>
    </w:tbl>
    <w:p w:rsidR="00000000" w:rsidDel="00000000" w:rsidP="00000000" w:rsidRDefault="00000000" w:rsidRPr="00000000" w14:paraId="000000C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rPr>
      </w:pPr>
      <w:r w:rsidDel="00000000" w:rsidR="00000000" w:rsidRPr="00000000">
        <w:rPr>
          <w:rFonts w:ascii="Calibri" w:cs="Calibri" w:eastAsia="Calibri" w:hAnsi="Calibri"/>
          <w:rtl w:val="0"/>
        </w:rPr>
        <w:t xml:space="preserve">La forma del producto está construida en ambos subproyectos; lo que falta es que el andamiaje defienda sus propias promesas (aislamiento real, idempotencia real, sesión que no expulsa al usuario) y que se complete lo que hoy es solo esqueleto (el orquestador, las pantallas pendientes).</w:t>
      </w:r>
    </w:p>
    <w:p w:rsidR="00000000" w:rsidDel="00000000" w:rsidP="00000000" w:rsidRDefault="00000000" w:rsidRPr="00000000" w14:paraId="000000CB">
      <w:pPr>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