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60"/>
        <w:jc w:val="center"/>
        <w:rPr/>
      </w:pPr>
      <w:r>
        <w:rPr>
          <w:rFonts w:eastAsia="Calibri" w:cs="Calibri" w:ascii="Calibri" w:hAnsi="Calibri"/>
          <w:b/>
          <w:bCs/>
          <w:i w:val="false"/>
          <w:iCs w:val="false"/>
          <w:sz w:val="26"/>
          <w:szCs w:val="26"/>
        </w:rPr>
        <w:t>INSTITUTO PROFESIONAL DUOC UC</w:t>
      </w:r>
    </w:p>
    <w:p>
      <w:pPr>
        <w:pStyle w:val="Normal"/>
        <w:spacing w:before="0" w:after="40"/>
        <w:jc w:val="center"/>
        <w:rPr/>
      </w:pPr>
      <w:r>
        <w:rPr>
          <w:rFonts w:eastAsia="Calibri" w:cs="Calibri" w:ascii="Calibri" w:hAnsi="Calibri"/>
          <w:b w:val="false"/>
          <w:bCs w:val="false"/>
          <w:i w:val="false"/>
          <w:iCs w:val="false"/>
          <w:sz w:val="22"/>
          <w:szCs w:val="22"/>
        </w:rPr>
        <w:t>Escuela de Informática y Telecomunicaciones</w:t>
      </w:r>
    </w:p>
    <w:p>
      <w:pPr>
        <w:pStyle w:val="Normal"/>
        <w:spacing w:before="0" w:after="200"/>
        <w:jc w:val="center"/>
        <w:rPr/>
      </w:pPr>
      <w:r>
        <w:rPr>
          <w:rFonts w:eastAsia="Calibri" w:cs="Calibri" w:ascii="Calibri" w:hAnsi="Calibri"/>
          <w:b w:val="false"/>
          <w:bCs w:val="false"/>
          <w:i w:val="false"/>
          <w:iCs w:val="false"/>
          <w:sz w:val="22"/>
          <w:szCs w:val="22"/>
        </w:rPr>
        <w:t>Ingeniería en Informática</w:t>
      </w:r>
    </w:p>
    <w:p>
      <w:pPr>
        <w:pStyle w:val="Normal"/>
        <w:spacing w:before="0" w:after="260"/>
        <w:jc w:val="center"/>
        <w:rPr/>
      </w:pPr>
      <w:r>
        <w:rPr>
          <w:rFonts w:eastAsia="Calibri" w:cs="Calibri" w:ascii="Calibri" w:hAnsi="Calibri"/>
          <w:b w:val="false"/>
          <w:bCs w:val="false"/>
          <w:i w:val="false"/>
          <w:iCs w:val="false"/>
          <w:sz w:val="22"/>
          <w:szCs w:val="22"/>
        </w:rPr>
        <w:t>Asignatura: Capstone</w:t>
      </w:r>
    </w:p>
    <w:p>
      <w:pPr>
        <w:pStyle w:val="Normal"/>
        <w:spacing w:before="0" w:after="120"/>
        <w:jc w:val="center"/>
        <w:rPr/>
      </w:pPr>
      <w:r>
        <w:rPr>
          <w:rFonts w:eastAsia="Calibri" w:cs="Calibri" w:ascii="Calibri" w:hAnsi="Calibri"/>
          <w:b/>
          <w:bCs/>
          <w:sz w:val="24"/>
          <w:szCs w:val="24"/>
        </w:rPr>
        <w:t>AUTOEVALUACIÓN FORMATIVA</w:t>
      </w:r>
    </w:p>
    <w:p>
      <w:pPr>
        <w:pStyle w:val="Normal"/>
        <w:spacing w:before="0" w:after="40"/>
        <w:jc w:val="center"/>
        <w:rPr/>
      </w:pPr>
      <w:r>
        <w:rPr>
          <w:rFonts w:eastAsia="Calibri" w:cs="Calibri" w:ascii="Calibri" w:hAnsi="Calibri"/>
          <w:b w:val="false"/>
          <w:bCs w:val="false"/>
          <w:i w:val="false"/>
          <w:iCs w:val="false"/>
          <w:sz w:val="22"/>
          <w:szCs w:val="22"/>
        </w:rPr>
        <w:t>Definición del Proyecto APT</w:t>
      </w:r>
    </w:p>
    <w:p>
      <w:pPr>
        <w:pStyle w:val="Normal"/>
        <w:spacing w:before="0" w:after="260"/>
        <w:jc w:val="center"/>
        <w:rPr/>
      </w:pPr>
      <w:r>
        <w:rPr>
          <w:rFonts w:eastAsia="Calibri" w:cs="Calibri" w:ascii="Calibri" w:hAnsi="Calibri"/>
          <w:b w:val="false"/>
          <w:bCs w:val="false"/>
          <w:i/>
          <w:iCs/>
          <w:sz w:val="22"/>
          <w:szCs w:val="22"/>
        </w:rPr>
        <w:t>KalliCode — Plataforma SaaS de automatización del ciclo de desarrollo de software mediante IA</w:t>
      </w:r>
    </w:p>
    <w:p>
      <w:pPr>
        <w:pStyle w:val="Normal"/>
        <w:spacing w:before="0" w:after="60"/>
        <w:jc w:val="center"/>
        <w:rPr/>
      </w:pPr>
      <w:r>
        <w:rPr>
          <w:rFonts w:eastAsia="Calibri" w:cs="Calibri" w:ascii="Calibri" w:hAnsi="Calibri"/>
          <w:b w:val="false"/>
          <w:bCs w:val="false"/>
          <w:i w:val="false"/>
          <w:iCs w:val="false"/>
          <w:sz w:val="22"/>
          <w:szCs w:val="22"/>
        </w:rPr>
        <w:t>Estudiante: Juan Millares</w:t>
      </w:r>
    </w:p>
    <w:p>
      <w:pPr>
        <w:pStyle w:val="Normal"/>
        <w:spacing w:before="0" w:after="60"/>
        <w:jc w:val="center"/>
        <w:rPr/>
      </w:pPr>
      <w:r>
        <w:rPr>
          <w:rFonts w:eastAsia="Calibri" w:cs="Calibri" w:ascii="Calibri" w:hAnsi="Calibri"/>
          <w:b w:val="false"/>
          <w:bCs w:val="false"/>
          <w:i w:val="false"/>
          <w:iCs w:val="false"/>
          <w:sz w:val="22"/>
          <w:szCs w:val="22"/>
        </w:rPr>
        <w:t>Docente: José Luis Pino</w:t>
      </w:r>
    </w:p>
    <w:p>
      <w:pPr>
        <w:pStyle w:val="Normal"/>
        <w:spacing w:before="0" w:after="260"/>
        <w:jc w:val="center"/>
        <w:rPr/>
      </w:pPr>
      <w:r>
        <w:rPr>
          <w:rFonts w:eastAsia="Calibri" w:cs="Calibri" w:ascii="Calibri" w:hAnsi="Calibri"/>
          <w:b w:val="false"/>
          <w:bCs w:val="false"/>
          <w:i w:val="false"/>
          <w:iCs w:val="false"/>
          <w:sz w:val="22"/>
          <w:szCs w:val="22"/>
        </w:rPr>
        <w:t>Carrera: Ingeniería en Informática</w:t>
      </w:r>
    </w:p>
    <w:p>
      <w:pPr>
        <w:pStyle w:val="Normal"/>
        <w:spacing w:before="0" w:after="260"/>
        <w:jc w:val="center"/>
        <w:rPr/>
      </w:pPr>
      <w:r>
        <w:rPr>
          <w:rFonts w:eastAsia="Calibri" w:cs="Calibri" w:ascii="Calibri" w:hAnsi="Calibri"/>
          <w:b w:val="false"/>
          <w:bCs w:val="false"/>
          <w:i/>
          <w:iCs/>
          <w:sz w:val="22"/>
          <w:szCs w:val="22"/>
        </w:rPr>
        <w:t>Instancia: Autoevaluación formativa</w:t>
      </w:r>
    </w:p>
    <w:p>
      <w:pPr>
        <w:pStyle w:val="Normal"/>
        <w:spacing w:before="0" w:after="400"/>
        <w:jc w:val="center"/>
        <w:rPr/>
      </w:pPr>
      <w:r>
        <w:rPr>
          <w:rFonts w:eastAsia="Calibri" w:cs="Calibri" w:ascii="Calibri" w:hAnsi="Calibri"/>
          <w:b w:val="false"/>
          <w:bCs w:val="false"/>
          <w:i w:val="false"/>
          <w:iCs w:val="false"/>
          <w:sz w:val="22"/>
          <w:szCs w:val="22"/>
        </w:rPr>
        <w:t>Santiago, septiembre de 2026</w:t>
      </w:r>
      <w:r>
        <w:br w:type="page"/>
      </w:r>
    </w:p>
    <w:p>
      <w:pPr>
        <w:pStyle w:val="Normal"/>
        <w:rPr/>
      </w:pPr>
      <w:r>
        <w:rPr/>
        <w:br/>
      </w:r>
    </w:p>
    <w:p>
      <w:pPr>
        <w:pStyle w:val="Heading1"/>
        <w:spacing w:before="300" w:after="150"/>
        <w:rPr/>
      </w:pPr>
      <w:r>
        <w:rPr/>
        <w:t>Abstract</w:t>
      </w:r>
    </w:p>
    <w:p>
      <w:pPr>
        <w:pStyle w:val="Heading2"/>
        <w:spacing w:before="240" w:after="120"/>
        <w:rPr/>
      </w:pPr>
      <w:r>
        <w:rPr/>
        <w:t>English</w:t>
      </w:r>
    </w:p>
    <w:p>
      <w:pPr>
        <w:pStyle w:val="Normal"/>
        <w:spacing w:before="0" w:after="160"/>
        <w:jc w:val="both"/>
        <w:rPr/>
      </w:pPr>
      <w:r>
        <w:rPr>
          <w:rFonts w:eastAsia="Calibri" w:cs="Calibri" w:ascii="Calibri" w:hAnsi="Calibri"/>
          <w:b w:val="false"/>
          <w:bCs w:val="false"/>
          <w:i w:val="false"/>
          <w:iCs w:val="false"/>
          <w:sz w:val="22"/>
          <w:szCs w:val="22"/>
        </w:rPr>
        <w:t>This report presents the formative self-assessment of the APT (Capstone) project definition: KalliCode, a multi-tenant SaaS platform that automates software delivery through an AI-orchestrated pipeline. The system receives client tickets, designs solution alternatives, executes code changes through three tiers of language models, enforces quality and security gates, requires human sign-off at defined checkpoints, and keeps an immutable audit trail. Development is organized into five independent subprojects under a twelve-sprint Scrum framework; this report is grounded specifically in the Backend and Portal subproject plans, which define the API, the AI orchestration engine and the client interface.</w:t>
      </w:r>
    </w:p>
    <w:p>
      <w:pPr>
        <w:pStyle w:val="Normal"/>
        <w:spacing w:before="0" w:after="160"/>
        <w:jc w:val="both"/>
        <w:rPr/>
      </w:pPr>
      <w:r>
        <w:rPr>
          <w:rFonts w:eastAsia="Calibri" w:cs="Calibri" w:ascii="Calibri" w:hAnsi="Calibri"/>
          <w:b w:val="false"/>
          <w:bCs w:val="false"/>
          <w:i w:val="false"/>
          <w:iCs w:val="false"/>
          <w:sz w:val="22"/>
          <w:szCs w:val="22"/>
        </w:rPr>
        <w:t>The document briefly describes the project and its relevance, argues its connection to the graduate profile competencies and to the author's professional interests in cybersecurity — both defensive (Blue Team) and offensive (Red Team) — and cloud infrastructure, states clear objectives, proposes a working methodology and a work plan aligned to the program's milestones, and lists the evidence that will demonstrate the achievement of each activity. It closes with the disciplinary quality indicators required for the project's design presentation.</w:t>
      </w:r>
    </w:p>
    <w:p>
      <w:pPr>
        <w:pStyle w:val="Heading2"/>
        <w:spacing w:before="240" w:after="120"/>
        <w:rPr/>
      </w:pPr>
      <w:r>
        <w:rPr/>
        <w:t>Español</w:t>
      </w:r>
    </w:p>
    <w:p>
      <w:pPr>
        <w:pStyle w:val="Normal"/>
        <w:spacing w:before="0" w:after="160"/>
        <w:jc w:val="both"/>
        <w:rPr/>
      </w:pPr>
      <w:r>
        <w:rPr>
          <w:rFonts w:eastAsia="Calibri" w:cs="Calibri" w:ascii="Calibri" w:hAnsi="Calibri"/>
          <w:b w:val="false"/>
          <w:bCs w:val="false"/>
          <w:i w:val="false"/>
          <w:iCs w:val="false"/>
          <w:sz w:val="22"/>
          <w:szCs w:val="22"/>
        </w:rPr>
        <w:t>Este informe presenta la autoevaluación formativa de la definición del proyecto APT (Capstone): KalliCode, una plataforma SaaS multi-tenant que automatiza la entrega de software mediante un pipeline orquestado por inteligencia artificial. El sistema recibe tickets del cliente, diseña alternativas de solución, ejecuta cambios de código a través de tres tiers de modelos de lenguaje, aplica controles de calidad y seguridad, exige aprobación humana en puntos de control definidos y mantiene una auditoría inmutable. El desarrollo se organiza en cinco subproyectos independientes bajo un marco Scrum de doce sprints; este informe se apoya específicamente en los planes de los subproyectos Backend y Portal, que definen la API, el motor de orquestación de IA y la interfaz cliente.</w:t>
      </w:r>
    </w:p>
    <w:p>
      <w:pPr>
        <w:pStyle w:val="Normal"/>
        <w:spacing w:before="0" w:after="160"/>
        <w:jc w:val="both"/>
        <w:rPr/>
      </w:pPr>
      <w:r>
        <w:rPr>
          <w:rFonts w:eastAsia="Calibri" w:cs="Calibri" w:ascii="Calibri" w:hAnsi="Calibri"/>
          <w:b w:val="false"/>
          <w:bCs w:val="false"/>
          <w:i w:val="false"/>
          <w:iCs w:val="false"/>
          <w:sz w:val="22"/>
          <w:szCs w:val="22"/>
        </w:rPr>
        <w:t>El documento describe brevemente el proyecto y su relevancia, argumenta su vínculo con las competencias del perfil de egreso y con los intereses profesionales del autor en ciberseguridad —tanto defensiva (Blue Team) como ofensiva (Red Team)— y arquitecturas en la nube, plantea objetivos claros, propone una metodología de trabajo y un plan alineado a los hitos del programa, y enumera las evidencias que darán cuenta del logro de cada actividad. Cierra con los indicadores de calidad disciplinarios exigidos para la presentación del diseño del proyecto.</w:t>
      </w:r>
    </w:p>
    <w:p>
      <w:pPr>
        <w:pStyle w:val="Heading1"/>
        <w:spacing w:before="300" w:after="150"/>
        <w:rPr/>
      </w:pPr>
      <w:r>
        <w:rPr/>
        <w:t>Desarrollo</w:t>
      </w:r>
    </w:p>
    <w:p>
      <w:pPr>
        <w:pStyle w:val="Heading2"/>
        <w:spacing w:before="240" w:after="120"/>
        <w:rPr/>
      </w:pPr>
      <w:r>
        <w:rPr/>
        <w:t>1. Descripción del proyecto APT</w:t>
      </w:r>
    </w:p>
    <w:p>
      <w:pPr>
        <w:pStyle w:val="Normal"/>
        <w:spacing w:before="0" w:after="160"/>
        <w:jc w:val="both"/>
        <w:rPr/>
      </w:pPr>
      <w:r>
        <w:rPr>
          <w:rFonts w:eastAsia="Calibri" w:cs="Calibri" w:ascii="Calibri" w:hAnsi="Calibri"/>
          <w:b w:val="false"/>
          <w:bCs w:val="false"/>
          <w:i w:val="false"/>
          <w:iCs w:val="false"/>
          <w:sz w:val="22"/>
          <w:szCs w:val="22"/>
        </w:rPr>
        <w:t>KalliCode es una plataforma SaaS multi-tenant que automatiza la producción de software mediante un pipeline orquestado por inteligencia artificial: recibe tickets del cliente, diseña alternativas de solución, ejecuta los cambios de código a través de tres tiers de modelos de lenguaje, aplica controles de calidad y seguridad, exige aprobaciones humanas en puntos de control (gates) y mantiene una auditoría inmutable de toda la operación. El desarrollo se reparte entre cinco equipos independientes de cuatro personas —CodeMapping, Database, Backend, Portal y Testing—, bajo un marco Scrum de doce sprints semanales entre agosto y octubre de 2026.</w:t>
      </w:r>
    </w:p>
    <w:p>
      <w:pPr>
        <w:pStyle w:val="Normal"/>
        <w:spacing w:before="0" w:after="160"/>
        <w:jc w:val="both"/>
        <w:rPr/>
      </w:pPr>
      <w:r>
        <w:rPr>
          <w:rFonts w:eastAsia="Calibri" w:cs="Calibri" w:ascii="Calibri" w:hAnsi="Calibri"/>
          <w:b w:val="false"/>
          <w:bCs w:val="false"/>
          <w:i w:val="false"/>
          <w:iCs w:val="false"/>
          <w:sz w:val="22"/>
          <w:szCs w:val="22"/>
        </w:rPr>
        <w:t>El punto de partida no es una hoja en blanco: existe un andamiaje (scaffold) funcional con un backend de 77 de los 79 endpoints especificados y un portal de doce vistas. Una auditoría técnica inicial, sin embargo, identificó 43 hallazgos en el backend (7 bloqueantes, 18 altos) y 28 en el portal (4 bloqueantes, 12 altos), concentrados en aislamiento multi-tenant, seguridad de sesión, idempotencia del pipeline y ausencia total de pruebas automatizadas. Desde mi rol, este volumen de hallazgos de seguridad es precisamente lo que hace atractivo al proyecto: no se trata de construir sobre una base limpia, sino de auditar, priorizar por severidad y corregir vulnerabilidades reales en un sistema en producción, que es la naturaleza del trabajo que quiero desempeñar profesionalmente.</w:t>
      </w:r>
    </w:p>
    <w:p>
      <w:pPr>
        <w:pStyle w:val="Heading2"/>
        <w:spacing w:before="240" w:after="120"/>
        <w:rPr/>
      </w:pPr>
      <w:r>
        <w:rPr/>
        <w:t>2. Relación del proyecto APT con las competencias del perfil de egreso</w:t>
      </w:r>
    </w:p>
    <w:p>
      <w:pPr>
        <w:pStyle w:val="Normal"/>
        <w:spacing w:before="0" w:after="160"/>
        <w:jc w:val="both"/>
        <w:rPr/>
      </w:pPr>
      <w:r>
        <w:rPr>
          <w:rFonts w:eastAsia="Calibri" w:cs="Calibri" w:ascii="Calibri" w:hAnsi="Calibri"/>
          <w:b w:val="false"/>
          <w:bCs w:val="false"/>
          <w:i w:val="false"/>
          <w:iCs w:val="false"/>
          <w:sz w:val="22"/>
          <w:szCs w:val="22"/>
        </w:rPr>
        <w:t>El proyecto cubre de forma directa y verificable las competencias declaradas en el perfil de egreso de Ingeniería en Informática, con especial peso en aquellas ligadas a seguridad de la información:</w:t>
      </w:r>
    </w:p>
    <w:tbl>
      <w:tblPr>
        <w:tblW w:w="5000" w:type="pct"/>
        <w:jc w:val="left"/>
        <w:tblInd w:w="0" w:type="dxa"/>
        <w:tblLayout w:type="fixed"/>
        <w:tblCellMar>
          <w:top w:w="80" w:type="dxa"/>
          <w:left w:w="100" w:type="dxa"/>
          <w:bottom w:w="80" w:type="dxa"/>
          <w:right w:w="100" w:type="dxa"/>
        </w:tblCellMar>
      </w:tblPr>
      <w:tblGrid>
        <w:gridCol w:w="3139"/>
        <w:gridCol w:w="1569"/>
        <w:gridCol w:w="4318"/>
      </w:tblGrid>
      <w:tr>
        <w:trPr/>
        <w:tc>
          <w:tcPr>
            <w:tcW w:w="3139" w:type="dxa"/>
            <w:tcBorders>
              <w:top w:val="single" w:sz="4" w:space="0" w:color="000000"/>
              <w:left w:val="single" w:sz="4" w:space="0" w:color="000000"/>
              <w:bottom w:val="single" w:sz="4" w:space="0" w:color="000000"/>
              <w:right w:val="single" w:sz="4" w:space="0" w:color="000000"/>
            </w:tcBorders>
            <w:shd w:color="auto" w:fill="1F4E5F" w:val="clear"/>
          </w:tcPr>
          <w:p>
            <w:pPr>
              <w:pStyle w:val="Normal"/>
              <w:jc w:val="left"/>
              <w:rPr/>
            </w:pPr>
            <w:r>
              <w:rPr>
                <w:rFonts w:eastAsia="Calibri" w:cs="Calibri" w:ascii="Calibri" w:hAnsi="Calibri"/>
                <w:b/>
                <w:bCs/>
                <w:color w:val="FFFFFF"/>
                <w:sz w:val="20"/>
                <w:szCs w:val="20"/>
              </w:rPr>
              <w:t>Competencia del perfil de egreso</w:t>
            </w:r>
          </w:p>
        </w:tc>
        <w:tc>
          <w:tcPr>
            <w:tcW w:w="1569" w:type="dxa"/>
            <w:tcBorders>
              <w:top w:val="single" w:sz="4" w:space="0" w:color="000000"/>
              <w:left w:val="single" w:sz="4" w:space="0" w:color="000000"/>
              <w:bottom w:val="single" w:sz="4" w:space="0" w:color="000000"/>
              <w:right w:val="single" w:sz="4" w:space="0" w:color="000000"/>
            </w:tcBorders>
            <w:shd w:color="auto" w:fill="1F4E5F" w:val="clear"/>
          </w:tcPr>
          <w:p>
            <w:pPr>
              <w:pStyle w:val="Normal"/>
              <w:jc w:val="left"/>
              <w:rPr/>
            </w:pPr>
            <w:r>
              <w:rPr>
                <w:rFonts w:eastAsia="Calibri" w:cs="Calibri" w:ascii="Calibri" w:hAnsi="Calibri"/>
                <w:b/>
                <w:bCs/>
                <w:color w:val="FFFFFF"/>
                <w:sz w:val="20"/>
                <w:szCs w:val="20"/>
              </w:rPr>
              <w:t>Dominio</w:t>
            </w:r>
          </w:p>
        </w:tc>
        <w:tc>
          <w:tcPr>
            <w:tcW w:w="4318" w:type="dxa"/>
            <w:tcBorders>
              <w:top w:val="single" w:sz="4" w:space="0" w:color="000000"/>
              <w:left w:val="single" w:sz="4" w:space="0" w:color="000000"/>
              <w:bottom w:val="single" w:sz="4" w:space="0" w:color="000000"/>
              <w:right w:val="single" w:sz="4" w:space="0" w:color="000000"/>
            </w:tcBorders>
            <w:shd w:color="auto" w:fill="1F4E5F" w:val="clear"/>
          </w:tcPr>
          <w:p>
            <w:pPr>
              <w:pStyle w:val="Normal"/>
              <w:jc w:val="left"/>
              <w:rPr/>
            </w:pPr>
            <w:r>
              <w:rPr>
                <w:rFonts w:eastAsia="Calibri" w:cs="Calibri" w:ascii="Calibri" w:hAnsi="Calibri"/>
                <w:b/>
                <w:bCs/>
                <w:color w:val="FFFFFF"/>
                <w:sz w:val="20"/>
                <w:szCs w:val="20"/>
              </w:rPr>
              <w:t>Vínculo con el proyecto APT</w:t>
            </w:r>
          </w:p>
        </w:tc>
      </w:tr>
      <w:tr>
        <w:trPr/>
        <w:tc>
          <w:tcPr>
            <w:tcW w:w="3139" w:type="dxa"/>
            <w:tcBorders>
              <w:top w:val="single" w:sz="4" w:space="0" w:color="000000"/>
              <w:left w:val="single" w:sz="4" w:space="0" w:color="000000"/>
              <w:bottom w:val="single" w:sz="4" w:space="0" w:color="000000"/>
              <w:right w:val="single" w:sz="4" w:space="0" w:color="000000"/>
            </w:tcBorders>
          </w:tcPr>
          <w:p>
            <w:pPr>
              <w:pStyle w:val="Normal"/>
              <w:jc w:val="left"/>
              <w:rPr/>
            </w:pPr>
            <w:r>
              <w:rPr>
                <w:rFonts w:eastAsia="Calibri" w:cs="Calibri" w:ascii="Calibri" w:hAnsi="Calibri"/>
                <w:b/>
                <w:bCs/>
                <w:sz w:val="20"/>
                <w:szCs w:val="20"/>
              </w:rPr>
              <w:t>Resolver las vulnerabilidades sistémicas para asegurar que el software construido cumple las normas de seguridad exigidas por la industria</w:t>
            </w:r>
          </w:p>
        </w:tc>
        <w:tc>
          <w:tcPr>
            <w:tcW w:w="1569" w:type="dxa"/>
            <w:tcBorders>
              <w:top w:val="single" w:sz="4" w:space="0" w:color="000000"/>
              <w:left w:val="single" w:sz="4" w:space="0" w:color="000000"/>
              <w:bottom w:val="single" w:sz="4" w:space="0" w:color="000000"/>
              <w:right w:val="single" w:sz="4" w:space="0" w:color="000000"/>
            </w:tcBorders>
          </w:tcPr>
          <w:p>
            <w:pPr>
              <w:pStyle w:val="Normal"/>
              <w:jc w:val="left"/>
              <w:rPr/>
            </w:pPr>
            <w:r>
              <w:rPr>
                <w:rFonts w:eastAsia="Calibri" w:cs="Calibri" w:ascii="Calibri" w:hAnsi="Calibri"/>
                <w:b w:val="false"/>
                <w:bCs w:val="false"/>
                <w:sz w:val="20"/>
                <w:szCs w:val="20"/>
              </w:rPr>
              <w:t>Excelente dominio</w:t>
            </w:r>
          </w:p>
        </w:tc>
        <w:tc>
          <w:tcPr>
            <w:tcW w:w="4318" w:type="dxa"/>
            <w:tcBorders>
              <w:top w:val="single" w:sz="4" w:space="0" w:color="000000"/>
              <w:left w:val="single" w:sz="4" w:space="0" w:color="000000"/>
              <w:bottom w:val="single" w:sz="4" w:space="0" w:color="000000"/>
              <w:right w:val="single" w:sz="4" w:space="0" w:color="000000"/>
            </w:tcBorders>
          </w:tcPr>
          <w:p>
            <w:pPr>
              <w:pStyle w:val="Normal"/>
              <w:jc w:val="left"/>
              <w:rPr/>
            </w:pPr>
            <w:r>
              <w:rPr>
                <w:rFonts w:eastAsia="Calibri" w:cs="Calibri" w:ascii="Calibri" w:hAnsi="Calibri"/>
                <w:b w:val="false"/>
                <w:bCs w:val="false"/>
                <w:sz w:val="20"/>
                <w:szCs w:val="20"/>
              </w:rPr>
              <w:t>La auditoría inicial de KalliCode identificó 43 hallazgos en el backend (7 bloqueantes, 18 altos) y 28 en el portal (4 bloqueantes, 12 altos) concentrados en aislamiento multi-tenant, seguridad de sesión e idempotencia; corregirlos es directamente análisis de vulnerabilidades y hardening bajo estándares OWASP ASVS.</w:t>
            </w:r>
          </w:p>
        </w:tc>
      </w:tr>
      <w:tr>
        <w:trPr/>
        <w:tc>
          <w:tcPr>
            <w:tcW w:w="3139" w:type="dxa"/>
            <w:tcBorders>
              <w:top w:val="single" w:sz="4" w:space="0" w:color="000000"/>
              <w:left w:val="single" w:sz="4" w:space="0" w:color="000000"/>
              <w:bottom w:val="single" w:sz="4" w:space="0" w:color="000000"/>
              <w:right w:val="single" w:sz="4" w:space="0" w:color="000000"/>
            </w:tcBorders>
          </w:tcPr>
          <w:p>
            <w:pPr>
              <w:pStyle w:val="Normal"/>
              <w:jc w:val="left"/>
              <w:rPr/>
            </w:pPr>
            <w:r>
              <w:rPr>
                <w:rFonts w:eastAsia="Calibri" w:cs="Calibri" w:ascii="Calibri" w:hAnsi="Calibri"/>
                <w:b/>
                <w:bCs/>
                <w:sz w:val="20"/>
                <w:szCs w:val="20"/>
              </w:rPr>
              <w:t>Diseño de soluciones según contexto organizacional</w:t>
            </w:r>
          </w:p>
        </w:tc>
        <w:tc>
          <w:tcPr>
            <w:tcW w:w="1569" w:type="dxa"/>
            <w:tcBorders>
              <w:top w:val="single" w:sz="4" w:space="0" w:color="000000"/>
              <w:left w:val="single" w:sz="4" w:space="0" w:color="000000"/>
              <w:bottom w:val="single" w:sz="4" w:space="0" w:color="000000"/>
              <w:right w:val="single" w:sz="4" w:space="0" w:color="000000"/>
            </w:tcBorders>
          </w:tcPr>
          <w:p>
            <w:pPr>
              <w:pStyle w:val="Normal"/>
              <w:jc w:val="left"/>
              <w:rPr/>
            </w:pPr>
            <w:r>
              <w:rPr>
                <w:rFonts w:eastAsia="Calibri" w:cs="Calibri" w:ascii="Calibri" w:hAnsi="Calibri"/>
                <w:b w:val="false"/>
                <w:bCs w:val="false"/>
                <w:sz w:val="20"/>
                <w:szCs w:val="20"/>
              </w:rPr>
              <w:t>Alto dominio</w:t>
            </w:r>
          </w:p>
        </w:tc>
        <w:tc>
          <w:tcPr>
            <w:tcW w:w="4318" w:type="dxa"/>
            <w:tcBorders>
              <w:top w:val="single" w:sz="4" w:space="0" w:color="000000"/>
              <w:left w:val="single" w:sz="4" w:space="0" w:color="000000"/>
              <w:bottom w:val="single" w:sz="4" w:space="0" w:color="000000"/>
              <w:right w:val="single" w:sz="4" w:space="0" w:color="000000"/>
            </w:tcBorders>
          </w:tcPr>
          <w:p>
            <w:pPr>
              <w:pStyle w:val="Normal"/>
              <w:jc w:val="left"/>
              <w:rPr/>
            </w:pPr>
            <w:r>
              <w:rPr>
                <w:rFonts w:eastAsia="Calibri" w:cs="Calibri" w:ascii="Calibri" w:hAnsi="Calibri"/>
                <w:b w:val="false"/>
                <w:bCs w:val="false"/>
                <w:sz w:val="20"/>
                <w:szCs w:val="20"/>
              </w:rPr>
              <w:t>El aislamiento por organización (RLS), el control de acceso (RBAC) y la red privada con mTLS para la API interna responden a un contexto SaaS multi-tenant donde una falla de aislamiento es un incidente de seguridad real, no solo un defecto funcional.</w:t>
            </w:r>
          </w:p>
        </w:tc>
      </w:tr>
      <w:tr>
        <w:trPr/>
        <w:tc>
          <w:tcPr>
            <w:tcW w:w="3139" w:type="dxa"/>
            <w:tcBorders>
              <w:top w:val="single" w:sz="4" w:space="0" w:color="000000"/>
              <w:left w:val="single" w:sz="4" w:space="0" w:color="000000"/>
              <w:bottom w:val="single" w:sz="4" w:space="0" w:color="000000"/>
              <w:right w:val="single" w:sz="4" w:space="0" w:color="000000"/>
            </w:tcBorders>
          </w:tcPr>
          <w:p>
            <w:pPr>
              <w:pStyle w:val="Normal"/>
              <w:jc w:val="left"/>
              <w:rPr>
                <w:rFonts w:ascii="Calibri" w:hAnsi="Calibri" w:eastAsia="Calibri" w:cs="Calibri"/>
                <w:b/>
                <w:bCs/>
                <w:sz w:val="20"/>
                <w:szCs w:val="20"/>
              </w:rPr>
            </w:pPr>
            <w:r>
              <w:rPr/>
            </w:r>
          </w:p>
          <w:p>
            <w:pPr>
              <w:pStyle w:val="Normal"/>
              <w:jc w:val="left"/>
              <w:rPr/>
            </w:pPr>
            <w:r>
              <w:rPr>
                <w:rFonts w:eastAsia="Calibri" w:cs="Calibri" w:ascii="Calibri" w:hAnsi="Calibri"/>
                <w:b/>
                <w:bCs/>
                <w:sz w:val="20"/>
                <w:szCs w:val="20"/>
              </w:rPr>
              <w:t>Gestión de riesgos para proyectos</w:t>
            </w:r>
          </w:p>
        </w:tc>
        <w:tc>
          <w:tcPr>
            <w:tcW w:w="1569" w:type="dxa"/>
            <w:tcBorders>
              <w:top w:val="single" w:sz="4" w:space="0" w:color="000000"/>
              <w:left w:val="single" w:sz="4" w:space="0" w:color="000000"/>
              <w:bottom w:val="single" w:sz="4" w:space="0" w:color="000000"/>
              <w:right w:val="single" w:sz="4" w:space="0" w:color="000000"/>
            </w:tcBorders>
          </w:tcPr>
          <w:p>
            <w:pPr>
              <w:pStyle w:val="Normal"/>
              <w:jc w:val="left"/>
              <w:rPr>
                <w:rFonts w:ascii="Calibri" w:hAnsi="Calibri" w:eastAsia="Calibri" w:cs="Calibri"/>
                <w:b w:val="false"/>
                <w:bCs w:val="false"/>
                <w:sz w:val="20"/>
                <w:szCs w:val="20"/>
              </w:rPr>
            </w:pPr>
            <w:r>
              <w:rPr/>
            </w:r>
          </w:p>
          <w:p>
            <w:pPr>
              <w:pStyle w:val="Normal"/>
              <w:jc w:val="left"/>
              <w:rPr/>
            </w:pPr>
            <w:r>
              <w:rPr>
                <w:rFonts w:eastAsia="Calibri" w:cs="Calibri" w:ascii="Calibri" w:hAnsi="Calibri"/>
                <w:b w:val="false"/>
                <w:bCs w:val="false"/>
                <w:sz w:val="20"/>
                <w:szCs w:val="20"/>
              </w:rPr>
              <w:t>Alto dominio</w:t>
            </w:r>
          </w:p>
        </w:tc>
        <w:tc>
          <w:tcPr>
            <w:tcW w:w="4318" w:type="dxa"/>
            <w:tcBorders>
              <w:top w:val="single" w:sz="4" w:space="0" w:color="000000"/>
              <w:left w:val="single" w:sz="4" w:space="0" w:color="000000"/>
              <w:bottom w:val="single" w:sz="4" w:space="0" w:color="000000"/>
              <w:right w:val="single" w:sz="4" w:space="0" w:color="000000"/>
            </w:tcBorders>
          </w:tcPr>
          <w:p>
            <w:pPr>
              <w:pStyle w:val="Normal"/>
              <w:jc w:val="left"/>
              <w:rPr>
                <w:rFonts w:ascii="Calibri" w:hAnsi="Calibri" w:eastAsia="Calibri" w:cs="Calibri"/>
                <w:b w:val="false"/>
                <w:bCs w:val="false"/>
                <w:sz w:val="20"/>
                <w:szCs w:val="20"/>
              </w:rPr>
            </w:pPr>
            <w:r>
              <w:rPr/>
            </w:r>
          </w:p>
          <w:p>
            <w:pPr>
              <w:pStyle w:val="Normal"/>
              <w:jc w:val="left"/>
              <w:rPr/>
            </w:pPr>
            <w:r>
              <w:rPr>
                <w:rFonts w:eastAsia="Calibri" w:cs="Calibri" w:ascii="Calibri" w:hAnsi="Calibri"/>
                <w:b w:val="false"/>
                <w:bCs w:val="false"/>
                <w:sz w:val="20"/>
                <w:szCs w:val="20"/>
              </w:rPr>
              <w:t>Cada subproyecto documenta una matriz de riesgos con probabilidad, impacto y mitigación, revisada en cada sprint, práctica directamente transferible al análisis de riesgo de seguridad (probabilidad de explotación / impacto de un hallazgo).</w:t>
            </w:r>
          </w:p>
        </w:tc>
      </w:tr>
      <w:tr>
        <w:trPr/>
        <w:tc>
          <w:tcPr>
            <w:tcW w:w="3139" w:type="dxa"/>
            <w:tcBorders>
              <w:top w:val="single" w:sz="4" w:space="0" w:color="000000"/>
              <w:left w:val="single" w:sz="4" w:space="0" w:color="000000"/>
              <w:bottom w:val="single" w:sz="4" w:space="0" w:color="000000"/>
              <w:right w:val="single" w:sz="4" w:space="0" w:color="000000"/>
            </w:tcBorders>
          </w:tcPr>
          <w:p>
            <w:pPr>
              <w:pStyle w:val="Normal"/>
              <w:jc w:val="left"/>
              <w:rPr/>
            </w:pPr>
            <w:r>
              <w:rPr>
                <w:rFonts w:eastAsia="Calibri" w:cs="Calibri" w:ascii="Calibri" w:hAnsi="Calibri"/>
                <w:b/>
                <w:bCs/>
                <w:sz w:val="20"/>
                <w:szCs w:val="20"/>
              </w:rPr>
              <w:t>Diseño de soluciones de software innovadoras y de calidad</w:t>
            </w:r>
          </w:p>
        </w:tc>
        <w:tc>
          <w:tcPr>
            <w:tcW w:w="1569" w:type="dxa"/>
            <w:tcBorders>
              <w:top w:val="single" w:sz="4" w:space="0" w:color="000000"/>
              <w:left w:val="single" w:sz="4" w:space="0" w:color="000000"/>
              <w:bottom w:val="single" w:sz="4" w:space="0" w:color="000000"/>
              <w:right w:val="single" w:sz="4" w:space="0" w:color="000000"/>
            </w:tcBorders>
          </w:tcPr>
          <w:p>
            <w:pPr>
              <w:pStyle w:val="Normal"/>
              <w:jc w:val="left"/>
              <w:rPr/>
            </w:pPr>
            <w:r>
              <w:rPr>
                <w:rFonts w:eastAsia="Calibri" w:cs="Calibri" w:ascii="Calibri" w:hAnsi="Calibri"/>
                <w:b w:val="false"/>
                <w:bCs w:val="false"/>
                <w:sz w:val="20"/>
                <w:szCs w:val="20"/>
              </w:rPr>
              <w:t>Alto dominio</w:t>
            </w:r>
          </w:p>
        </w:tc>
        <w:tc>
          <w:tcPr>
            <w:tcW w:w="4318" w:type="dxa"/>
            <w:tcBorders>
              <w:top w:val="single" w:sz="4" w:space="0" w:color="000000"/>
              <w:left w:val="single" w:sz="4" w:space="0" w:color="000000"/>
              <w:bottom w:val="single" w:sz="4" w:space="0" w:color="000000"/>
              <w:right w:val="single" w:sz="4" w:space="0" w:color="000000"/>
            </w:tcBorders>
          </w:tcPr>
          <w:p>
            <w:pPr>
              <w:pStyle w:val="Normal"/>
              <w:jc w:val="left"/>
              <w:rPr/>
            </w:pPr>
            <w:r>
              <w:rPr>
                <w:rFonts w:eastAsia="Calibri" w:cs="Calibri" w:ascii="Calibri" w:hAnsi="Calibri"/>
                <w:b w:val="false"/>
                <w:bCs w:val="false"/>
                <w:sz w:val="20"/>
                <w:szCs w:val="20"/>
              </w:rPr>
              <w:t>El pipeline de KalliCode exige controles de calidad explícitos (linter, pruebas, revisión, puertas de CI) y una Definición de Terminado verificable por ticket, incluyendo pruebas de seguridad como parte del gate.</w:t>
            </w:r>
          </w:p>
        </w:tc>
      </w:tr>
      <w:tr>
        <w:trPr/>
        <w:tc>
          <w:tcPr>
            <w:tcW w:w="3139" w:type="dxa"/>
            <w:tcBorders>
              <w:top w:val="single" w:sz="4" w:space="0" w:color="000000"/>
              <w:left w:val="single" w:sz="4" w:space="0" w:color="000000"/>
              <w:bottom w:val="single" w:sz="4" w:space="0" w:color="000000"/>
              <w:right w:val="single" w:sz="4" w:space="0" w:color="000000"/>
            </w:tcBorders>
          </w:tcPr>
          <w:p>
            <w:pPr>
              <w:pStyle w:val="Normal"/>
              <w:jc w:val="left"/>
              <w:rPr/>
            </w:pPr>
            <w:r>
              <w:rPr>
                <w:rFonts w:eastAsia="Calibri" w:cs="Calibri" w:ascii="Calibri" w:hAnsi="Calibri"/>
                <w:b/>
                <w:bCs/>
                <w:sz w:val="20"/>
                <w:szCs w:val="20"/>
              </w:rPr>
              <w:t>Diseño y proceso de ingeniería de requisitos</w:t>
            </w:r>
          </w:p>
        </w:tc>
        <w:tc>
          <w:tcPr>
            <w:tcW w:w="1569" w:type="dxa"/>
            <w:tcBorders>
              <w:top w:val="single" w:sz="4" w:space="0" w:color="000000"/>
              <w:left w:val="single" w:sz="4" w:space="0" w:color="000000"/>
              <w:bottom w:val="single" w:sz="4" w:space="0" w:color="000000"/>
              <w:right w:val="single" w:sz="4" w:space="0" w:color="000000"/>
            </w:tcBorders>
          </w:tcPr>
          <w:p>
            <w:pPr>
              <w:pStyle w:val="Normal"/>
              <w:jc w:val="left"/>
              <w:rPr/>
            </w:pPr>
            <w:r>
              <w:rPr>
                <w:rFonts w:eastAsia="Calibri" w:cs="Calibri" w:ascii="Calibri" w:hAnsi="Calibri"/>
                <w:b w:val="false"/>
                <w:bCs w:val="false"/>
                <w:sz w:val="20"/>
                <w:szCs w:val="20"/>
              </w:rPr>
              <w:t>Alto dominio</w:t>
            </w:r>
          </w:p>
        </w:tc>
        <w:tc>
          <w:tcPr>
            <w:tcW w:w="4318" w:type="dxa"/>
            <w:tcBorders>
              <w:top w:val="single" w:sz="4" w:space="0" w:color="000000"/>
              <w:left w:val="single" w:sz="4" w:space="0" w:color="000000"/>
              <w:bottom w:val="single" w:sz="4" w:space="0" w:color="000000"/>
              <w:right w:val="single" w:sz="4" w:space="0" w:color="000000"/>
            </w:tcBorders>
          </w:tcPr>
          <w:p>
            <w:pPr>
              <w:pStyle w:val="Normal"/>
              <w:jc w:val="left"/>
              <w:rPr/>
            </w:pPr>
            <w:r>
              <w:rPr>
                <w:rFonts w:eastAsia="Calibri" w:cs="Calibri" w:ascii="Calibri" w:hAnsi="Calibri"/>
                <w:b w:val="false"/>
                <w:bCs w:val="false"/>
                <w:sz w:val="20"/>
                <w:szCs w:val="20"/>
              </w:rPr>
              <w:t>Los 79 endpoints del backend y las pantallas del portal se derivan de documentos de especificación formal que el proyecto exige auditar y trazar hallazgo a hallazgo, incluyendo los hallazgos de seguridad detectados en la auditoría inicial.</w:t>
            </w:r>
          </w:p>
        </w:tc>
      </w:tr>
      <w:tr>
        <w:trPr/>
        <w:tc>
          <w:tcPr>
            <w:tcW w:w="3139" w:type="dxa"/>
            <w:tcBorders>
              <w:top w:val="single" w:sz="4" w:space="0" w:color="000000"/>
              <w:left w:val="single" w:sz="4" w:space="0" w:color="000000"/>
              <w:bottom w:val="single" w:sz="4" w:space="0" w:color="000000"/>
              <w:right w:val="single" w:sz="4" w:space="0" w:color="000000"/>
            </w:tcBorders>
          </w:tcPr>
          <w:p>
            <w:pPr>
              <w:pStyle w:val="Normal"/>
              <w:jc w:val="left"/>
              <w:rPr/>
            </w:pPr>
            <w:r>
              <w:rPr>
                <w:rFonts w:eastAsia="Calibri" w:cs="Calibri" w:ascii="Calibri" w:hAnsi="Calibri"/>
                <w:b/>
                <w:bCs/>
                <w:sz w:val="20"/>
                <w:szCs w:val="20"/>
              </w:rPr>
              <w:t>Diseño de software según ciclo de vida de software</w:t>
            </w:r>
          </w:p>
        </w:tc>
        <w:tc>
          <w:tcPr>
            <w:tcW w:w="1569" w:type="dxa"/>
            <w:tcBorders>
              <w:top w:val="single" w:sz="4" w:space="0" w:color="000000"/>
              <w:left w:val="single" w:sz="4" w:space="0" w:color="000000"/>
              <w:bottom w:val="single" w:sz="4" w:space="0" w:color="000000"/>
              <w:right w:val="single" w:sz="4" w:space="0" w:color="000000"/>
            </w:tcBorders>
          </w:tcPr>
          <w:p>
            <w:pPr>
              <w:pStyle w:val="Normal"/>
              <w:jc w:val="left"/>
              <w:rPr/>
            </w:pPr>
            <w:r>
              <w:rPr>
                <w:rFonts w:eastAsia="Calibri" w:cs="Calibri" w:ascii="Calibri" w:hAnsi="Calibri"/>
                <w:b w:val="false"/>
                <w:bCs w:val="false"/>
                <w:sz w:val="20"/>
                <w:szCs w:val="20"/>
              </w:rPr>
              <w:t>Alto dominio</w:t>
            </w:r>
          </w:p>
        </w:tc>
        <w:tc>
          <w:tcPr>
            <w:tcW w:w="4318" w:type="dxa"/>
            <w:tcBorders>
              <w:top w:val="single" w:sz="4" w:space="0" w:color="000000"/>
              <w:left w:val="single" w:sz="4" w:space="0" w:color="000000"/>
              <w:bottom w:val="single" w:sz="4" w:space="0" w:color="000000"/>
              <w:right w:val="single" w:sz="4" w:space="0" w:color="000000"/>
            </w:tcBorders>
          </w:tcPr>
          <w:p>
            <w:pPr>
              <w:pStyle w:val="Normal"/>
              <w:jc w:val="left"/>
              <w:rPr/>
            </w:pPr>
            <w:r>
              <w:rPr>
                <w:rFonts w:eastAsia="Calibri" w:cs="Calibri" w:ascii="Calibri" w:hAnsi="Calibri"/>
                <w:b w:val="false"/>
                <w:bCs w:val="false"/>
                <w:sz w:val="20"/>
                <w:szCs w:val="20"/>
              </w:rPr>
              <w:t>El plan cubre auditoría, remediación, construcción y estabilización dentro de un marco Scrum de 12 sprints, con controles de seguridad (gates) incorporados en cada fase y no solo al final del proyecto.</w:t>
            </w:r>
          </w:p>
        </w:tc>
      </w:tr>
      <w:tr>
        <w:trPr/>
        <w:tc>
          <w:tcPr>
            <w:tcW w:w="3139" w:type="dxa"/>
            <w:tcBorders>
              <w:top w:val="single" w:sz="4" w:space="0" w:color="000000"/>
              <w:left w:val="single" w:sz="4" w:space="0" w:color="000000"/>
              <w:bottom w:val="single" w:sz="4" w:space="0" w:color="000000"/>
              <w:right w:val="single" w:sz="4" w:space="0" w:color="000000"/>
            </w:tcBorders>
          </w:tcPr>
          <w:p>
            <w:pPr>
              <w:pStyle w:val="Normal"/>
              <w:jc w:val="left"/>
              <w:rPr/>
            </w:pPr>
            <w:r>
              <w:rPr>
                <w:rFonts w:eastAsia="Calibri" w:cs="Calibri" w:ascii="Calibri" w:hAnsi="Calibri"/>
                <w:b/>
                <w:bCs/>
                <w:sz w:val="20"/>
                <w:szCs w:val="20"/>
              </w:rPr>
              <w:t>Conocimiento sobre arquitecturas en la nube</w:t>
            </w:r>
          </w:p>
        </w:tc>
        <w:tc>
          <w:tcPr>
            <w:tcW w:w="1569" w:type="dxa"/>
            <w:tcBorders>
              <w:top w:val="single" w:sz="4" w:space="0" w:color="000000"/>
              <w:left w:val="single" w:sz="4" w:space="0" w:color="000000"/>
              <w:bottom w:val="single" w:sz="4" w:space="0" w:color="000000"/>
              <w:right w:val="single" w:sz="4" w:space="0" w:color="000000"/>
            </w:tcBorders>
          </w:tcPr>
          <w:p>
            <w:pPr>
              <w:pStyle w:val="Normal"/>
              <w:jc w:val="left"/>
              <w:rPr/>
            </w:pPr>
            <w:r>
              <w:rPr>
                <w:rFonts w:eastAsia="Calibri" w:cs="Calibri" w:ascii="Calibri" w:hAnsi="Calibri"/>
                <w:b w:val="false"/>
                <w:bCs w:val="false"/>
                <w:sz w:val="20"/>
                <w:szCs w:val="20"/>
              </w:rPr>
              <w:t>Alto dominio</w:t>
            </w:r>
          </w:p>
        </w:tc>
        <w:tc>
          <w:tcPr>
            <w:tcW w:w="4318" w:type="dxa"/>
            <w:tcBorders>
              <w:top w:val="single" w:sz="4" w:space="0" w:color="000000"/>
              <w:left w:val="single" w:sz="4" w:space="0" w:color="000000"/>
              <w:bottom w:val="single" w:sz="4" w:space="0" w:color="000000"/>
              <w:right w:val="single" w:sz="4" w:space="0" w:color="000000"/>
            </w:tcBorders>
          </w:tcPr>
          <w:p>
            <w:pPr>
              <w:pStyle w:val="Normal"/>
              <w:jc w:val="left"/>
              <w:rPr/>
            </w:pPr>
            <w:r>
              <w:rPr>
                <w:rFonts w:eastAsia="Calibri" w:cs="Calibri" w:ascii="Calibri" w:hAnsi="Calibri"/>
                <w:b w:val="false"/>
                <w:bCs w:val="false"/>
                <w:sz w:val="20"/>
                <w:szCs w:val="20"/>
              </w:rPr>
              <w:t>El backend define despliegue en contenedores, red privada con mTLS para la API interna y una arquitectura pensada para nube pública (GCP/AWS), lo que conecta con la certificación AWS Cloud Practitioner ya obtenida.</w:t>
            </w:r>
          </w:p>
        </w:tc>
      </w:tr>
      <w:tr>
        <w:trPr/>
        <w:tc>
          <w:tcPr>
            <w:tcW w:w="3139" w:type="dxa"/>
            <w:tcBorders>
              <w:top w:val="single" w:sz="4" w:space="0" w:color="000000"/>
              <w:left w:val="single" w:sz="4" w:space="0" w:color="000000"/>
              <w:bottom w:val="single" w:sz="4" w:space="0" w:color="000000"/>
              <w:right w:val="single" w:sz="4" w:space="0" w:color="000000"/>
            </w:tcBorders>
          </w:tcPr>
          <w:p>
            <w:pPr>
              <w:pStyle w:val="Normal"/>
              <w:jc w:val="left"/>
              <w:rPr/>
            </w:pPr>
            <w:r>
              <w:rPr>
                <w:rFonts w:eastAsia="Calibri" w:cs="Calibri" w:ascii="Calibri" w:hAnsi="Calibri"/>
                <w:b/>
                <w:bCs/>
                <w:sz w:val="20"/>
                <w:szCs w:val="20"/>
              </w:rPr>
              <w:t>Automatización de procesos a través de ciencia de datos</w:t>
            </w:r>
          </w:p>
        </w:tc>
        <w:tc>
          <w:tcPr>
            <w:tcW w:w="1569" w:type="dxa"/>
            <w:tcBorders>
              <w:top w:val="single" w:sz="4" w:space="0" w:color="000000"/>
              <w:left w:val="single" w:sz="4" w:space="0" w:color="000000"/>
              <w:bottom w:val="single" w:sz="4" w:space="0" w:color="000000"/>
              <w:right w:val="single" w:sz="4" w:space="0" w:color="000000"/>
            </w:tcBorders>
          </w:tcPr>
          <w:p>
            <w:pPr>
              <w:pStyle w:val="Normal"/>
              <w:jc w:val="left"/>
              <w:rPr/>
            </w:pPr>
            <w:r>
              <w:rPr>
                <w:rFonts w:eastAsia="Calibri" w:cs="Calibri" w:ascii="Calibri" w:hAnsi="Calibri"/>
                <w:b w:val="false"/>
                <w:bCs w:val="false"/>
                <w:sz w:val="20"/>
                <w:szCs w:val="20"/>
              </w:rPr>
              <w:t>Dominio medio</w:t>
            </w:r>
          </w:p>
        </w:tc>
        <w:tc>
          <w:tcPr>
            <w:tcW w:w="4318" w:type="dxa"/>
            <w:tcBorders>
              <w:top w:val="single" w:sz="4" w:space="0" w:color="000000"/>
              <w:left w:val="single" w:sz="4" w:space="0" w:color="000000"/>
              <w:bottom w:val="single" w:sz="4" w:space="0" w:color="000000"/>
              <w:right w:val="single" w:sz="4" w:space="0" w:color="000000"/>
            </w:tcBorders>
          </w:tcPr>
          <w:p>
            <w:pPr>
              <w:pStyle w:val="Normal"/>
              <w:jc w:val="left"/>
              <w:rPr/>
            </w:pPr>
            <w:r>
              <w:rPr>
                <w:rFonts w:eastAsia="Calibri" w:cs="Calibri" w:ascii="Calibri" w:hAnsi="Calibri"/>
                <w:b w:val="false"/>
                <w:bCs w:val="false"/>
                <w:sz w:val="20"/>
                <w:szCs w:val="20"/>
              </w:rPr>
              <w:t>El motor de IA clasifica tickets y genera código mediante tres tiers de modelos de lenguaje; el interés aquí es acotado, principalmente en cómo estos flujos automatizados pueden introducir nuevas superficies de ataque que deben ser controladas.</w:t>
            </w:r>
          </w:p>
        </w:tc>
      </w:tr>
    </w:tbl>
    <w:p>
      <w:pPr>
        <w:pStyle w:val="Normal"/>
        <w:spacing w:before="0" w:after="160"/>
        <w:jc w:val="both"/>
        <w:rPr/>
      </w:pPr>
      <w:r>
        <w:rPr>
          <w:rFonts w:eastAsia="Calibri" w:cs="Calibri" w:ascii="Calibri" w:hAnsi="Calibri"/>
          <w:b w:val="false"/>
          <w:bCs w:val="false"/>
          <w:i w:val="false"/>
          <w:iCs w:val="false"/>
          <w:sz w:val="22"/>
          <w:szCs w:val="22"/>
        </w:rPr>
        <w:t>La competencia de mayor dominio autoevaluado —resolver vulnerabilidades sistémicas para cumplir las normas de seguridad exigidas por la industria— es también el eje que da sentido personal al proyecto: los 43 hallazgos del backend y los 28 del portal no son un listado de tareas más, sino el mismo tipo de trabajo de análisis de vectores de ataque y mitigación de riesgos que he practicado en mis certificaciones de ciberseguridad.</w:t>
      </w:r>
    </w:p>
    <w:p>
      <w:pPr>
        <w:pStyle w:val="Heading2"/>
        <w:spacing w:before="240" w:after="120"/>
        <w:rPr/>
      </w:pPr>
      <w:r>
        <w:rPr/>
      </w:r>
      <w:r>
        <w:br w:type="page"/>
      </w:r>
    </w:p>
    <w:p>
      <w:pPr>
        <w:pStyle w:val="Heading2"/>
        <w:spacing w:before="240" w:after="120"/>
        <w:rPr/>
      </w:pPr>
      <w:r>
        <w:rPr/>
        <w:t>3. Relación del proyecto con los intereses profesionales</w:t>
      </w:r>
    </w:p>
    <w:p>
      <w:pPr>
        <w:pStyle w:val="Normal"/>
        <w:spacing w:before="0" w:after="160"/>
        <w:jc w:val="both"/>
        <w:rPr/>
      </w:pPr>
      <w:r>
        <w:rPr>
          <w:rFonts w:eastAsia="Calibri" w:cs="Calibri" w:ascii="Calibri" w:hAnsi="Calibri"/>
          <w:b w:val="false"/>
          <w:bCs w:val="false"/>
          <w:i w:val="false"/>
          <w:iCs w:val="false"/>
          <w:sz w:val="22"/>
          <w:szCs w:val="22"/>
        </w:rPr>
        <w:t>Mi interés profesional se concentra en la ciberseguridad integral, abarcando tanto el enfoque defensivo (Blue Team: detección, monitoreo, hardening y respuesta a incidentes) como el ofensivo (Red Team: pentesting ético, auditoría y análisis de vulnerabilidades), complementado con conocimientos de arquitectura en la nube. He cursado toda la línea de ciberseguridad ofrecida mediante CertiProf/Certifika, obteniendo 3 certificaciones en esa área, además de la certificación AWS Cloud Practitioner, y actualmente sigo sacando certificaciones adicionales para reforzar mi perfil.</w:t>
      </w:r>
    </w:p>
    <w:p>
      <w:pPr>
        <w:pStyle w:val="Normal"/>
        <w:spacing w:before="0" w:after="160"/>
        <w:jc w:val="both"/>
        <w:rPr/>
      </w:pPr>
      <w:r>
        <w:rPr>
          <w:rFonts w:eastAsia="Calibri" w:cs="Calibri" w:ascii="Calibri" w:hAnsi="Calibri"/>
          <w:b w:val="false"/>
          <w:bCs w:val="false"/>
          <w:i w:val="false"/>
          <w:iCs w:val="false"/>
          <w:sz w:val="22"/>
          <w:szCs w:val="22"/>
        </w:rPr>
        <w:t>KalliCode ofrece evidencia concreta para ese interés: la auditoría inicial del backend y el portal concentra sus hallazgos bloqueantes y altos en aislamiento multi-tenant, seguridad de sesión e idempotencia del pipeline, es decir, exactamente el tipo de vectores de ataque y brechas de seguridad que he analizado durante mis certificaciones. El despliegue en contenedores con red privada y mTLS para la API interna, y la arquitectura pensada para nube pública (GCP/AWS), conectan directamente con mi certificación AWS Cloud Practitioner. Esta coincidencia entre mis intereses declarados y el contenido técnico del proyecto reduce el riesgo de abandono durante las doce semanas y me permite orientar mi aporte al equipo hacia la corrección de vulnerabilidades y el endurecimiento (hardening) de la plataforma, en línea con el escenario laboral que busco a futuro: trabajar en una empresa dedicada a la ciberseguridad, idealmente en el extranjero, aunque sin descartar oportunidades en Chile.</w:t>
      </w:r>
    </w:p>
    <w:p>
      <w:pPr>
        <w:pStyle w:val="Heading2"/>
        <w:spacing w:before="240" w:after="120"/>
        <w:rPr/>
      </w:pPr>
      <w:r>
        <w:rPr/>
        <w:t>4. Argumento de factibilidad del proyecto dentro de la asignatura</w:t>
      </w:r>
    </w:p>
    <w:p>
      <w:pPr>
        <w:pStyle w:val="Normal"/>
        <w:spacing w:before="0" w:after="160"/>
        <w:jc w:val="both"/>
        <w:rPr/>
      </w:pPr>
      <w:r>
        <w:rPr>
          <w:rFonts w:eastAsia="Calibri" w:cs="Calibri" w:ascii="Calibri" w:hAnsi="Calibri"/>
          <w:b w:val="false"/>
          <w:bCs w:val="false"/>
          <w:i w:val="false"/>
          <w:iCs w:val="false"/>
          <w:sz w:val="22"/>
          <w:szCs w:val="22"/>
        </w:rPr>
        <w:t>La factibilidad dentro del tiempo y el formato de la asignatura se sostiene en cuatro argumentos verificables en el propio diseño del programa:</w:t>
      </w:r>
    </w:p>
    <w:p>
      <w:pPr>
        <w:pStyle w:val="ListParagraph"/>
        <w:numPr>
          <w:ilvl w:val="0"/>
          <w:numId w:val="3"/>
        </w:numPr>
        <w:spacing w:before="0" w:after="100"/>
        <w:jc w:val="both"/>
        <w:rPr/>
      </w:pPr>
      <w:r>
        <w:rPr>
          <w:rFonts w:eastAsia="Calibri" w:cs="Calibri" w:ascii="Calibri" w:hAnsi="Calibri"/>
          <w:sz w:val="22"/>
          <w:szCs w:val="22"/>
        </w:rPr>
        <w:t>Hitos objetivos y medibles: el programa define seis hitos con criterio de cumplimiento demostrable en cada Sprint Review.</w:t>
      </w:r>
    </w:p>
    <w:tbl>
      <w:tblPr>
        <w:tblW w:w="5000" w:type="pct"/>
        <w:jc w:val="left"/>
        <w:tblInd w:w="0" w:type="dxa"/>
        <w:tblLayout w:type="fixed"/>
        <w:tblCellMar>
          <w:top w:w="80" w:type="dxa"/>
          <w:left w:w="100" w:type="dxa"/>
          <w:bottom w:w="80" w:type="dxa"/>
          <w:right w:w="100" w:type="dxa"/>
        </w:tblCellMar>
      </w:tblPr>
      <w:tblGrid>
        <w:gridCol w:w="3384"/>
        <w:gridCol w:w="1316"/>
        <w:gridCol w:w="4326"/>
      </w:tblGrid>
      <w:tr>
        <w:trPr/>
        <w:tc>
          <w:tcPr>
            <w:tcW w:w="3384" w:type="dxa"/>
            <w:tcBorders>
              <w:top w:val="single" w:sz="4" w:space="0" w:color="000000"/>
              <w:left w:val="single" w:sz="4" w:space="0" w:color="000000"/>
              <w:bottom w:val="single" w:sz="4" w:space="0" w:color="000000"/>
              <w:right w:val="single" w:sz="4" w:space="0" w:color="000000"/>
            </w:tcBorders>
            <w:shd w:color="auto" w:fill="1F4E5F" w:val="clear"/>
          </w:tcPr>
          <w:p>
            <w:pPr>
              <w:pStyle w:val="Normal"/>
              <w:jc w:val="left"/>
              <w:rPr/>
            </w:pPr>
            <w:r>
              <w:rPr>
                <w:rFonts w:eastAsia="Calibri" w:cs="Calibri" w:ascii="Calibri" w:hAnsi="Calibri"/>
                <w:b/>
                <w:bCs/>
                <w:color w:val="FFFFFF"/>
                <w:sz w:val="20"/>
                <w:szCs w:val="20"/>
              </w:rPr>
              <w:t>Hito</w:t>
            </w:r>
          </w:p>
        </w:tc>
        <w:tc>
          <w:tcPr>
            <w:tcW w:w="1316" w:type="dxa"/>
            <w:tcBorders>
              <w:top w:val="single" w:sz="4" w:space="0" w:color="000000"/>
              <w:left w:val="single" w:sz="4" w:space="0" w:color="000000"/>
              <w:bottom w:val="single" w:sz="4" w:space="0" w:color="000000"/>
              <w:right w:val="single" w:sz="4" w:space="0" w:color="000000"/>
            </w:tcBorders>
            <w:shd w:color="auto" w:fill="1F4E5F" w:val="clear"/>
          </w:tcPr>
          <w:p>
            <w:pPr>
              <w:pStyle w:val="Normal"/>
              <w:jc w:val="left"/>
              <w:rPr/>
            </w:pPr>
            <w:r>
              <w:rPr>
                <w:rFonts w:eastAsia="Calibri" w:cs="Calibri" w:ascii="Calibri" w:hAnsi="Calibri"/>
                <w:b/>
                <w:bCs/>
                <w:color w:val="FFFFFF"/>
                <w:sz w:val="20"/>
                <w:szCs w:val="20"/>
              </w:rPr>
              <w:t>Sprint</w:t>
            </w:r>
          </w:p>
        </w:tc>
        <w:tc>
          <w:tcPr>
            <w:tcW w:w="4326" w:type="dxa"/>
            <w:tcBorders>
              <w:top w:val="single" w:sz="4" w:space="0" w:color="000000"/>
              <w:left w:val="single" w:sz="4" w:space="0" w:color="000000"/>
              <w:bottom w:val="single" w:sz="4" w:space="0" w:color="000000"/>
              <w:right w:val="single" w:sz="4" w:space="0" w:color="000000"/>
            </w:tcBorders>
            <w:shd w:color="auto" w:fill="1F4E5F" w:val="clear"/>
          </w:tcPr>
          <w:p>
            <w:pPr>
              <w:pStyle w:val="Normal"/>
              <w:jc w:val="left"/>
              <w:rPr/>
            </w:pPr>
            <w:r>
              <w:rPr>
                <w:rFonts w:eastAsia="Calibri" w:cs="Calibri" w:ascii="Calibri" w:hAnsi="Calibri"/>
                <w:b/>
                <w:bCs/>
                <w:color w:val="FFFFFF"/>
                <w:sz w:val="20"/>
                <w:szCs w:val="20"/>
              </w:rPr>
              <w:t>Criterio de cumplimiento</w:t>
            </w:r>
          </w:p>
        </w:tc>
      </w:tr>
      <w:tr>
        <w:trPr/>
        <w:tc>
          <w:tcPr>
            <w:tcW w:w="3384" w:type="dxa"/>
            <w:tcBorders>
              <w:top w:val="single" w:sz="4" w:space="0" w:color="000000"/>
              <w:left w:val="single" w:sz="4" w:space="0" w:color="000000"/>
              <w:bottom w:val="single" w:sz="4" w:space="0" w:color="000000"/>
              <w:right w:val="single" w:sz="4" w:space="0" w:color="000000"/>
            </w:tcBorders>
          </w:tcPr>
          <w:p>
            <w:pPr>
              <w:pStyle w:val="Normal"/>
              <w:jc w:val="left"/>
              <w:rPr/>
            </w:pPr>
            <w:r>
              <w:rPr>
                <w:rFonts w:eastAsia="Calibri" w:cs="Calibri" w:ascii="Calibri" w:hAnsi="Calibri"/>
                <w:b/>
                <w:bCs/>
                <w:sz w:val="20"/>
                <w:szCs w:val="20"/>
              </w:rPr>
              <w:t>M1 — Base ejecutable y verificable</w:t>
            </w:r>
          </w:p>
        </w:tc>
        <w:tc>
          <w:tcPr>
            <w:tcW w:w="1316" w:type="dxa"/>
            <w:tcBorders>
              <w:top w:val="single" w:sz="4" w:space="0" w:color="000000"/>
              <w:left w:val="single" w:sz="4" w:space="0" w:color="000000"/>
              <w:bottom w:val="single" w:sz="4" w:space="0" w:color="000000"/>
              <w:right w:val="single" w:sz="4" w:space="0" w:color="000000"/>
            </w:tcBorders>
          </w:tcPr>
          <w:p>
            <w:pPr>
              <w:pStyle w:val="Normal"/>
              <w:jc w:val="left"/>
              <w:rPr/>
            </w:pPr>
            <w:r>
              <w:rPr>
                <w:rFonts w:eastAsia="Calibri" w:cs="Calibri" w:ascii="Calibri" w:hAnsi="Calibri"/>
                <w:b w:val="false"/>
                <w:bCs w:val="false"/>
                <w:sz w:val="20"/>
                <w:szCs w:val="20"/>
              </w:rPr>
              <w:t>S2</w:t>
            </w:r>
          </w:p>
        </w:tc>
        <w:tc>
          <w:tcPr>
            <w:tcW w:w="4326" w:type="dxa"/>
            <w:tcBorders>
              <w:top w:val="single" w:sz="4" w:space="0" w:color="000000"/>
              <w:left w:val="single" w:sz="4" w:space="0" w:color="000000"/>
              <w:bottom w:val="single" w:sz="4" w:space="0" w:color="000000"/>
              <w:right w:val="single" w:sz="4" w:space="0" w:color="000000"/>
            </w:tcBorders>
          </w:tcPr>
          <w:p>
            <w:pPr>
              <w:pStyle w:val="Normal"/>
              <w:jc w:val="left"/>
              <w:rPr/>
            </w:pPr>
            <w:r>
              <w:rPr>
                <w:rFonts w:eastAsia="Calibri" w:cs="Calibri" w:ascii="Calibri" w:hAnsi="Calibri"/>
                <w:b w:val="false"/>
                <w:bCs w:val="false"/>
                <w:sz w:val="20"/>
                <w:szCs w:val="20"/>
              </w:rPr>
              <w:t>CI en verde, aislamiento multi-tenant demostrado y contrato de API v1 congelado.</w:t>
            </w:r>
          </w:p>
        </w:tc>
      </w:tr>
      <w:tr>
        <w:trPr/>
        <w:tc>
          <w:tcPr>
            <w:tcW w:w="3384" w:type="dxa"/>
            <w:tcBorders>
              <w:top w:val="single" w:sz="4" w:space="0" w:color="000000"/>
              <w:left w:val="single" w:sz="4" w:space="0" w:color="000000"/>
              <w:bottom w:val="single" w:sz="4" w:space="0" w:color="000000"/>
              <w:right w:val="single" w:sz="4" w:space="0" w:color="000000"/>
            </w:tcBorders>
          </w:tcPr>
          <w:p>
            <w:pPr>
              <w:pStyle w:val="Normal"/>
              <w:jc w:val="left"/>
              <w:rPr/>
            </w:pPr>
            <w:r>
              <w:rPr>
                <w:rFonts w:eastAsia="Calibri" w:cs="Calibri" w:ascii="Calibri" w:hAnsi="Calibri"/>
                <w:b/>
                <w:bCs/>
                <w:sz w:val="20"/>
                <w:szCs w:val="20"/>
              </w:rPr>
              <w:t>M2 — Grafo de código en PostgreSQL</w:t>
            </w:r>
          </w:p>
        </w:tc>
        <w:tc>
          <w:tcPr>
            <w:tcW w:w="1316" w:type="dxa"/>
            <w:tcBorders>
              <w:top w:val="single" w:sz="4" w:space="0" w:color="000000"/>
              <w:left w:val="single" w:sz="4" w:space="0" w:color="000000"/>
              <w:bottom w:val="single" w:sz="4" w:space="0" w:color="000000"/>
              <w:right w:val="single" w:sz="4" w:space="0" w:color="000000"/>
            </w:tcBorders>
          </w:tcPr>
          <w:p>
            <w:pPr>
              <w:pStyle w:val="Normal"/>
              <w:jc w:val="left"/>
              <w:rPr/>
            </w:pPr>
            <w:r>
              <w:rPr>
                <w:rFonts w:eastAsia="Calibri" w:cs="Calibri" w:ascii="Calibri" w:hAnsi="Calibri"/>
                <w:b w:val="false"/>
                <w:bCs w:val="false"/>
                <w:sz w:val="20"/>
                <w:szCs w:val="20"/>
              </w:rPr>
              <w:t>S4</w:t>
            </w:r>
          </w:p>
        </w:tc>
        <w:tc>
          <w:tcPr>
            <w:tcW w:w="4326" w:type="dxa"/>
            <w:tcBorders>
              <w:top w:val="single" w:sz="4" w:space="0" w:color="000000"/>
              <w:left w:val="single" w:sz="4" w:space="0" w:color="000000"/>
              <w:bottom w:val="single" w:sz="4" w:space="0" w:color="000000"/>
              <w:right w:val="single" w:sz="4" w:space="0" w:color="000000"/>
            </w:tcBorders>
          </w:tcPr>
          <w:p>
            <w:pPr>
              <w:pStyle w:val="Normal"/>
              <w:jc w:val="left"/>
              <w:rPr/>
            </w:pPr>
            <w:r>
              <w:rPr>
                <w:rFonts w:eastAsia="Calibri" w:cs="Calibri" w:ascii="Calibri" w:hAnsi="Calibri"/>
                <w:b w:val="false"/>
                <w:bCs w:val="false"/>
                <w:sz w:val="20"/>
                <w:szCs w:val="20"/>
              </w:rPr>
              <w:t>Ingesta de un repositorio de referencia funcionando de extremo a extremo.</w:t>
            </w:r>
          </w:p>
        </w:tc>
      </w:tr>
      <w:tr>
        <w:trPr/>
        <w:tc>
          <w:tcPr>
            <w:tcW w:w="3384" w:type="dxa"/>
            <w:tcBorders>
              <w:top w:val="single" w:sz="4" w:space="0" w:color="000000"/>
              <w:left w:val="single" w:sz="4" w:space="0" w:color="000000"/>
              <w:bottom w:val="single" w:sz="4" w:space="0" w:color="000000"/>
              <w:right w:val="single" w:sz="4" w:space="0" w:color="000000"/>
            </w:tcBorders>
          </w:tcPr>
          <w:p>
            <w:pPr>
              <w:pStyle w:val="Normal"/>
              <w:jc w:val="left"/>
              <w:rPr/>
            </w:pPr>
            <w:r>
              <w:rPr>
                <w:rFonts w:eastAsia="Calibri" w:cs="Calibri" w:ascii="Calibri" w:hAnsi="Calibri"/>
                <w:b/>
                <w:bCs/>
                <w:sz w:val="20"/>
                <w:szCs w:val="20"/>
              </w:rPr>
              <w:t>M3 — Pipeline de IA de extremo a extremo</w:t>
            </w:r>
          </w:p>
        </w:tc>
        <w:tc>
          <w:tcPr>
            <w:tcW w:w="1316" w:type="dxa"/>
            <w:tcBorders>
              <w:top w:val="single" w:sz="4" w:space="0" w:color="000000"/>
              <w:left w:val="single" w:sz="4" w:space="0" w:color="000000"/>
              <w:bottom w:val="single" w:sz="4" w:space="0" w:color="000000"/>
              <w:right w:val="single" w:sz="4" w:space="0" w:color="000000"/>
            </w:tcBorders>
          </w:tcPr>
          <w:p>
            <w:pPr>
              <w:pStyle w:val="Normal"/>
              <w:jc w:val="left"/>
              <w:rPr/>
            </w:pPr>
            <w:r>
              <w:rPr>
                <w:rFonts w:eastAsia="Calibri" w:cs="Calibri" w:ascii="Calibri" w:hAnsi="Calibri"/>
                <w:b w:val="false"/>
                <w:bCs w:val="false"/>
                <w:sz w:val="20"/>
                <w:szCs w:val="20"/>
              </w:rPr>
              <w:t>S6</w:t>
            </w:r>
          </w:p>
        </w:tc>
        <w:tc>
          <w:tcPr>
            <w:tcW w:w="4326" w:type="dxa"/>
            <w:tcBorders>
              <w:top w:val="single" w:sz="4" w:space="0" w:color="000000"/>
              <w:left w:val="single" w:sz="4" w:space="0" w:color="000000"/>
              <w:bottom w:val="single" w:sz="4" w:space="0" w:color="000000"/>
              <w:right w:val="single" w:sz="4" w:space="0" w:color="000000"/>
            </w:tcBorders>
          </w:tcPr>
          <w:p>
            <w:pPr>
              <w:pStyle w:val="Normal"/>
              <w:jc w:val="left"/>
              <w:rPr/>
            </w:pPr>
            <w:r>
              <w:rPr>
                <w:rFonts w:eastAsia="Calibri" w:cs="Calibri" w:ascii="Calibri" w:hAnsi="Calibri"/>
                <w:b w:val="false"/>
                <w:bCs w:val="false"/>
                <w:sz w:val="20"/>
                <w:szCs w:val="20"/>
              </w:rPr>
              <w:t>Un ticket recorre triage→diseño→build, genera pasos de IA contabilizados y se detiene en un gate.</w:t>
            </w:r>
          </w:p>
        </w:tc>
      </w:tr>
      <w:tr>
        <w:trPr/>
        <w:tc>
          <w:tcPr>
            <w:tcW w:w="3384" w:type="dxa"/>
            <w:tcBorders>
              <w:top w:val="single" w:sz="4" w:space="0" w:color="000000"/>
              <w:left w:val="single" w:sz="4" w:space="0" w:color="000000"/>
              <w:bottom w:val="single" w:sz="4" w:space="0" w:color="000000"/>
              <w:right w:val="single" w:sz="4" w:space="0" w:color="000000"/>
            </w:tcBorders>
          </w:tcPr>
          <w:p>
            <w:pPr>
              <w:pStyle w:val="Normal"/>
              <w:jc w:val="left"/>
              <w:rPr/>
            </w:pPr>
            <w:r>
              <w:rPr>
                <w:rFonts w:eastAsia="Calibri" w:cs="Calibri" w:ascii="Calibri" w:hAnsi="Calibri"/>
                <w:b/>
                <w:bCs/>
                <w:sz w:val="20"/>
                <w:szCs w:val="20"/>
              </w:rPr>
              <w:t>M4 — QA auditable y expediente completo</w:t>
            </w:r>
          </w:p>
        </w:tc>
        <w:tc>
          <w:tcPr>
            <w:tcW w:w="1316" w:type="dxa"/>
            <w:tcBorders>
              <w:top w:val="single" w:sz="4" w:space="0" w:color="000000"/>
              <w:left w:val="single" w:sz="4" w:space="0" w:color="000000"/>
              <w:bottom w:val="single" w:sz="4" w:space="0" w:color="000000"/>
              <w:right w:val="single" w:sz="4" w:space="0" w:color="000000"/>
            </w:tcBorders>
          </w:tcPr>
          <w:p>
            <w:pPr>
              <w:pStyle w:val="Normal"/>
              <w:jc w:val="left"/>
              <w:rPr/>
            </w:pPr>
            <w:r>
              <w:rPr>
                <w:rFonts w:eastAsia="Calibri" w:cs="Calibri" w:ascii="Calibri" w:hAnsi="Calibri"/>
                <w:b w:val="false"/>
                <w:bCs w:val="false"/>
                <w:sz w:val="20"/>
                <w:szCs w:val="20"/>
              </w:rPr>
              <w:t>S8</w:t>
            </w:r>
          </w:p>
        </w:tc>
        <w:tc>
          <w:tcPr>
            <w:tcW w:w="4326" w:type="dxa"/>
            <w:tcBorders>
              <w:top w:val="single" w:sz="4" w:space="0" w:color="000000"/>
              <w:left w:val="single" w:sz="4" w:space="0" w:color="000000"/>
              <w:bottom w:val="single" w:sz="4" w:space="0" w:color="000000"/>
              <w:right w:val="single" w:sz="4" w:space="0" w:color="000000"/>
            </w:tcBorders>
          </w:tcPr>
          <w:p>
            <w:pPr>
              <w:pStyle w:val="Normal"/>
              <w:jc w:val="left"/>
              <w:rPr/>
            </w:pPr>
            <w:r>
              <w:rPr>
                <w:rFonts w:eastAsia="Calibri" w:cs="Calibri" w:ascii="Calibri" w:hAnsi="Calibri"/>
                <w:b w:val="false"/>
                <w:bCs w:val="false"/>
                <w:sz w:val="20"/>
                <w:szCs w:val="20"/>
              </w:rPr>
              <w:t>QA genera y ejecuta pruebas trazadas, sube evidencia inmutable; el portal muestra el expediente.</w:t>
            </w:r>
          </w:p>
        </w:tc>
      </w:tr>
      <w:tr>
        <w:trPr/>
        <w:tc>
          <w:tcPr>
            <w:tcW w:w="3384" w:type="dxa"/>
            <w:tcBorders>
              <w:top w:val="single" w:sz="4" w:space="0" w:color="000000"/>
              <w:left w:val="single" w:sz="4" w:space="0" w:color="000000"/>
              <w:bottom w:val="single" w:sz="4" w:space="0" w:color="000000"/>
              <w:right w:val="single" w:sz="4" w:space="0" w:color="000000"/>
            </w:tcBorders>
          </w:tcPr>
          <w:p>
            <w:pPr>
              <w:pStyle w:val="Normal"/>
              <w:jc w:val="left"/>
              <w:rPr/>
            </w:pPr>
            <w:r>
              <w:rPr>
                <w:rFonts w:eastAsia="Calibri" w:cs="Calibri" w:ascii="Calibri" w:hAnsi="Calibri"/>
                <w:b/>
                <w:bCs/>
                <w:sz w:val="20"/>
                <w:szCs w:val="20"/>
              </w:rPr>
              <w:t>M5 — Producto completo y observable</w:t>
            </w:r>
          </w:p>
        </w:tc>
        <w:tc>
          <w:tcPr>
            <w:tcW w:w="1316" w:type="dxa"/>
            <w:tcBorders>
              <w:top w:val="single" w:sz="4" w:space="0" w:color="000000"/>
              <w:left w:val="single" w:sz="4" w:space="0" w:color="000000"/>
              <w:bottom w:val="single" w:sz="4" w:space="0" w:color="000000"/>
              <w:right w:val="single" w:sz="4" w:space="0" w:color="000000"/>
            </w:tcBorders>
          </w:tcPr>
          <w:p>
            <w:pPr>
              <w:pStyle w:val="Normal"/>
              <w:jc w:val="left"/>
              <w:rPr/>
            </w:pPr>
            <w:r>
              <w:rPr>
                <w:rFonts w:eastAsia="Calibri" w:cs="Calibri" w:ascii="Calibri" w:hAnsi="Calibri"/>
                <w:b w:val="false"/>
                <w:bCs w:val="false"/>
                <w:sz w:val="20"/>
                <w:szCs w:val="20"/>
              </w:rPr>
              <w:t>S10</w:t>
            </w:r>
          </w:p>
        </w:tc>
        <w:tc>
          <w:tcPr>
            <w:tcW w:w="4326" w:type="dxa"/>
            <w:tcBorders>
              <w:top w:val="single" w:sz="4" w:space="0" w:color="000000"/>
              <w:left w:val="single" w:sz="4" w:space="0" w:color="000000"/>
              <w:bottom w:val="single" w:sz="4" w:space="0" w:color="000000"/>
              <w:right w:val="single" w:sz="4" w:space="0" w:color="000000"/>
            </w:tcBorders>
          </w:tcPr>
          <w:p>
            <w:pPr>
              <w:pStyle w:val="Normal"/>
              <w:jc w:val="left"/>
              <w:rPr/>
            </w:pPr>
            <w:r>
              <w:rPr>
                <w:rFonts w:eastAsia="Calibri" w:cs="Calibri" w:ascii="Calibri" w:hAnsi="Calibri"/>
                <w:b w:val="false"/>
                <w:bCs w:val="false"/>
                <w:sz w:val="20"/>
                <w:szCs w:val="20"/>
              </w:rPr>
              <w:t>Onboarding, consumo, facturación y notificaciones operativos; portal responsive y accesible.</w:t>
            </w:r>
          </w:p>
        </w:tc>
      </w:tr>
      <w:tr>
        <w:trPr/>
        <w:tc>
          <w:tcPr>
            <w:tcW w:w="3384" w:type="dxa"/>
            <w:tcBorders>
              <w:top w:val="single" w:sz="4" w:space="0" w:color="000000"/>
              <w:left w:val="single" w:sz="4" w:space="0" w:color="000000"/>
              <w:bottom w:val="single" w:sz="4" w:space="0" w:color="000000"/>
              <w:right w:val="single" w:sz="4" w:space="0" w:color="000000"/>
            </w:tcBorders>
          </w:tcPr>
          <w:p>
            <w:pPr>
              <w:pStyle w:val="Normal"/>
              <w:jc w:val="left"/>
              <w:rPr/>
            </w:pPr>
            <w:r>
              <w:rPr>
                <w:rFonts w:eastAsia="Calibri" w:cs="Calibri" w:ascii="Calibri" w:hAnsi="Calibri"/>
                <w:b/>
                <w:bCs/>
                <w:sz w:val="20"/>
                <w:szCs w:val="20"/>
              </w:rPr>
              <w:t>M6 — Release GA</w:t>
            </w:r>
          </w:p>
        </w:tc>
        <w:tc>
          <w:tcPr>
            <w:tcW w:w="1316" w:type="dxa"/>
            <w:tcBorders>
              <w:top w:val="single" w:sz="4" w:space="0" w:color="000000"/>
              <w:left w:val="single" w:sz="4" w:space="0" w:color="000000"/>
              <w:bottom w:val="single" w:sz="4" w:space="0" w:color="000000"/>
              <w:right w:val="single" w:sz="4" w:space="0" w:color="000000"/>
            </w:tcBorders>
          </w:tcPr>
          <w:p>
            <w:pPr>
              <w:pStyle w:val="Normal"/>
              <w:jc w:val="left"/>
              <w:rPr/>
            </w:pPr>
            <w:r>
              <w:rPr>
                <w:rFonts w:eastAsia="Calibri" w:cs="Calibri" w:ascii="Calibri" w:hAnsi="Calibri"/>
                <w:b w:val="false"/>
                <w:bCs w:val="false"/>
                <w:sz w:val="20"/>
                <w:szCs w:val="20"/>
              </w:rPr>
              <w:t>S12</w:t>
            </w:r>
          </w:p>
        </w:tc>
        <w:tc>
          <w:tcPr>
            <w:tcW w:w="4326" w:type="dxa"/>
            <w:tcBorders>
              <w:top w:val="single" w:sz="4" w:space="0" w:color="000000"/>
              <w:left w:val="single" w:sz="4" w:space="0" w:color="000000"/>
              <w:bottom w:val="single" w:sz="4" w:space="0" w:color="000000"/>
              <w:right w:val="single" w:sz="4" w:space="0" w:color="000000"/>
            </w:tcBorders>
          </w:tcPr>
          <w:p>
            <w:pPr>
              <w:pStyle w:val="Normal"/>
              <w:jc w:val="left"/>
              <w:rPr/>
            </w:pPr>
            <w:r>
              <w:rPr>
                <w:rFonts w:eastAsia="Calibri" w:cs="Calibri" w:ascii="Calibri" w:hAnsi="Calibri"/>
                <w:b w:val="false"/>
                <w:bCs w:val="false"/>
                <w:sz w:val="20"/>
                <w:szCs w:val="20"/>
              </w:rPr>
              <w:t>Endurecimiento de seguridad superado, UAT aceptado y documentación de release publicada.</w:t>
            </w:r>
          </w:p>
        </w:tc>
      </w:tr>
    </w:tbl>
    <w:p>
      <w:pPr>
        <w:pStyle w:val="Normal"/>
        <w:spacing w:before="0" w:after="160"/>
        <w:jc w:val="both"/>
        <w:rPr/>
      </w:pPr>
      <w:r>
        <w:rPr/>
      </w:r>
    </w:p>
    <w:p>
      <w:pPr>
        <w:pStyle w:val="ListParagraph"/>
        <w:numPr>
          <w:ilvl w:val="0"/>
          <w:numId w:val="1"/>
        </w:numPr>
        <w:spacing w:before="0" w:after="100"/>
        <w:jc w:val="both"/>
        <w:rPr/>
      </w:pPr>
      <w:r>
        <w:rPr>
          <w:rFonts w:eastAsia="Calibri" w:cs="Calibri" w:ascii="Calibri" w:hAnsi="Calibri"/>
          <w:sz w:val="22"/>
          <w:szCs w:val="22"/>
        </w:rPr>
        <w:t>Base de partida existente: el 97% de los endpoints del backend y las doce vistas del portal ya existen como scaffold, lo que concentra el esfuerzo inicial en corrección dirigida —incluyendo la remediación de hallazgos de seguridad— y no en construcción desde cero.</w:t>
      </w:r>
    </w:p>
    <w:p>
      <w:pPr>
        <w:pStyle w:val="ListParagraph"/>
        <w:numPr>
          <w:ilvl w:val="0"/>
          <w:numId w:val="1"/>
        </w:numPr>
        <w:spacing w:before="0" w:after="100"/>
        <w:jc w:val="both"/>
        <w:rPr/>
      </w:pPr>
      <w:r>
        <w:rPr>
          <w:rFonts w:eastAsia="Calibri" w:cs="Calibri" w:ascii="Calibri" w:hAnsi="Calibri"/>
          <w:sz w:val="22"/>
          <w:szCs w:val="22"/>
        </w:rPr>
        <w:t>Estimación y capacidad explícitas: cada equipo estima en Story Points con capacidad objetivo de 24–30 SP por sprint (4 personas), reservando ~20% para revisión e imprevistos.</w:t>
      </w:r>
    </w:p>
    <w:p>
      <w:pPr>
        <w:pStyle w:val="ListParagraph"/>
        <w:numPr>
          <w:ilvl w:val="0"/>
          <w:numId w:val="1"/>
        </w:numPr>
        <w:spacing w:before="0" w:after="100"/>
        <w:jc w:val="both"/>
        <w:rPr/>
      </w:pPr>
      <w:r>
        <w:rPr>
          <w:rFonts w:eastAsia="Calibri" w:cs="Calibri" w:ascii="Calibri" w:hAnsi="Calibri"/>
          <w:sz w:val="22"/>
          <w:szCs w:val="22"/>
        </w:rPr>
        <w:t>Riesgos identificados y mitigados: cada subproyecto documenta su matriz de riesgos (probabilidad, impacto, mitigación), revisada semanalmente en la Retrospectiva, la misma lógica que aplico al evaluar riesgo de seguridad.</w:t>
      </w:r>
    </w:p>
    <w:p>
      <w:pPr>
        <w:pStyle w:val="Heading2"/>
        <w:spacing w:before="240" w:after="120"/>
        <w:rPr/>
      </w:pPr>
      <w:r>
        <w:rPr/>
        <w:t>5. Objetivos del proyecto</w:t>
      </w:r>
    </w:p>
    <w:p>
      <w:pPr>
        <w:pStyle w:val="Normal"/>
        <w:spacing w:before="0" w:after="160"/>
        <w:jc w:val="both"/>
        <w:rPr/>
      </w:pPr>
      <w:r>
        <w:rPr>
          <w:rFonts w:eastAsia="Calibri" w:cs="Calibri" w:ascii="Calibri" w:hAnsi="Calibri"/>
          <w:b/>
          <w:bCs/>
          <w:i w:val="false"/>
          <w:iCs w:val="false"/>
          <w:sz w:val="22"/>
          <w:szCs w:val="22"/>
        </w:rPr>
        <w:t>Objetivo general</w:t>
      </w:r>
    </w:p>
    <w:p>
      <w:pPr>
        <w:pStyle w:val="Normal"/>
        <w:spacing w:before="0" w:after="160"/>
        <w:jc w:val="both"/>
        <w:rPr/>
      </w:pPr>
      <w:r>
        <w:rPr>
          <w:rFonts w:eastAsia="Calibri" w:cs="Calibri" w:ascii="Calibri" w:hAnsi="Calibri"/>
          <w:b w:val="false"/>
          <w:bCs w:val="false"/>
          <w:i w:val="false"/>
          <w:iCs w:val="false"/>
          <w:sz w:val="22"/>
          <w:szCs w:val="22"/>
        </w:rPr>
        <w:t>Diseñar e implementar las correcciones y funcionalidades pendientes de los subproyectos Backend y Portal de KalliCode, aplicando prácticas profesionales de ingeniería de software y de seguridad de la información —auditoría, remediación priorizada por severidad y desarrollo ágil— para alcanzar un producto SaaS multi-tenant seguro, funcional y verificable dentro de los doce sprints del programa.</w:t>
      </w:r>
    </w:p>
    <w:p>
      <w:pPr>
        <w:pStyle w:val="Normal"/>
        <w:spacing w:before="0" w:after="160"/>
        <w:jc w:val="both"/>
        <w:rPr/>
      </w:pPr>
      <w:r>
        <w:rPr>
          <w:rFonts w:eastAsia="Calibri" w:cs="Calibri" w:ascii="Calibri" w:hAnsi="Calibri"/>
          <w:b/>
          <w:bCs/>
          <w:i w:val="false"/>
          <w:iCs w:val="false"/>
          <w:sz w:val="22"/>
          <w:szCs w:val="22"/>
        </w:rPr>
        <w:t>Objetivos específicos</w:t>
      </w:r>
    </w:p>
    <w:p>
      <w:pPr>
        <w:pStyle w:val="Normal"/>
        <w:spacing w:before="0" w:after="160"/>
        <w:jc w:val="both"/>
        <w:rPr/>
      </w:pPr>
      <w:r>
        <w:rPr>
          <w:rFonts w:eastAsia="Calibri" w:cs="Calibri" w:ascii="Calibri" w:hAnsi="Calibri"/>
          <w:b w:val="false"/>
          <w:bCs w:val="false"/>
          <w:i w:val="false"/>
          <w:iCs w:val="false"/>
          <w:sz w:val="22"/>
          <w:szCs w:val="22"/>
        </w:rPr>
        <w:t>1. Cerrar el 100% de los hallazgos bloqueantes y altos de la auditoría inicial (16 en Portal, 25 en Backend) antes de finalizar el Sprint 5, priorizando los relacionados con aislamiento multi-tenant y gestión de sesión.</w:t>
      </w:r>
    </w:p>
    <w:p>
      <w:pPr>
        <w:pStyle w:val="Normal"/>
        <w:spacing w:before="0" w:after="160"/>
        <w:jc w:val="both"/>
        <w:rPr/>
      </w:pPr>
      <w:r>
        <w:rPr>
          <w:rFonts w:eastAsia="Calibri" w:cs="Calibri" w:ascii="Calibri" w:hAnsi="Calibri"/>
          <w:b w:val="false"/>
          <w:bCs w:val="false"/>
          <w:i w:val="false"/>
          <w:iCs w:val="false"/>
          <w:sz w:val="22"/>
          <w:szCs w:val="22"/>
        </w:rPr>
        <w:t>2. Implementar el orquestador del pipeline de IA (triage→diseño→build→QA→seguridad→deploy) con máquina de estados verificada, alcanzando el hito M3 en el Sprint 6.</w:t>
      </w:r>
    </w:p>
    <w:p>
      <w:pPr>
        <w:pStyle w:val="Normal"/>
        <w:spacing w:before="0" w:after="160"/>
        <w:jc w:val="both"/>
        <w:rPr/>
      </w:pPr>
      <w:r>
        <w:rPr>
          <w:rFonts w:eastAsia="Calibri" w:cs="Calibri" w:ascii="Calibri" w:hAnsi="Calibri"/>
          <w:b w:val="false"/>
          <w:bCs w:val="false"/>
          <w:i w:val="false"/>
          <w:iCs w:val="false"/>
          <w:sz w:val="22"/>
          <w:szCs w:val="22"/>
        </w:rPr>
        <w:t>3. Completar las pantallas y flujos pendientes del portal (onboarding, adjuntos, expediente, comparador de planes) conforme al wireframe y al contrato de API, alcanzando el hito M5 en el Sprint 10.</w:t>
      </w:r>
    </w:p>
    <w:p>
      <w:pPr>
        <w:pStyle w:val="Normal"/>
        <w:spacing w:before="0" w:after="160"/>
        <w:jc w:val="both"/>
        <w:rPr/>
      </w:pPr>
      <w:r>
        <w:rPr>
          <w:rFonts w:eastAsia="Calibri" w:cs="Calibri" w:ascii="Calibri" w:hAnsi="Calibri"/>
          <w:b w:val="false"/>
          <w:bCs w:val="false"/>
          <w:i w:val="false"/>
          <w:iCs w:val="false"/>
          <w:sz w:val="22"/>
          <w:szCs w:val="22"/>
        </w:rPr>
        <w:t>4. Establecer un andamiaje de calidad y seguridad medible (cobertura de pruebas ≥80%, controles alineados a OWASP ASVS, accesibilidad WCAG 2.1 AA) que sostenga el producto sin regresiones hasta el release del Sprint 12.</w:t>
      </w:r>
    </w:p>
    <w:p>
      <w:pPr>
        <w:pStyle w:val="Heading2"/>
        <w:spacing w:before="240" w:after="120"/>
        <w:rPr/>
      </w:pPr>
      <w:r>
        <w:rPr/>
      </w:r>
      <w:r>
        <w:br w:type="page"/>
      </w:r>
    </w:p>
    <w:p>
      <w:pPr>
        <w:pStyle w:val="Heading2"/>
        <w:spacing w:before="240" w:after="120"/>
        <w:rPr/>
      </w:pPr>
      <w:r>
        <w:rPr/>
        <w:t>6. Propuesta metodológica de trabajo</w:t>
      </w:r>
    </w:p>
    <w:p>
      <w:pPr>
        <w:pStyle w:val="Normal"/>
        <w:spacing w:before="0" w:after="160"/>
        <w:jc w:val="both"/>
        <w:rPr/>
      </w:pPr>
      <w:r>
        <w:rPr>
          <w:rFonts w:eastAsia="Calibri" w:cs="Calibri" w:ascii="Calibri" w:hAnsi="Calibri"/>
          <w:b w:val="false"/>
          <w:bCs w:val="false"/>
          <w:i w:val="false"/>
          <w:iCs w:val="false"/>
          <w:sz w:val="22"/>
          <w:szCs w:val="22"/>
        </w:rPr>
        <w:t>El proyecto se ejecuta bajo el marco ágil Scrum, con sprints semanales de una semana de duración y roles definidos de Product Owner, Scrum Master y equipo de desarrollo. Las ceremonias —Planning, Daily, Refinamiento y Retrospectiva/Review semanales— aseguran visibilidad continua del avance y permiten reajustar el alcance de sprints futuros según la velocidad real medida. Todo ticket debe cumplir una Definición de Preparado (DoR) antes de entrar al sprint y una Definición de Terminado (DoD) —pruebas, linter, revisión de código, controles de seguridad y documentación— antes de cerrarse. La revisión de código combina una auditoría inicial del scaffold, revisión continua vía Pull Requests con checklist, y puertas automáticas en integración continua que bloquean el merge si no se cumplen los umbrales de calidad y seguridad definidos.</w:t>
      </w:r>
    </w:p>
    <w:p>
      <w:pPr>
        <w:pStyle w:val="Normal"/>
        <w:spacing w:before="0" w:after="160"/>
        <w:jc w:val="both"/>
        <w:rPr/>
      </w:pPr>
      <w:r>
        <w:rPr>
          <w:rFonts w:eastAsia="Calibri" w:cs="Calibri" w:ascii="Calibri" w:hAnsi="Calibri"/>
          <w:b w:val="false"/>
          <w:bCs w:val="false"/>
          <w:i w:val="false"/>
          <w:iCs w:val="false"/>
          <w:sz w:val="22"/>
          <w:szCs w:val="22"/>
        </w:rPr>
        <w:t>Esta metodología es coherente con los estándares de la disciplina: prioriza la corrección de riesgo alto antes que la construcción de funcionalidad nueva, mide el progreso con métricas objetivas y trata cada hallazgo de auditoría —de seguridad o funcional— como un ticket con su propia prueba de regresión, evitando que el defecto se reintroduzca.</w:t>
      </w:r>
    </w:p>
    <w:p>
      <w:pPr>
        <w:pStyle w:val="Heading2"/>
        <w:spacing w:before="240" w:after="120"/>
        <w:rPr/>
      </w:pPr>
      <w:r>
        <w:rPr/>
        <w:t>7. Plan de trabajo para el proyecto APT</w:t>
      </w:r>
    </w:p>
    <w:p>
      <w:pPr>
        <w:pStyle w:val="Normal"/>
        <w:spacing w:before="0" w:after="160"/>
        <w:jc w:val="both"/>
        <w:rPr/>
      </w:pPr>
      <w:r>
        <w:rPr>
          <w:rFonts w:eastAsia="Calibri" w:cs="Calibri" w:ascii="Calibri" w:hAnsi="Calibri"/>
          <w:b w:val="false"/>
          <w:bCs w:val="false"/>
          <w:i w:val="false"/>
          <w:iCs w:val="false"/>
          <w:sz w:val="22"/>
          <w:szCs w:val="22"/>
        </w:rPr>
        <w:t>El plan de trabajo se organiza en cinco fases alineadas a los doce sprints del programa y a los seis hitos compartidos, con foco en mi aporte a la corrección de hallazgos de seguridad y hardening de la plataforma:</w:t>
      </w:r>
    </w:p>
    <w:p>
      <w:pPr>
        <w:pStyle w:val="ListParagraph"/>
        <w:numPr>
          <w:ilvl w:val="0"/>
          <w:numId w:val="1"/>
        </w:numPr>
        <w:spacing w:before="0" w:after="100"/>
        <w:jc w:val="both"/>
        <w:rPr/>
      </w:pPr>
      <w:r>
        <w:rPr>
          <w:rFonts w:eastAsia="Calibri" w:cs="Calibri" w:ascii="Calibri" w:hAnsi="Calibri"/>
          <w:sz w:val="22"/>
          <w:szCs w:val="22"/>
        </w:rPr>
        <w:t>Fase 1 (S1–S2) — Fundaciones y aislamiento: andamiaje de pruebas/CI, cierre de fugas cross-tenant, revocación efectiva de sesión.</w:t>
      </w:r>
    </w:p>
    <w:p>
      <w:pPr>
        <w:pStyle w:val="ListParagraph"/>
        <w:numPr>
          <w:ilvl w:val="0"/>
          <w:numId w:val="1"/>
        </w:numPr>
        <w:spacing w:before="0" w:after="100"/>
        <w:jc w:val="both"/>
        <w:rPr/>
      </w:pPr>
      <w:r>
        <w:rPr>
          <w:rFonts w:eastAsia="Calibri" w:cs="Calibri" w:ascii="Calibri" w:hAnsi="Calibri"/>
          <w:sz w:val="22"/>
          <w:szCs w:val="22"/>
        </w:rPr>
        <w:t>Fase 2 (S3–S5) — Cierre de bloqueantes y núcleo del pipeline: idempotencia real, orquestador con triage completo, motor LLM robusto; cierre de los 16–25 hallazgos bloqueantes y altos.</w:t>
      </w:r>
    </w:p>
    <w:p>
      <w:pPr>
        <w:pStyle w:val="ListParagraph"/>
        <w:numPr>
          <w:ilvl w:val="0"/>
          <w:numId w:val="1"/>
        </w:numPr>
        <w:spacing w:before="0" w:after="100"/>
        <w:jc w:val="both"/>
        <w:rPr/>
      </w:pPr>
      <w:r>
        <w:rPr>
          <w:rFonts w:eastAsia="Calibri" w:cs="Calibri" w:ascii="Calibri" w:hAnsi="Calibri"/>
          <w:sz w:val="22"/>
          <w:szCs w:val="22"/>
        </w:rPr>
        <w:t>Fase 3 (S6–S9) — Producto funcional de extremo a extremo: pipeline completo con gates, QA auditable, pantallas pendientes del portal (onboarding, adjuntos, expediente).</w:t>
      </w:r>
    </w:p>
    <w:p>
      <w:pPr>
        <w:pStyle w:val="ListParagraph"/>
        <w:numPr>
          <w:ilvl w:val="0"/>
          <w:numId w:val="1"/>
        </w:numPr>
        <w:spacing w:before="0" w:after="100"/>
        <w:jc w:val="both"/>
        <w:rPr/>
      </w:pPr>
      <w:r>
        <w:rPr>
          <w:rFonts w:eastAsia="Calibri" w:cs="Calibri" w:ascii="Calibri" w:hAnsi="Calibri"/>
          <w:sz w:val="22"/>
          <w:szCs w:val="22"/>
        </w:rPr>
        <w:t>Fase 4 (S10) — Completitud del producto: ciclo comercial correcto, observabilidad, portal responsive/accesible en los tres idiomas.</w:t>
      </w:r>
    </w:p>
    <w:p>
      <w:pPr>
        <w:pStyle w:val="ListParagraph"/>
        <w:numPr>
          <w:ilvl w:val="0"/>
          <w:numId w:val="1"/>
        </w:numPr>
        <w:spacing w:before="0" w:after="100"/>
        <w:jc w:val="both"/>
        <w:rPr/>
      </w:pPr>
      <w:r>
        <w:rPr>
          <w:rFonts w:eastAsia="Calibri" w:cs="Calibri" w:ascii="Calibri" w:hAnsi="Calibri"/>
          <w:sz w:val="22"/>
          <w:szCs w:val="22"/>
        </w:rPr>
        <w:t>Fase 5 (S11–S12) — Endurecimiento y release: red privada, presupuestos de rendimiento, UAT por rol, documentación y release GA.</w:t>
      </w:r>
    </w:p>
    <w:p>
      <w:pPr>
        <w:pStyle w:val="Heading2"/>
        <w:spacing w:before="240" w:after="120"/>
        <w:rPr/>
      </w:pPr>
      <w:r>
        <w:rPr/>
      </w:r>
      <w:r>
        <w:br w:type="page"/>
      </w:r>
    </w:p>
    <w:p>
      <w:pPr>
        <w:pStyle w:val="Heading2"/>
        <w:spacing w:before="240" w:after="120"/>
        <w:rPr/>
      </w:pPr>
      <w:r>
        <w:rPr/>
        <w:t>8. Propuesta de evidencias de logro</w:t>
      </w:r>
    </w:p>
    <w:p>
      <w:pPr>
        <w:pStyle w:val="Normal"/>
        <w:spacing w:before="0" w:after="160"/>
        <w:jc w:val="both"/>
        <w:rPr/>
      </w:pPr>
      <w:r>
        <w:rPr>
          <w:rFonts w:eastAsia="Calibri" w:cs="Calibri" w:ascii="Calibri" w:hAnsi="Calibri"/>
          <w:b w:val="false"/>
          <w:bCs w:val="false"/>
          <w:i w:val="false"/>
          <w:iCs w:val="false"/>
          <w:sz w:val="22"/>
          <w:szCs w:val="22"/>
        </w:rPr>
        <w:t>Cada objetivo y actividad del plan se acompaña de evidencia verificable y no solo declarativa:</w:t>
      </w:r>
    </w:p>
    <w:tbl>
      <w:tblPr>
        <w:tblW w:w="5000" w:type="pct"/>
        <w:jc w:val="left"/>
        <w:tblInd w:w="0" w:type="dxa"/>
        <w:tblLayout w:type="fixed"/>
        <w:tblCellMar>
          <w:top w:w="80" w:type="dxa"/>
          <w:left w:w="100" w:type="dxa"/>
          <w:bottom w:w="80" w:type="dxa"/>
          <w:right w:w="100" w:type="dxa"/>
        </w:tblCellMar>
      </w:tblPr>
      <w:tblGrid>
        <w:gridCol w:w="3761"/>
        <w:gridCol w:w="5264"/>
      </w:tblGrid>
      <w:tr>
        <w:trPr/>
        <w:tc>
          <w:tcPr>
            <w:tcW w:w="3761" w:type="dxa"/>
            <w:tcBorders>
              <w:top w:val="single" w:sz="4" w:space="0" w:color="000000"/>
              <w:left w:val="single" w:sz="4" w:space="0" w:color="000000"/>
              <w:bottom w:val="single" w:sz="4" w:space="0" w:color="000000"/>
              <w:right w:val="single" w:sz="4" w:space="0" w:color="000000"/>
            </w:tcBorders>
            <w:shd w:color="auto" w:fill="1F4E5F" w:val="clear"/>
          </w:tcPr>
          <w:p>
            <w:pPr>
              <w:pStyle w:val="Normal"/>
              <w:jc w:val="left"/>
              <w:rPr/>
            </w:pPr>
            <w:r>
              <w:rPr>
                <w:rFonts w:eastAsia="Calibri" w:cs="Calibri" w:ascii="Calibri" w:hAnsi="Calibri"/>
                <w:b/>
                <w:bCs/>
                <w:color w:val="FFFFFF"/>
                <w:sz w:val="20"/>
                <w:szCs w:val="20"/>
              </w:rPr>
              <w:t>Actividad / objetivo</w:t>
            </w:r>
          </w:p>
        </w:tc>
        <w:tc>
          <w:tcPr>
            <w:tcW w:w="5264" w:type="dxa"/>
            <w:tcBorders>
              <w:top w:val="single" w:sz="4" w:space="0" w:color="000000"/>
              <w:left w:val="single" w:sz="4" w:space="0" w:color="000000"/>
              <w:bottom w:val="single" w:sz="4" w:space="0" w:color="000000"/>
              <w:right w:val="single" w:sz="4" w:space="0" w:color="000000"/>
            </w:tcBorders>
            <w:shd w:color="auto" w:fill="1F4E5F" w:val="clear"/>
          </w:tcPr>
          <w:p>
            <w:pPr>
              <w:pStyle w:val="Normal"/>
              <w:jc w:val="left"/>
              <w:rPr/>
            </w:pPr>
            <w:r>
              <w:rPr>
                <w:rFonts w:eastAsia="Calibri" w:cs="Calibri" w:ascii="Calibri" w:hAnsi="Calibri"/>
                <w:b/>
                <w:bCs/>
                <w:color w:val="FFFFFF"/>
                <w:sz w:val="20"/>
                <w:szCs w:val="20"/>
              </w:rPr>
              <w:t>Evidencia propuesta</w:t>
            </w:r>
          </w:p>
        </w:tc>
      </w:tr>
      <w:tr>
        <w:trPr/>
        <w:tc>
          <w:tcPr>
            <w:tcW w:w="3761" w:type="dxa"/>
            <w:tcBorders>
              <w:top w:val="single" w:sz="4" w:space="0" w:color="000000"/>
              <w:left w:val="single" w:sz="4" w:space="0" w:color="000000"/>
              <w:bottom w:val="single" w:sz="4" w:space="0" w:color="000000"/>
              <w:right w:val="single" w:sz="4" w:space="0" w:color="000000"/>
            </w:tcBorders>
          </w:tcPr>
          <w:p>
            <w:pPr>
              <w:pStyle w:val="Normal"/>
              <w:jc w:val="left"/>
              <w:rPr/>
            </w:pPr>
            <w:r>
              <w:rPr>
                <w:rFonts w:eastAsia="Calibri" w:cs="Calibri" w:ascii="Calibri" w:hAnsi="Calibri"/>
                <w:b/>
                <w:bCs/>
                <w:sz w:val="20"/>
                <w:szCs w:val="20"/>
              </w:rPr>
              <w:t>Corrección de hallazgos bloqueantes/altos</w:t>
            </w:r>
          </w:p>
        </w:tc>
        <w:tc>
          <w:tcPr>
            <w:tcW w:w="5264" w:type="dxa"/>
            <w:tcBorders>
              <w:top w:val="single" w:sz="4" w:space="0" w:color="000000"/>
              <w:left w:val="single" w:sz="4" w:space="0" w:color="000000"/>
              <w:bottom w:val="single" w:sz="4" w:space="0" w:color="000000"/>
              <w:right w:val="single" w:sz="4" w:space="0" w:color="000000"/>
            </w:tcBorders>
          </w:tcPr>
          <w:p>
            <w:pPr>
              <w:pStyle w:val="Normal"/>
              <w:jc w:val="left"/>
              <w:rPr/>
            </w:pPr>
            <w:r>
              <w:rPr>
                <w:rFonts w:eastAsia="Calibri" w:cs="Calibri" w:ascii="Calibri" w:hAnsi="Calibri"/>
                <w:b w:val="false"/>
                <w:bCs w:val="false"/>
                <w:sz w:val="20"/>
                <w:szCs w:val="20"/>
              </w:rPr>
              <w:t>Registro de auditoría con severidad y estado, más la prueba automatizada que falla si el defecto se reintroduce (Anexo de trazabilidad hallazgo→ticket).</w:t>
            </w:r>
          </w:p>
        </w:tc>
      </w:tr>
      <w:tr>
        <w:trPr/>
        <w:tc>
          <w:tcPr>
            <w:tcW w:w="3761" w:type="dxa"/>
            <w:tcBorders>
              <w:top w:val="single" w:sz="4" w:space="0" w:color="000000"/>
              <w:left w:val="single" w:sz="4" w:space="0" w:color="000000"/>
              <w:bottom w:val="single" w:sz="4" w:space="0" w:color="000000"/>
              <w:right w:val="single" w:sz="4" w:space="0" w:color="000000"/>
            </w:tcBorders>
          </w:tcPr>
          <w:p>
            <w:pPr>
              <w:pStyle w:val="Normal"/>
              <w:jc w:val="left"/>
              <w:rPr/>
            </w:pPr>
            <w:r>
              <w:rPr>
                <w:rFonts w:eastAsia="Calibri" w:cs="Calibri" w:ascii="Calibri" w:hAnsi="Calibri"/>
                <w:b/>
                <w:bCs/>
                <w:sz w:val="20"/>
                <w:szCs w:val="20"/>
              </w:rPr>
              <w:t>Endurecimiento de seguridad (hardening)</w:t>
            </w:r>
          </w:p>
        </w:tc>
        <w:tc>
          <w:tcPr>
            <w:tcW w:w="5264" w:type="dxa"/>
            <w:tcBorders>
              <w:top w:val="single" w:sz="4" w:space="0" w:color="000000"/>
              <w:left w:val="single" w:sz="4" w:space="0" w:color="000000"/>
              <w:bottom w:val="single" w:sz="4" w:space="0" w:color="000000"/>
              <w:right w:val="single" w:sz="4" w:space="0" w:color="000000"/>
            </w:tcBorders>
          </w:tcPr>
          <w:p>
            <w:pPr>
              <w:pStyle w:val="Normal"/>
              <w:jc w:val="left"/>
              <w:rPr/>
            </w:pPr>
            <w:r>
              <w:rPr>
                <w:rFonts w:eastAsia="Calibri" w:cs="Calibri" w:ascii="Calibri" w:hAnsi="Calibri"/>
                <w:b w:val="false"/>
                <w:bCs w:val="false"/>
                <w:sz w:val="20"/>
                <w:szCs w:val="20"/>
              </w:rPr>
              <w:t>Checklist OWASP ASVS aplicado a sesión, control de acceso y protección de secretos, con evidencia de cierre por ítem.</w:t>
            </w:r>
          </w:p>
        </w:tc>
      </w:tr>
      <w:tr>
        <w:trPr/>
        <w:tc>
          <w:tcPr>
            <w:tcW w:w="3761" w:type="dxa"/>
            <w:tcBorders>
              <w:top w:val="single" w:sz="4" w:space="0" w:color="000000"/>
              <w:left w:val="single" w:sz="4" w:space="0" w:color="000000"/>
              <w:bottom w:val="single" w:sz="4" w:space="0" w:color="000000"/>
              <w:right w:val="single" w:sz="4" w:space="0" w:color="000000"/>
            </w:tcBorders>
          </w:tcPr>
          <w:p>
            <w:pPr>
              <w:pStyle w:val="Normal"/>
              <w:jc w:val="left"/>
              <w:rPr/>
            </w:pPr>
            <w:r>
              <w:rPr>
                <w:rFonts w:eastAsia="Calibri" w:cs="Calibri" w:ascii="Calibri" w:hAnsi="Calibri"/>
                <w:b/>
                <w:bCs/>
                <w:sz w:val="20"/>
                <w:szCs w:val="20"/>
              </w:rPr>
              <w:t>Pipeline de IA funcionando (M3)</w:t>
            </w:r>
          </w:p>
        </w:tc>
        <w:tc>
          <w:tcPr>
            <w:tcW w:w="5264" w:type="dxa"/>
            <w:tcBorders>
              <w:top w:val="single" w:sz="4" w:space="0" w:color="000000"/>
              <w:left w:val="single" w:sz="4" w:space="0" w:color="000000"/>
              <w:bottom w:val="single" w:sz="4" w:space="0" w:color="000000"/>
              <w:right w:val="single" w:sz="4" w:space="0" w:color="000000"/>
            </w:tcBorders>
          </w:tcPr>
          <w:p>
            <w:pPr>
              <w:pStyle w:val="Normal"/>
              <w:jc w:val="left"/>
              <w:rPr/>
            </w:pPr>
            <w:r>
              <w:rPr>
                <w:rFonts w:eastAsia="Calibri" w:cs="Calibri" w:ascii="Calibri" w:hAnsi="Calibri"/>
                <w:b w:val="false"/>
                <w:bCs w:val="false"/>
                <w:sz w:val="20"/>
                <w:szCs w:val="20"/>
              </w:rPr>
              <w:t>Grabación de demostración de un ticket recorriendo triage→diseño→build→gate, con el registro de pasos LLM contabilizados por tier.</w:t>
            </w:r>
          </w:p>
        </w:tc>
      </w:tr>
      <w:tr>
        <w:trPr/>
        <w:tc>
          <w:tcPr>
            <w:tcW w:w="3761" w:type="dxa"/>
            <w:tcBorders>
              <w:top w:val="single" w:sz="4" w:space="0" w:color="000000"/>
              <w:left w:val="single" w:sz="4" w:space="0" w:color="000000"/>
              <w:bottom w:val="single" w:sz="4" w:space="0" w:color="000000"/>
              <w:right w:val="single" w:sz="4" w:space="0" w:color="000000"/>
            </w:tcBorders>
          </w:tcPr>
          <w:p>
            <w:pPr>
              <w:pStyle w:val="Normal"/>
              <w:jc w:val="left"/>
              <w:rPr/>
            </w:pPr>
            <w:r>
              <w:rPr>
                <w:rFonts w:eastAsia="Calibri" w:cs="Calibri" w:ascii="Calibri" w:hAnsi="Calibri"/>
                <w:b/>
                <w:bCs/>
                <w:sz w:val="20"/>
                <w:szCs w:val="20"/>
              </w:rPr>
              <w:t>Calidad de código</w:t>
            </w:r>
          </w:p>
        </w:tc>
        <w:tc>
          <w:tcPr>
            <w:tcW w:w="5264" w:type="dxa"/>
            <w:tcBorders>
              <w:top w:val="single" w:sz="4" w:space="0" w:color="000000"/>
              <w:left w:val="single" w:sz="4" w:space="0" w:color="000000"/>
              <w:bottom w:val="single" w:sz="4" w:space="0" w:color="000000"/>
              <w:right w:val="single" w:sz="4" w:space="0" w:color="000000"/>
            </w:tcBorders>
          </w:tcPr>
          <w:p>
            <w:pPr>
              <w:pStyle w:val="Normal"/>
              <w:jc w:val="left"/>
              <w:rPr/>
            </w:pPr>
            <w:r>
              <w:rPr>
                <w:rFonts w:eastAsia="Calibri" w:cs="Calibri" w:ascii="Calibri" w:hAnsi="Calibri"/>
                <w:b w:val="false"/>
                <w:bCs w:val="false"/>
                <w:sz w:val="20"/>
                <w:szCs w:val="20"/>
              </w:rPr>
              <w:t>Informe de cobertura de pruebas del CI, historial de ejecuciones verdes y checklist de revisión de Pull Requests.</w:t>
            </w:r>
          </w:p>
        </w:tc>
      </w:tr>
      <w:tr>
        <w:trPr/>
        <w:tc>
          <w:tcPr>
            <w:tcW w:w="3761" w:type="dxa"/>
            <w:tcBorders>
              <w:top w:val="single" w:sz="4" w:space="0" w:color="000000"/>
              <w:left w:val="single" w:sz="4" w:space="0" w:color="000000"/>
              <w:bottom w:val="single" w:sz="4" w:space="0" w:color="000000"/>
              <w:right w:val="single" w:sz="4" w:space="0" w:color="000000"/>
            </w:tcBorders>
          </w:tcPr>
          <w:p>
            <w:pPr>
              <w:pStyle w:val="Normal"/>
              <w:jc w:val="left"/>
              <w:rPr/>
            </w:pPr>
            <w:r>
              <w:rPr>
                <w:rFonts w:eastAsia="Calibri" w:cs="Calibri" w:ascii="Calibri" w:hAnsi="Calibri"/>
                <w:b/>
                <w:bCs/>
                <w:sz w:val="20"/>
                <w:szCs w:val="20"/>
              </w:rPr>
              <w:t>Cumplimiento de contrato de API</w:t>
            </w:r>
          </w:p>
        </w:tc>
        <w:tc>
          <w:tcPr>
            <w:tcW w:w="5264" w:type="dxa"/>
            <w:tcBorders>
              <w:top w:val="single" w:sz="4" w:space="0" w:color="000000"/>
              <w:left w:val="single" w:sz="4" w:space="0" w:color="000000"/>
              <w:bottom w:val="single" w:sz="4" w:space="0" w:color="000000"/>
              <w:right w:val="single" w:sz="4" w:space="0" w:color="000000"/>
            </w:tcBorders>
          </w:tcPr>
          <w:p>
            <w:pPr>
              <w:pStyle w:val="Normal"/>
              <w:jc w:val="left"/>
              <w:rPr/>
            </w:pPr>
            <w:r>
              <w:rPr>
                <w:rFonts w:eastAsia="Calibri" w:cs="Calibri" w:ascii="Calibri" w:hAnsi="Calibri"/>
                <w:b w:val="false"/>
                <w:bCs w:val="false"/>
                <w:sz w:val="20"/>
                <w:szCs w:val="20"/>
              </w:rPr>
              <w:t>Comparación automática entre el OpenAPI publicado v1 y las rutas implementadas, sin divergencias abiertas.</w:t>
            </w:r>
          </w:p>
        </w:tc>
      </w:tr>
      <w:tr>
        <w:trPr/>
        <w:tc>
          <w:tcPr>
            <w:tcW w:w="3761" w:type="dxa"/>
            <w:tcBorders>
              <w:top w:val="single" w:sz="4" w:space="0" w:color="000000"/>
              <w:left w:val="single" w:sz="4" w:space="0" w:color="000000"/>
              <w:bottom w:val="single" w:sz="4" w:space="0" w:color="000000"/>
              <w:right w:val="single" w:sz="4" w:space="0" w:color="000000"/>
            </w:tcBorders>
          </w:tcPr>
          <w:p>
            <w:pPr>
              <w:pStyle w:val="Normal"/>
              <w:jc w:val="left"/>
              <w:rPr/>
            </w:pPr>
            <w:r>
              <w:rPr>
                <w:rFonts w:eastAsia="Calibri" w:cs="Calibri" w:ascii="Calibri" w:hAnsi="Calibri"/>
                <w:b/>
                <w:bCs/>
                <w:sz w:val="20"/>
                <w:szCs w:val="20"/>
              </w:rPr>
              <w:t>Aceptación de usuario (M6)</w:t>
            </w:r>
          </w:p>
        </w:tc>
        <w:tc>
          <w:tcPr>
            <w:tcW w:w="5264" w:type="dxa"/>
            <w:tcBorders>
              <w:top w:val="single" w:sz="4" w:space="0" w:color="000000"/>
              <w:left w:val="single" w:sz="4" w:space="0" w:color="000000"/>
              <w:bottom w:val="single" w:sz="4" w:space="0" w:color="000000"/>
              <w:right w:val="single" w:sz="4" w:space="0" w:color="000000"/>
            </w:tcBorders>
          </w:tcPr>
          <w:p>
            <w:pPr>
              <w:pStyle w:val="Normal"/>
              <w:jc w:val="left"/>
              <w:rPr/>
            </w:pPr>
            <w:r>
              <w:rPr>
                <w:rFonts w:eastAsia="Calibri" w:cs="Calibri" w:ascii="Calibri" w:hAnsi="Calibri"/>
                <w:b w:val="false"/>
                <w:bCs w:val="false"/>
                <w:sz w:val="20"/>
                <w:szCs w:val="20"/>
              </w:rPr>
              <w:t>Acta de UAT firmada por rol y checklist de release (smoke test) en verde.</w:t>
            </w:r>
          </w:p>
        </w:tc>
      </w:tr>
    </w:tbl>
    <w:p>
      <w:pPr>
        <w:pStyle w:val="Heading2"/>
        <w:spacing w:before="240" w:after="120"/>
        <w:rPr/>
      </w:pPr>
      <w:r>
        <w:rPr/>
        <w:t>9. Indicadores de calidad según estándares de la disciplina</w:t>
      </w:r>
    </w:p>
    <w:p>
      <w:pPr>
        <w:pStyle w:val="Normal"/>
        <w:spacing w:before="0" w:after="160"/>
        <w:jc w:val="both"/>
        <w:rPr/>
      </w:pPr>
      <w:r>
        <w:rPr>
          <w:rFonts w:eastAsia="Calibri" w:cs="Calibri" w:ascii="Calibri" w:hAnsi="Calibri"/>
          <w:b w:val="false"/>
          <w:bCs w:val="false"/>
          <w:i w:val="false"/>
          <w:iCs w:val="false"/>
          <w:sz w:val="22"/>
          <w:szCs w:val="22"/>
        </w:rPr>
        <w:t>Para cada competencia del perfil de egreso involucrada, el proyecto presenta indicadores de calidad disciplinarios verificables en su diseño:</w:t>
      </w:r>
    </w:p>
    <w:p>
      <w:pPr>
        <w:pStyle w:val="ListParagraph"/>
        <w:numPr>
          <w:ilvl w:val="0"/>
          <w:numId w:val="1"/>
        </w:numPr>
        <w:spacing w:before="0" w:after="100"/>
        <w:jc w:val="both"/>
        <w:rPr/>
      </w:pPr>
      <w:r>
        <w:rPr>
          <w:rFonts w:eastAsia="Calibri" w:cs="Calibri" w:ascii="Calibri" w:hAnsi="Calibri"/>
          <w:sz w:val="22"/>
          <w:szCs w:val="22"/>
        </w:rPr>
        <w:t>Seguridad: prácticas alineadas a OWASP ASVS (gestión de sesión, control de acceso, protección de secretos) y a Retry-After/rate limiting para transporte, eje central de mi aporte al proyecto.</w:t>
      </w:r>
    </w:p>
    <w:p>
      <w:pPr>
        <w:pStyle w:val="ListParagraph"/>
        <w:numPr>
          <w:ilvl w:val="0"/>
          <w:numId w:val="1"/>
        </w:numPr>
        <w:spacing w:before="0" w:after="100"/>
        <w:jc w:val="both"/>
        <w:rPr/>
      </w:pPr>
      <w:r>
        <w:rPr>
          <w:rFonts w:eastAsia="Calibri" w:cs="Calibri" w:ascii="Calibri" w:hAnsi="Calibri"/>
          <w:sz w:val="22"/>
          <w:szCs w:val="22"/>
        </w:rPr>
        <w:t>Diseño de soluciones de calidad: criterios alineados a ISO/IEC 25010 (funcionalidad, fiabilidad, seguridad, mantenibilidad), verificados mediante cobertura de pruebas y puertas de CI.</w:t>
      </w:r>
    </w:p>
    <w:p>
      <w:pPr>
        <w:pStyle w:val="ListParagraph"/>
        <w:numPr>
          <w:ilvl w:val="0"/>
          <w:numId w:val="1"/>
        </w:numPr>
        <w:spacing w:before="0" w:after="100"/>
        <w:jc w:val="both"/>
        <w:rPr/>
      </w:pPr>
      <w:r>
        <w:rPr>
          <w:rFonts w:eastAsia="Calibri" w:cs="Calibri" w:ascii="Calibri" w:hAnsi="Calibri"/>
          <w:sz w:val="22"/>
          <w:szCs w:val="22"/>
        </w:rPr>
        <w:t>Ingeniería de requisitos: trazabilidad completa entre especificación (Documento Técnico, OpenAPI, wireframes) y hallazgos/tickets, registrada en un anexo de trazabilidad.</w:t>
      </w:r>
    </w:p>
    <w:p>
      <w:pPr>
        <w:pStyle w:val="ListParagraph"/>
        <w:numPr>
          <w:ilvl w:val="0"/>
          <w:numId w:val="1"/>
        </w:numPr>
        <w:spacing w:before="0" w:after="100"/>
        <w:jc w:val="both"/>
        <w:rPr/>
      </w:pPr>
      <w:r>
        <w:rPr>
          <w:rFonts w:eastAsia="Calibri" w:cs="Calibri" w:ascii="Calibri" w:hAnsi="Calibri"/>
          <w:sz w:val="22"/>
          <w:szCs w:val="22"/>
        </w:rPr>
        <w:t>Accesibilidad y experiencia multiplataforma: cumplimiento de WCAG 2.1 nivel AA verificado con @axe-core en cada sprint desde el S5.</w:t>
      </w:r>
    </w:p>
    <w:p>
      <w:pPr>
        <w:pStyle w:val="ListParagraph"/>
        <w:numPr>
          <w:ilvl w:val="0"/>
          <w:numId w:val="1"/>
        </w:numPr>
        <w:spacing w:before="0" w:after="100"/>
        <w:jc w:val="both"/>
        <w:rPr/>
      </w:pPr>
      <w:r>
        <w:rPr>
          <w:rFonts w:eastAsia="Calibri" w:cs="Calibri" w:ascii="Calibri" w:hAnsi="Calibri"/>
          <w:sz w:val="22"/>
          <w:szCs w:val="22"/>
        </w:rPr>
        <w:t>Arquitectura en la nube: principios de un Well-Architected Framework (aislamiento, resiliencia, observabilidad, costo) aplicados al despliegue en contenedores y red privada.</w:t>
      </w:r>
    </w:p>
    <w:p>
      <w:pPr>
        <w:pStyle w:val="ListParagraph"/>
        <w:numPr>
          <w:ilvl w:val="0"/>
          <w:numId w:val="1"/>
        </w:numPr>
        <w:spacing w:before="0" w:after="100"/>
        <w:jc w:val="both"/>
        <w:rPr/>
      </w:pPr>
      <w:r>
        <w:rPr>
          <w:rFonts w:eastAsia="Calibri" w:cs="Calibri" w:ascii="Calibri" w:hAnsi="Calibri"/>
          <w:sz w:val="22"/>
          <w:szCs w:val="22"/>
        </w:rPr>
        <w:t>Gestión de riesgos: matrices de riesgo con probabilidad/impacto/mitigación revisadas en cada Retrospectiva, conforme a prácticas de PMBOK para gestión ágil de riesgos.</w:t>
      </w:r>
    </w:p>
    <w:p>
      <w:pPr>
        <w:pStyle w:val="Normal"/>
        <w:spacing w:before="0" w:after="160"/>
        <w:jc w:val="both"/>
        <w:rPr/>
      </w:pPr>
      <w:r>
        <w:rPr>
          <w:rFonts w:eastAsia="Calibri" w:cs="Calibri" w:ascii="Calibri" w:hAnsi="Calibri"/>
          <w:b w:val="false"/>
          <w:bCs w:val="false"/>
          <w:i w:val="false"/>
          <w:iCs w:val="false"/>
          <w:sz w:val="22"/>
          <w:szCs w:val="22"/>
        </w:rPr>
        <w:t>Estos indicadores se contrastarán con la pauta de autoevaluación entregada en el AVA, identificando para cada uno si el nivel de logro actual corresponde a Inicial, En desarrollo o Completamente logrado, con el fin de ajustar la propuesta antes de la evaluación sumativa.</w:t>
      </w:r>
    </w:p>
    <w:p>
      <w:pPr>
        <w:pStyle w:val="Heading1"/>
        <w:spacing w:before="300" w:after="150"/>
        <w:rPr/>
      </w:pPr>
      <w:r>
        <w:rPr/>
        <w:t>Individual Conclusions</w:t>
      </w:r>
    </w:p>
    <w:p>
      <w:pPr>
        <w:pStyle w:val="Normal"/>
        <w:spacing w:before="0" w:after="160"/>
        <w:jc w:val="both"/>
        <w:rPr/>
      </w:pPr>
      <w:r>
        <w:rPr>
          <w:rFonts w:eastAsia="Calibri" w:cs="Calibri" w:ascii="Calibri" w:hAnsi="Calibri"/>
          <w:b w:val="false"/>
          <w:bCs w:val="false"/>
          <w:i w:val="false"/>
          <w:iCs w:val="false"/>
          <w:sz w:val="22"/>
          <w:szCs w:val="22"/>
        </w:rPr>
        <w:t>The analysis presented in this self-assessment supports KalliCode as a solid and feasible APT project for the Capstone course, particularly from a cybersecurity perspective. Its relevance does not rest only on addressing a current industry topic — AI-assisted software delivery automation — but on requiring verifiable solutions to the same problems faced by professional security teams: tenant data isolation, session security, vulnerability remediation, and measurable security quality at every delivery.</w:t>
      </w:r>
    </w:p>
    <w:p>
      <w:pPr>
        <w:pStyle w:val="Normal"/>
        <w:spacing w:before="0" w:after="160"/>
        <w:jc w:val="both"/>
        <w:rPr/>
      </w:pPr>
      <w:r>
        <w:rPr>
          <w:rFonts w:eastAsia="Calibri" w:cs="Calibri" w:ascii="Calibri" w:hAnsi="Calibri"/>
          <w:b w:val="false"/>
          <w:bCs w:val="false"/>
          <w:i w:val="false"/>
          <w:iCs w:val="false"/>
          <w:sz w:val="22"/>
          <w:szCs w:val="22"/>
        </w:rPr>
        <w:t>The alignment between the project and my professional interests is not artificial: the highest-severity findings from the initial audit are concentrated exactly where cybersecurity work matters most — multi-tenant isolation, session management and pipeline idempotency — giving me a direct path to apply the knowledge validated by my CertiProf/Certifika cybersecurity certifications and my AWS Cloud Practitioner certification.</w:t>
      </w:r>
    </w:p>
    <w:p>
      <w:pPr>
        <w:pStyle w:val="Normal"/>
        <w:spacing w:before="0" w:after="160"/>
        <w:jc w:val="both"/>
        <w:rPr/>
      </w:pPr>
      <w:r>
        <w:rPr>
          <w:rFonts w:eastAsia="Calibri" w:cs="Calibri" w:ascii="Calibri" w:hAnsi="Calibri"/>
          <w:b w:val="false"/>
          <w:bCs w:val="false"/>
          <w:i w:val="false"/>
          <w:iCs w:val="false"/>
          <w:sz w:val="22"/>
          <w:szCs w:val="22"/>
        </w:rPr>
        <w:t>The defined objectives, methodology, work plan and evidence proposal show that the project scope is neither vague nor oversized for the twelve weeks available: milestones are objective, capacity is explicitly estimated, and risks are documented with mitigations. This self-assessment identifies the current definition as strong on relevance, competency alignment and feasibility for a student aiming to build a career in cybersecurity, with the main area to reinforce before the summative evaluation being a more granular mapping between each security indicator (OWASP ASVS) and its concrete source of verification.</w:t>
      </w:r>
    </w:p>
    <w:p>
      <w:pPr>
        <w:pStyle w:val="Heading1"/>
        <w:spacing w:before="300" w:after="150"/>
        <w:rPr/>
      </w:pPr>
      <w:r>
        <w:rPr/>
        <w:t>Reflection</w:t>
      </w:r>
    </w:p>
    <w:p>
      <w:pPr>
        <w:pStyle w:val="Normal"/>
        <w:spacing w:before="0" w:after="160"/>
        <w:jc w:val="both"/>
        <w:rPr/>
      </w:pPr>
      <w:r>
        <w:rPr>
          <w:rFonts w:eastAsia="Calibri" w:cs="Calibri" w:ascii="Calibri" w:hAnsi="Calibri"/>
          <w:b w:val="false"/>
          <w:bCs w:val="false"/>
          <w:i w:val="false"/>
          <w:iCs w:val="false"/>
          <w:sz w:val="22"/>
          <w:szCs w:val="22"/>
        </w:rPr>
        <w:t>Working through this formative self-assessment made me realize that the strongest argument for this project is not its technical sophistication but its connection to my own professional path in cybersecurity. I have spent the last part of my studies completing the CertiProf/Certifika cybersecurity track and an AWS Cloud Practitioner certification, and I am still working on additional certifications; choosing a project whose main pain points are security vulnerabilities changes how I approach the twelve weeks ahead: it is not just coursework to complete, but a chance to apply, in a real system, the same kind of vulnerability analysis and risk mitigation I have practiced through my certifications.</w:t>
      </w:r>
    </w:p>
    <w:p>
      <w:pPr>
        <w:pStyle w:val="Normal"/>
        <w:spacing w:before="0" w:after="160"/>
        <w:jc w:val="both"/>
        <w:rPr/>
      </w:pPr>
      <w:r>
        <w:rPr>
          <w:rFonts w:eastAsia="Calibri" w:cs="Calibri" w:ascii="Calibri" w:hAnsi="Calibri"/>
          <w:b w:val="false"/>
          <w:bCs w:val="false"/>
          <w:i w:val="false"/>
          <w:iCs w:val="false"/>
          <w:sz w:val="22"/>
          <w:szCs w:val="22"/>
        </w:rPr>
        <w:t>I also recognize that the greatest learning opportunity here is not building new functionality on an empty codebase, but auditing, prioritizing and correcting security defects on a real system before extending it. That discipline — treating every finding as a ticket with its own regression test, and every security gate as something to demonstrate rather than assume — is exactly the mindset expected in the Blue Team and Red Team roles I want to pursue professionally, ideally abroad, though I would also be comfortable starting my career here in Chile.</w:t>
      </w:r>
    </w:p>
    <w:p>
      <w:pPr>
        <w:pStyle w:val="Normal"/>
        <w:spacing w:before="0" w:after="160"/>
        <w:jc w:val="both"/>
        <w:rPr/>
      </w:pPr>
      <w:r>
        <w:rPr>
          <w:rFonts w:eastAsia="Calibri" w:cs="Calibri" w:ascii="Calibri" w:hAnsi="Calibri"/>
          <w:b w:val="false"/>
          <w:bCs w:val="false"/>
          <w:i w:val="false"/>
          <w:iCs w:val="false"/>
          <w:sz w:val="22"/>
          <w:szCs w:val="22"/>
        </w:rPr>
        <w:t>Finally, this exercise showed me where my definition still needs work: I need to revisit the quality-indicator table against the official rubric downloaded from the AVA, confirm with my instructor and my teammates which security-related indicators apply to my specific scope within the Backend and Portal subprojects, and request feedback before the next milestone, so that the adjustments happen now rather than after the summative evaluation.</w:t>
      </w:r>
    </w:p>
    <w:p>
      <w:pPr>
        <w:pStyle w:val="Heading1"/>
        <w:spacing w:before="300" w:after="150"/>
        <w:rPr/>
      </w:pPr>
      <w:r>
        <w:rPr/>
        <w:t>Referencias</w:t>
      </w:r>
    </w:p>
    <w:p>
      <w:pPr>
        <w:pStyle w:val="Normal"/>
        <w:spacing w:before="0" w:after="160"/>
        <w:jc w:val="both"/>
        <w:rPr/>
      </w:pPr>
      <w:r>
        <w:rPr>
          <w:rFonts w:eastAsia="Calibri" w:cs="Calibri" w:ascii="Calibri" w:hAnsi="Calibri"/>
          <w:b w:val="false"/>
          <w:bCs w:val="false"/>
          <w:i w:val="false"/>
          <w:iCs w:val="false"/>
          <w:sz w:val="22"/>
          <w:szCs w:val="22"/>
        </w:rPr>
        <w:t>KalliCode. (2026). Plan Scrum 3 – Backend [Documento interno de planificación de proyecto, Equipo 3].</w:t>
      </w:r>
    </w:p>
    <w:p>
      <w:pPr>
        <w:pStyle w:val="Normal"/>
        <w:spacing w:before="0" w:after="160"/>
        <w:jc w:val="both"/>
        <w:rPr/>
      </w:pPr>
      <w:r>
        <w:rPr>
          <w:rFonts w:eastAsia="Calibri" w:cs="Calibri" w:ascii="Calibri" w:hAnsi="Calibri"/>
          <w:b w:val="false"/>
          <w:bCs w:val="false"/>
          <w:i w:val="false"/>
          <w:iCs w:val="false"/>
          <w:sz w:val="22"/>
          <w:szCs w:val="22"/>
        </w:rPr>
        <w:t>KalliCode. (2026). Plan Scrum 4 – Portal [Documento interno de planificación de proyecto, Equipo 4].</w:t>
      </w:r>
    </w:p>
    <w:p>
      <w:pPr>
        <w:pStyle w:val="Normal"/>
        <w:spacing w:before="0" w:after="160"/>
        <w:jc w:val="both"/>
        <w:rPr/>
      </w:pPr>
      <w:r>
        <w:rPr>
          <w:rFonts w:eastAsia="Calibri" w:cs="Calibri" w:ascii="Calibri" w:hAnsi="Calibri"/>
          <w:b w:val="false"/>
          <w:bCs w:val="false"/>
          <w:i w:val="false"/>
          <w:iCs w:val="false"/>
          <w:sz w:val="22"/>
          <w:szCs w:val="22"/>
        </w:rPr>
        <w:t>International Organization for Standardization. (2011). ISO/IEC 25010: Systems and software engineering — Systems and software Quality Requirements and Evaluation (SQuaRE).</w:t>
      </w:r>
    </w:p>
    <w:p>
      <w:pPr>
        <w:pStyle w:val="Normal"/>
        <w:spacing w:before="0" w:after="160"/>
        <w:jc w:val="both"/>
        <w:rPr/>
      </w:pPr>
      <w:r>
        <w:rPr>
          <w:rFonts w:eastAsia="Calibri" w:cs="Calibri" w:ascii="Calibri" w:hAnsi="Calibri"/>
          <w:b w:val="false"/>
          <w:bCs w:val="false"/>
          <w:i w:val="false"/>
          <w:iCs w:val="false"/>
          <w:sz w:val="22"/>
          <w:szCs w:val="22"/>
        </w:rPr>
        <w:t>OWASP Foundation. (2021). OWASP Application Security Verification Standard (ASVS).</w:t>
      </w:r>
    </w:p>
    <w:p>
      <w:pPr>
        <w:pStyle w:val="Normal"/>
        <w:spacing w:before="0" w:after="160"/>
        <w:jc w:val="both"/>
        <w:rPr/>
      </w:pPr>
      <w:r>
        <w:rPr>
          <w:rFonts w:eastAsia="Calibri" w:cs="Calibri" w:ascii="Calibri" w:hAnsi="Calibri"/>
          <w:b w:val="false"/>
          <w:bCs w:val="false"/>
          <w:i w:val="false"/>
          <w:iCs w:val="false"/>
          <w:sz w:val="22"/>
          <w:szCs w:val="22"/>
        </w:rPr>
        <w:t>World Wide Web Consortium. (2018). Web Content Accessibility Guidelines (WCAG) 2.1.</w:t>
      </w:r>
    </w:p>
    <w:p>
      <w:pPr>
        <w:pStyle w:val="Normal"/>
        <w:spacing w:before="0" w:after="160"/>
        <w:jc w:val="both"/>
        <w:rPr/>
      </w:pPr>
      <w:r>
        <w:rPr>
          <w:rFonts w:eastAsia="Calibri" w:cs="Calibri" w:ascii="Calibri" w:hAnsi="Calibri"/>
          <w:b w:val="false"/>
          <w:bCs w:val="false"/>
          <w:i w:val="false"/>
          <w:iCs w:val="false"/>
          <w:sz w:val="22"/>
          <w:szCs w:val="22"/>
        </w:rPr>
        <w:t>Project Management Institute. (2021). A Guide to the Project Management Body of Knowledge (PMBOK Guide) (7th ed.).</w:t>
      </w:r>
    </w:p>
    <w:sectPr>
      <w:type w:val="nextPage"/>
      <w:pgSz w:w="11906" w:h="16838"/>
      <w:pgMar w:left="1440" w:right="1440" w:gutter="0" w:header="0" w:top="1440" w:footer="0" w:bottom="1440"/>
      <w:pgNumType w:fmt="decimal"/>
      <w:formProt w:val="false"/>
      <w:textDirection w:val="lrTb"/>
      <w:docGrid w:type="default" w:linePitch="360"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Liberation Sans">
    <w:altName w:val="Arial"/>
    <w:charset w:val="01"/>
    <w:family w:val="swiss"/>
    <w:pitch w:val="variable"/>
  </w:font>
  <w:font w:name="Calibri">
    <w:charset w:val="01"/>
    <w:family w:val="roman"/>
    <w:pitch w:val="variable"/>
  </w:font>
  <w:font w:name="Wingdings">
    <w:charset w:val="02"/>
    <w:family w:val="auto"/>
    <w:pitch w:val="default"/>
  </w:font>
  <w:font w:name="Wingdings 2">
    <w:charset w:val="02"/>
    <w:family w:val="auto"/>
    <w:pitch w:val="default"/>
  </w:font>
  <w:font w:name="OpenSymbol">
    <w:altName w:val="Arial Unicode MS"/>
    <w:charset w:val="01"/>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8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oto Serif CJK SC" w:cs="Noto Sans Devanagari"/>
        <w:lang w:val="es-CL" w:eastAsia="zh-CN" w:bidi="hi-IN"/>
      </w:rPr>
    </w:rPrDefault>
    <w:pPrDefault>
      <w:pPr>
        <w:suppressAutoHyphens w:val="true"/>
      </w:pPr>
    </w:pPrDefault>
  </w:docDefaults>
  <w:style w:type="paragraph" w:styleId="Normal">
    <w:name w:val="Normal"/>
    <w:qFormat/>
    <w:pPr>
      <w:widowControl/>
      <w:bidi w:val="0"/>
      <w:spacing w:before="0" w:after="0"/>
      <w:jc w:val="left"/>
    </w:pPr>
    <w:rPr>
      <w:rFonts w:ascii="Times New Roman" w:hAnsi="Times New Roman" w:eastAsia="Noto Serif CJK SC" w:cs="Noto Sans Devanagari"/>
      <w:color w:val="auto"/>
      <w:kern w:val="0"/>
      <w:sz w:val="20"/>
      <w:szCs w:val="20"/>
      <w:lang w:val="es-CL" w:eastAsia="zh-CN" w:bidi="hi-IN"/>
    </w:rPr>
  </w:style>
  <w:style w:type="paragraph" w:styleId="Heading1">
    <w:name w:val="Heading 1"/>
    <w:basedOn w:val="Ttulo"/>
    <w:qFormat/>
    <w:pPr/>
    <w:rPr>
      <w:color w:val="2E74B5"/>
      <w:sz w:val="32"/>
      <w:szCs w:val="32"/>
    </w:rPr>
  </w:style>
  <w:style w:type="paragraph" w:styleId="Heading2">
    <w:name w:val="Heading 2"/>
    <w:basedOn w:val="Ttulo"/>
    <w:qFormat/>
    <w:pPr/>
    <w:rPr>
      <w:color w:val="2E74B5"/>
      <w:sz w:val="26"/>
      <w:szCs w:val="26"/>
    </w:rPr>
  </w:style>
  <w:style w:type="paragraph" w:styleId="Heading3">
    <w:name w:val="Heading 3"/>
    <w:basedOn w:val="Ttulo"/>
    <w:qFormat/>
    <w:pPr/>
    <w:rPr>
      <w:color w:val="1F4D78"/>
      <w:sz w:val="24"/>
      <w:szCs w:val="24"/>
    </w:rPr>
  </w:style>
  <w:style w:type="paragraph" w:styleId="Heading4">
    <w:name w:val="Heading 4"/>
    <w:basedOn w:val="Ttulo"/>
    <w:qFormat/>
    <w:pPr/>
    <w:rPr>
      <w:i/>
      <w:iCs/>
      <w:color w:val="2E74B5"/>
    </w:rPr>
  </w:style>
  <w:style w:type="paragraph" w:styleId="Heading5">
    <w:name w:val="Heading 5"/>
    <w:basedOn w:val="Ttulo"/>
    <w:qFormat/>
    <w:pPr/>
    <w:rPr>
      <w:color w:val="2E74B5"/>
    </w:rPr>
  </w:style>
  <w:style w:type="paragraph" w:styleId="Heading6">
    <w:name w:val="Heading 6"/>
    <w:basedOn w:val="Ttulo"/>
    <w:qFormat/>
    <w:pPr/>
    <w:rPr>
      <w:color w:val="1F4D78"/>
    </w:rPr>
  </w:style>
  <w:style w:type="character" w:styleId="Hyperlink">
    <w:name w:val="Hyperlink"/>
    <w:uiPriority w:val="99"/>
    <w:unhideWhenUsed/>
    <w:rPr>
      <w:color w:val="0563C1"/>
      <w:u w:val="single"/>
    </w:rPr>
  </w:style>
  <w:style w:type="character" w:styleId="Caracteresdenotaalpie">
    <w:name w:val="Caracteres de nota al pie"/>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uiPriority w:val="99"/>
    <w:semiHidden/>
    <w:unhideWhenUsed/>
    <w:qFormat/>
    <w:rPr>
      <w:sz w:val="20"/>
      <w:szCs w:val="20"/>
    </w:rPr>
  </w:style>
  <w:style w:type="character" w:styleId="Caracteresdenotafinal">
    <w:name w:val="Caracteres de nota final"/>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uiPriority w:val="99"/>
    <w:semiHidden/>
    <w:unhideWhenUsed/>
    <w:qFormat/>
    <w:rPr>
      <w:sz w:val="20"/>
      <w:szCs w:val="20"/>
    </w:rPr>
  </w:style>
  <w:style w:type="paragraph" w:styleId="Ttulo">
    <w:name w:val="Título"/>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ndice">
    <w:name w:val="Índice"/>
    <w:basedOn w:val="Normal"/>
    <w:qFormat/>
    <w:pPr>
      <w:suppressLineNumbers/>
    </w:pPr>
    <w:rPr>
      <w:rFonts w:cs="Noto Sans Devanagari"/>
    </w:rPr>
  </w:style>
  <w:style w:type="paragraph" w:styleId="Title">
    <w:name w:val="Title"/>
    <w:basedOn w:val="Ttulo"/>
    <w:qFormat/>
    <w:pPr/>
    <w:rPr>
      <w:sz w:val="56"/>
      <w:szCs w:val="56"/>
    </w:rPr>
  </w:style>
  <w:style w:type="paragraph" w:styleId="StrongEmphasis">
    <w:name w:val="Strong Emphasis"/>
    <w:qFormat/>
    <w:pPr>
      <w:widowControl/>
      <w:bidi w:val="0"/>
      <w:spacing w:before="0" w:after="0"/>
      <w:jc w:val="left"/>
    </w:pPr>
    <w:rPr>
      <w:rFonts w:ascii="Times New Roman" w:hAnsi="Times New Roman" w:eastAsia="Noto Serif CJK SC" w:cs="Noto Sans Devanagari"/>
      <w:b/>
      <w:bCs/>
      <w:color w:val="auto"/>
      <w:kern w:val="0"/>
      <w:sz w:val="20"/>
      <w:szCs w:val="20"/>
      <w:lang w:val="es-CL" w:eastAsia="zh-CN" w:bidi="hi-IN"/>
    </w:rPr>
  </w:style>
  <w:style w:type="paragraph" w:styleId="ListParagraph">
    <w:name w:val="List Paragraph"/>
    <w:qFormat/>
    <w:pPr>
      <w:widowControl/>
      <w:bidi w:val="0"/>
      <w:spacing w:before="0" w:after="0"/>
      <w:jc w:val="left"/>
    </w:pPr>
    <w:rPr>
      <w:rFonts w:ascii="Times New Roman" w:hAnsi="Times New Roman" w:eastAsia="Noto Serif CJK SC" w:cs="Noto Sans Devanagari"/>
      <w:color w:val="auto"/>
      <w:kern w:val="0"/>
      <w:sz w:val="20"/>
      <w:szCs w:val="20"/>
      <w:lang w:val="es-CL"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TotalTime>
  <Application>LibreOffice/24.2.7.2$Linux_X86_64 LibreOffice_project/420$Build-2</Application>
  <AppVersion>15.0000</AppVersion>
  <Pages>10</Pages>
  <Words>3106</Words>
  <Characters>18118</Characters>
  <CharactersWithSpaces>21085</CharactersWithSpaces>
  <Paragraphs>142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2026-09-08T02:29:57Z</dcterms:created>
  <dc:creator>Un-named</dc:creator>
  <dc:description/>
  <dc:language>es-CL</dc:language>
  <cp:lastModifiedBy/>
  <dcterms:modified xsi:type="dcterms:W3CDTF">2026-09-07T23:58:01Z</dcterms:modified>
  <cp:revision>2</cp:revision>
  <dc:subject/>
  <dc:title/>
</cp:coreProperties>
</file>