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6"/>
        </w:rPr>
        <w:t>Gold, Silver, and the Rise of Fiat Money</w:t>
      </w:r>
    </w:p>
    <w:p>
      <w:pPr>
        <w:spacing w:after="80"/>
        <w:jc w:val="center"/>
      </w:pPr>
      <w:r>
        <w:rPr>
          <w:b w:val="0"/>
          <w:i/>
          <w:sz w:val="24"/>
        </w:rPr>
        <w:t>An Educational Briefing on Why Precious Metals Became Currency—and How Modern Fiat Systems Emerged</w:t>
      </w:r>
    </w:p>
    <w:p>
      <w:pPr>
        <w:spacing w:after="320"/>
        <w:jc w:val="center"/>
      </w:pPr>
      <w:r>
        <w:rPr>
          <w:b w:val="0"/>
          <w:i/>
          <w:sz w:val="20"/>
        </w:rPr>
        <w:t>Educational briefing note · Canadian English · September 2026</w:t>
      </w:r>
    </w:p>
    <w:p>
      <w:pPr>
        <w:pStyle w:val="Heading1"/>
      </w:pPr>
      <w:r>
        <w:t>Introduction</w:t>
      </w:r>
    </w:p>
    <w:p>
      <w:pPr>
        <w:spacing w:after="160"/>
      </w:pPr>
      <w:r>
        <w:t>How did humanity move from weighing lumps of gold and silver to trusting paper and pixels that no longer redeem in metal?</w:t>
      </w:r>
    </w:p>
    <w:p>
      <w:pPr>
        <w:spacing w:after="160"/>
      </w:pPr>
      <w:r>
        <w:t>For most of recorded economic history, money was a physical good—most often gold or silver—accepted because others would accept it too. Only in the twentieth century did the world's major economies complete the shift to pure fiat currency: legal tender by decree, not redeemable in precious metal, and valued chiefly through trust in the issuer and the economy behind it.</w:t>
      </w:r>
    </w:p>
    <w:p>
      <w:pPr>
        <w:spacing w:after="160"/>
      </w:pPr>
      <w:r>
        <w:t>This briefing explains why societies needed money; why gold and silver proved especially suitable; how coinage, banknotes, and metallic standards evolved; and how wartime suspensions, the classical gold standard, Bretton Woods, and the 1971 closing of the United States gold window produced today's fiat regime. Metallic and fiat systems each have strengths and weaknesses; neither is offered as a policy prescription.</w:t>
      </w:r>
    </w:p>
    <w:p>
      <w:pPr>
        <w:pStyle w:val="Heading1"/>
      </w:pPr>
      <w:r>
        <w:t>1. Why Money at All</w:t>
      </w:r>
    </w:p>
    <w:p>
      <w:pPr>
        <w:spacing w:after="160"/>
      </w:pPr>
      <w:r>
        <w:t>Before money, exchange often meant barter. Barter works in small, repeated communities, but it stumbles on the coincidence of wants: a fisher who wants berries must find a berry-picker who wants fish, at the same moment, in matching quantities. As the Bank of England notes in its educational history of money, seasonal goods, perishable produce, and specialised skills make such matches unreliable. Accounting, credit, and commodity intermediaries therefore appeared long before anyone minted a coin.</w:t>
      </w:r>
    </w:p>
    <w:p>
      <w:pPr>
        <w:spacing w:after="160"/>
      </w:pPr>
      <w:r>
        <w:t>Early societies used many media of exchange—livestock, cowry shells, grain, copper tools, and weighed metals. The Bank of England observes that cows became units of exchange after domestication, and that cowry shells circulated widely in Asia, Africa, and Oceania (with early documented use in China around 1300 BCE). Money, in this sense, is less a pure government invention than a practical answer to the high transaction costs of direct barter and the need for three functions: a common unit of account, a medium of exchange, and a store of value.</w:t>
      </w:r>
    </w:p>
    <w:p>
      <w:pPr>
        <w:spacing w:before="80" w:after="240"/>
        <w:ind w:left="360"/>
      </w:pPr>
      <w:r>
        <w:rPr>
          <w:b/>
          <w:i/>
        </w:rPr>
        <w:t xml:space="preserve">Key takeaway: </w:t>
      </w:r>
      <w:r>
        <w:rPr>
          <w:i/>
        </w:rPr>
        <w:t>Money emerges where barter's frictions bite hardest—when people need a shared yardstick for value and a portable claim that others will accept.</w:t>
      </w:r>
    </w:p>
    <w:p>
      <w:pPr>
        <w:pStyle w:val="Heading1"/>
      </w:pPr>
      <w:r>
        <w:t>2. Why Gold and Silver</w:t>
      </w:r>
    </w:p>
    <w:p>
      <w:pPr>
        <w:spacing w:after="160"/>
      </w:pPr>
      <w:r>
        <w:t>Among candidate commodities, gold and silver rose repeatedly to the top because their properties align unusually well with money's jobs:</w:t>
      </w:r>
    </w:p>
    <w:p>
      <w:pPr>
        <w:pStyle w:val="ListBullet"/>
        <w:spacing w:after="80"/>
      </w:pPr>
      <w:r>
        <w:rPr>
          <w:b/>
        </w:rPr>
        <w:t xml:space="preserve">Durability. </w:t>
      </w:r>
      <w:r>
        <w:t>They resist corrosion and do not spoil, unlike grain or livestock.</w:t>
      </w:r>
    </w:p>
    <w:p>
      <w:pPr>
        <w:pStyle w:val="ListBullet"/>
        <w:spacing w:after="80"/>
      </w:pPr>
      <w:r>
        <w:rPr>
          <w:b/>
        </w:rPr>
        <w:t xml:space="preserve">Divisibility and fusibility. </w:t>
      </w:r>
      <w:r>
        <w:t>Soft metals can be melted and reminted into pieces sized for large or small payments.</w:t>
      </w:r>
    </w:p>
    <w:p>
      <w:pPr>
        <w:pStyle w:val="ListBullet"/>
        <w:spacing w:after="80"/>
      </w:pPr>
      <w:r>
        <w:rPr>
          <w:b/>
        </w:rPr>
        <w:t xml:space="preserve">Portability. </w:t>
      </w:r>
      <w:r>
        <w:t>High value-to-weight ratios pack substantial purchasing power into small bulk, easing long-distance trade.</w:t>
      </w:r>
    </w:p>
    <w:p>
      <w:pPr>
        <w:pStyle w:val="ListBullet"/>
        <w:spacing w:after="80"/>
      </w:pPr>
      <w:r>
        <w:rPr>
          <w:b/>
        </w:rPr>
        <w:t xml:space="preserve">Scarcity. </w:t>
      </w:r>
      <w:r>
        <w:t>Annual new production is limited relative to existing stocks, supporting money's store-of-value role—though large discoveries (New World silver; nineteenth-century gold rushes) can still disturb prices.</w:t>
      </w:r>
    </w:p>
    <w:p>
      <w:pPr>
        <w:pStyle w:val="ListBullet"/>
        <w:spacing w:after="80"/>
      </w:pPr>
      <w:r>
        <w:rPr>
          <w:b/>
        </w:rPr>
        <w:t xml:space="preserve">Uniformity and recognisability. </w:t>
      </w:r>
      <w:r>
        <w:t>Once refined and stamped, coins of known weight and fineness are easier to verify than heterogeneous goods.</w:t>
      </w:r>
    </w:p>
    <w:p>
      <w:pPr>
        <w:spacing w:after="160"/>
      </w:pPr>
      <w:r>
        <w:t xml:space="preserve">Carl Menger's classic account of money's emergence stresses </w:t>
      </w:r>
      <w:r>
        <w:t>"saleableness"</w:t>
      </w:r>
      <w:r>
        <w:t>: traders favour goods that others will readily accept across time and place. Gold and silver scored highly on that criterion. Their monetary status was partly spontaneous market selection and partly later reinforced by state coinage, legal tender laws, and mint monopolies.</w:t>
      </w:r>
    </w:p>
    <w:p>
      <w:pPr>
        <w:spacing w:before="80" w:after="240"/>
        <w:ind w:left="360"/>
      </w:pPr>
      <w:r>
        <w:rPr>
          <w:b/>
          <w:i/>
        </w:rPr>
        <w:t xml:space="preserve">Key takeaway: </w:t>
      </w:r>
      <w:r>
        <w:rPr>
          <w:i/>
        </w:rPr>
        <w:t>Gold and silver won not by decree alone, but because they were durable, scarce, and widely "saleable"—qualities markets and states then locked in with stamps and law.</w:t>
      </w:r>
    </w:p>
    <w:p>
      <w:pPr>
        <w:pStyle w:val="Heading1"/>
      </w:pPr>
      <w:r>
        <w:t>3. From Metal to Coins</w:t>
      </w:r>
    </w:p>
    <w:p>
      <w:pPr>
        <w:pStyle w:val="Heading2"/>
      </w:pPr>
      <w:r>
        <w:t>Lydia, Greece, and Rome</w:t>
      </w:r>
    </w:p>
    <w:p>
      <w:pPr>
        <w:spacing w:after="160"/>
      </w:pPr>
      <w:r>
        <w:t>According to a widely accepted historical consensus, the earliest precious-metal coinage emerged in the kingdom of Lydia (western Anatolia, now Turkey) in the second half of the seventh century BCE, using electrum—an alloy of gold and silver. Stamped pieces cut verification costs: merchants could count rather than reweigh every lump. The World Gold Council notes that gold coins were struck on the order of King Croesus of Lydia around 550 BCE.</w:t>
      </w:r>
    </w:p>
    <w:p>
      <w:pPr>
        <w:spacing w:after="160"/>
      </w:pPr>
      <w:r>
        <w:t>Greek city-states soon adopted silver coinage extensively; Rome developed a layered system of silver (such as the denarius) and gold issues alongside base-metal small change. Debasement—reducing metal content while keeping face value—was already a recurring fiscal temptation in antiquity, as it would be later.</w:t>
      </w:r>
    </w:p>
    <w:p>
      <w:pPr>
        <w:pStyle w:val="Heading2"/>
      </w:pPr>
      <w:r>
        <w:t>China, India, and silver</w:t>
      </w:r>
    </w:p>
    <w:p>
      <w:pPr>
        <w:spacing w:after="160"/>
      </w:pPr>
      <w:r>
        <w:t>China followed a different path. Early Chinese money included bronze cowrie imitations and tool-shaped pieces before round cash coins. China was also first to use paper money extensively (from roughly the seventh century CE). The Bank of England notes that later Ming efforts to replace coins with paper contributed to over-issue and inflation. After paper failures, uncoined silver—weighed by the tael—became central to large trade and, under Ming fiscal reforms culminating in the Single Whip Reform (1581), to tax payments. China remained largely on silver into the early twentieth century while most industrial economies converged on gold (World Gold Council).</w:t>
      </w:r>
    </w:p>
    <w:p>
      <w:pPr>
        <w:spacing w:after="160"/>
      </w:pPr>
      <w:r>
        <w:t>In South Asia, the silver rupiya associated with Sher Shah Suri in the mid-sixteenth century became a lasting template. British India's Coinage Act of 1835 established a uniform monometallic silver rupee. After silver's gold price fell from the 1870s, the rupee depreciated against sterling, raising the cost of India's sterling obligations. India closed mints to free silver coinage in 1893 and moved toward a gold-exchange standard by the late 1890s, pegging the rupee to sterling while silver coins continued to circulate—showing how silver standards interacted with a gold-centred world.</w:t>
      </w:r>
    </w:p>
    <w:p>
      <w:pPr>
        <w:pStyle w:val="Heading2"/>
      </w:pPr>
      <w:r>
        <w:t>Bimetallism</w:t>
      </w:r>
    </w:p>
    <w:p>
      <w:pPr>
        <w:spacing w:after="160"/>
      </w:pPr>
      <w:r>
        <w:t>Bimetallism makes both gold and silver full legal tender at a legally fixed ratio. The U.S. Coinage Act of 1792 defined the dollar in both metals (Britannica cites 24.75 grains of gold or 371.25 grains of silver). When the mint ratio diverged from the market ratio, Gresham's Law tended to operate: the legally overvalued metal drove the undervalued metal out of circulation. Nineteenth-century metal discoveries repeatedly unsettled bimetallic systems, pushing many countries toward gold monometallism.</w:t>
      </w:r>
    </w:p>
    <w:p>
      <w:pPr>
        <w:spacing w:before="80" w:after="240"/>
        <w:ind w:left="360"/>
      </w:pPr>
      <w:r>
        <w:rPr>
          <w:b/>
          <w:i/>
        </w:rPr>
        <w:t xml:space="preserve">Key takeaway: </w:t>
      </w:r>
      <w:r>
        <w:rPr>
          <w:i/>
        </w:rPr>
        <w:t>Coinage turned metal into trusted tokens; regional paths diverged—Mediterranean gold and silver, Chinese paper then silver, Indian silver then a sterling peg—while bimetallism often buckled when legal ratios drifted from market prices.</w:t>
      </w:r>
    </w:p>
    <w:p>
      <w:pPr>
        <w:pStyle w:val="Heading1"/>
      </w:pPr>
      <w:r>
        <w:t>4. Commodity versus Representative Money</w:t>
      </w:r>
    </w:p>
    <w:p>
      <w:pPr>
        <w:spacing w:after="160"/>
      </w:pPr>
      <w:r>
        <w:rPr>
          <w:b/>
        </w:rPr>
        <w:t>Commodity money</w:t>
      </w:r>
      <w:r>
        <w:t xml:space="preserve"> derives value primarily from the object itself—gold coins, silver rupees, or weighed bullion. </w:t>
      </w:r>
      <w:r>
        <w:rPr>
          <w:b/>
        </w:rPr>
        <w:t>Representative money</w:t>
      </w:r>
      <w:r>
        <w:t xml:space="preserve"> is a claim on a commodity held in reserve: a warehouse receipt, goldsmith's note, or banknote redeemable in metal on demand.</w:t>
      </w:r>
    </w:p>
    <w:p>
      <w:pPr>
        <w:spacing w:after="160"/>
      </w:pPr>
      <w:r>
        <w:t xml:space="preserve">In seventeenth-century London, goldsmiths accepted coin deposits and issued receipts. The Bank of England explains that these </w:t>
      </w:r>
      <w:r>
        <w:t>"running cash notes"</w:t>
      </w:r>
      <w:r>
        <w:t xml:space="preserve"> promised to pay the bearer on demand and became convenient payment instruments; similar wording still appears on Bank of England notes. When the Bank was founded in 1694, it issued notes as deposit receipts that evolved into modern banknotes. China had pioneered paper money centuries earlier; Sweden issued European banknotes in 1661.</w:t>
      </w:r>
    </w:p>
    <w:p>
      <w:pPr>
        <w:spacing w:after="160"/>
      </w:pPr>
      <w:r>
        <w:t>Representative money economised on moving heavy metal and enabled fractional reserves, expanding liquidity—but also introducing runs, over-issue, and wartime suspensions of convertibility. Britain's Restriction Period (1797–1821) is a clear example of convertibility paused under fiscal and military strain.</w:t>
      </w:r>
    </w:p>
    <w:p>
      <w:pPr>
        <w:pStyle w:val="Heading1"/>
      </w:pPr>
      <w:r>
        <w:t>5. The Gold Standard and Bimetallism</w:t>
      </w:r>
    </w:p>
    <w:p>
      <w:pPr>
        <w:spacing w:after="160"/>
      </w:pPr>
      <w:r>
        <w:t>Britannica defines the gold standard as a system in which the monetary unit is a fixed quantity of gold or is freely convertible into gold at a fixed price. Britain consolidated a gold standard in the early nineteenth century (Britannica cites 1821). Most other countries remained on silver or bimetallism until the 1870s.</w:t>
      </w:r>
    </w:p>
    <w:p>
      <w:pPr>
        <w:spacing w:after="160"/>
      </w:pPr>
      <w:r>
        <w:t xml:space="preserve">The classical international gold standard is generally dated from the 1870s to 1914. The World Gold Council notes that newly unified Germany's move toward gold after the Franco-Prussian War encouraged others to follow, alongside Britain's financial dominance and shifts in relative metal supplies. By about 1900, nearly all major economies except China and some Central American countries were on gold. Currencies were convertible at fixed parities; gold could cross borders; exchange rates were tightly constrained. David Hume's price-specie-flow mechanism described self-correction via gold flows and prices—though central banks used discount rates and did not always follow the </w:t>
      </w:r>
      <w:r>
        <w:t>"rules of the game"</w:t>
      </w:r>
      <w:r>
        <w:t xml:space="preserve"> perfectly.</w:t>
      </w:r>
    </w:p>
    <w:p>
      <w:pPr>
        <w:spacing w:after="160"/>
      </w:pPr>
      <w:r>
        <w:t xml:space="preserve">Silver and bimetallism remained politically charged. In the United States, the Coinage Act of 1873 ended free coinage of silver dollars (the </w:t>
      </w:r>
      <w:r>
        <w:t>"Crime of '73"</w:t>
      </w:r>
      <w:r>
        <w:t xml:space="preserve"> to silver interests). Debates culminated in William Jennings Bryan's 1896 </w:t>
      </w:r>
      <w:r>
        <w:t>"Cross of Gold"</w:t>
      </w:r>
      <w:r>
        <w:t xml:space="preserve"> speech defending free silver against deflation associated with tight gold money. The Gold Standard Act of 1900 formalised a U.S. gold standard.</w:t>
      </w:r>
    </w:p>
    <w:p>
      <w:pPr>
        <w:spacing w:after="160"/>
      </w:pPr>
      <w:r>
        <w:t>World War I shattered classical convertibility. Interwar gold-exchange restorations proved fragile; Britain left gold in 1931; the United States ended domestic convertibility in 1933 and in 1934 revalued gold to $35 per ounce—the price later used at Bretton Woods.</w:t>
      </w:r>
    </w:p>
    <w:p>
      <w:pPr>
        <w:spacing w:before="80" w:after="240"/>
        <w:ind w:left="360"/>
      </w:pPr>
      <w:r>
        <w:rPr>
          <w:b/>
          <w:i/>
        </w:rPr>
        <w:t xml:space="preserve">Key takeaway: </w:t>
      </w:r>
      <w:r>
        <w:rPr>
          <w:i/>
        </w:rPr>
        <w:t>The classical gold standard knitted currencies to metal and to each other—until war, politics, and depression snapped the links country by country.</w:t>
      </w:r>
    </w:p>
    <w:p>
      <w:pPr>
        <w:pStyle w:val="Heading1"/>
      </w:pPr>
      <w:r>
        <w:t>6. How Fiat Emerged: Wars, Bretton Woods, and 1971</w:t>
      </w:r>
    </w:p>
    <w:p>
      <w:pPr>
        <w:pStyle w:val="Heading2"/>
      </w:pPr>
      <w:r>
        <w:t>Wartime and Depression suspensions</w:t>
      </w:r>
    </w:p>
    <w:p>
      <w:pPr>
        <w:spacing w:after="160"/>
      </w:pPr>
      <w:r>
        <w:t>Fiat episodes are not uniquely modern. U.S. Civil War greenbacks (Legal Tender Act, 1862) were paper legal tender not backed by gold or silver. Wartime and crisis suspensions repeatedly showed that convertibility could be postponed when survival or macro-stabilisation seemed to require it. The twentieth century made such breaks systemic rather than temporary.</w:t>
      </w:r>
    </w:p>
    <w:p>
      <w:pPr>
        <w:pStyle w:val="Heading2"/>
      </w:pPr>
      <w:r>
        <w:t>Bretton Woods</w:t>
      </w:r>
    </w:p>
    <w:p>
      <w:pPr>
        <w:spacing w:after="160"/>
      </w:pPr>
      <w:r>
        <w:t>In July 1944, delegates from forty-four nations met at Bretton Woods, New Hampshire. As Federal Reserve History explains, they created the IMF and what became the World Bank Group. Currencies were fixed but adjustable to the U.S. dollar, and the dollar was fixed to gold at $35 an ounce. The system became fully operational for convertibility around 1958. Unlike the classical gold standard, Bretton Woods allowed capital controls and placed the dollar—not circulating gold coin—at the centre of settlement.</w:t>
      </w:r>
    </w:p>
    <w:p>
      <w:pPr>
        <w:spacing w:after="160"/>
      </w:pPr>
      <w:r>
        <w:t>The arrangement contained a structural tension later labelled the Triffin dilemma: the world needed growing dollar reserves, but persistent U.S. deficits eventually made foreign-held dollars exceed U.S. gold at the official price. The London Gold Pool (1961–1968) and Federal Reserve swap lines were temporary defences. Vietnam War spending, domestic programmes, and inflation intensified the strain by the late 1960s.</w:t>
      </w:r>
    </w:p>
    <w:p>
      <w:pPr>
        <w:pStyle w:val="Heading2"/>
      </w:pPr>
      <w:r>
        <w:t>The Nixon Shock and pure fiat</w:t>
      </w:r>
    </w:p>
    <w:p>
      <w:pPr>
        <w:spacing w:after="160"/>
      </w:pPr>
      <w:r>
        <w:t xml:space="preserve">On 15 August 1971, President Richard Nixon suspended dollar convertibility into gold for foreign official holders—closing the </w:t>
      </w:r>
      <w:r>
        <w:t>"gold window"</w:t>
      </w:r>
      <w:r>
        <w:t xml:space="preserve">—alongside a wage-price freeze and a 10 percent import surcharge. Federal Reserve History and the U.S. State Department Office of the Historian describe this </w:t>
      </w:r>
      <w:r>
        <w:t>"Nixon Shock"</w:t>
      </w:r>
      <w:r>
        <w:t xml:space="preserve"> as the beginning of the end of Bretton Woods. The Smithsonian Agreement (December 1971) tried to restore pegs around a devalued dollar; by March 1973 major currencies floated. The IMF's Second Amendment (Jamaica 1976; effective 1978) formally accepted floating rates, eliminated gold's official monetary role in the Fund, and emphasised surveillance. Since then, national fiat currencies managed by central banks have predominated, with gold retained as a reserve asset rather than the legal anchor of money.</w:t>
      </w:r>
    </w:p>
    <w:p>
      <w:pPr>
        <w:spacing w:before="80" w:after="240"/>
        <w:ind w:left="360"/>
      </w:pPr>
      <w:r>
        <w:rPr>
          <w:b/>
          <w:i/>
        </w:rPr>
        <w:t xml:space="preserve">Key takeaway: </w:t>
      </w:r>
      <w:r>
        <w:rPr>
          <w:i/>
        </w:rPr>
        <w:t>Fiat did not arrive overnight; wars, depression, and the unraveling of Bretton Woods turned temporary suspensions into a permanent, dollar-centred floating world.</w:t>
      </w:r>
    </w:p>
    <w:p>
      <w:pPr>
        <w:pStyle w:val="Heading1"/>
      </w:pPr>
      <w:r>
        <w:t>7. What Fiat Means Today</w:t>
      </w:r>
    </w:p>
    <w:p>
      <w:pPr>
        <w:spacing w:after="160"/>
      </w:pPr>
      <w:r>
        <w:t>Encyclopaedia Britannica defines fiat money as money made legal tender by government decree (</w:t>
      </w:r>
      <w:r>
        <w:t>"fiat"</w:t>
      </w:r>
      <w:r>
        <w:t>). In ordinary usage it means legal-tender paper or token coins whose face values far exceed commodity values and that are not redeemable in gold or silver.</w:t>
      </w:r>
    </w:p>
    <w:p>
      <w:pPr>
        <w:spacing w:after="160"/>
      </w:pPr>
      <w:r>
        <w:t>Value rests on three pillars: legal tender status (creditors must generally accept it for debts in that unit); trust in the issuing authority and the fiscal-monetary framework; and network effects—people accept money because others accept it for goods, taxes, and wages. Modern bank deposits and electronic payments are mostly private liabilities denominated in fiat units under public regulation.</w:t>
      </w:r>
    </w:p>
    <w:p>
      <w:pPr>
        <w:pStyle w:val="Heading1"/>
      </w:pPr>
      <w:r>
        <w:t>8. Metallic versus Fiat: Trade-offs</w:t>
      </w:r>
    </w:p>
    <w:p>
      <w:pPr>
        <w:spacing w:after="160"/>
      </w:pPr>
      <w:r>
        <w:rPr>
          <w:b/>
        </w:rPr>
        <w:t>Metallic systems</w:t>
      </w:r>
      <w:r>
        <w:t xml:space="preserve"> (commodity or convertibility-based). Strengths often cited include a long-run constraint on money creation, exchange-rate stability when many countries share the same metal anchor, and a tangible reserve independent of any single government's promise. Weaknesses include dependence on mining discoveries; costly deflationary adjustment when gold flows out; limited room for discretionary stabilisation in deep recessions or panics; and evidence that rigid gold adherence worsened the Great Depression for countries that stayed on longest (a point later emphasised by Ben Bernanke and summarised in Britannica's debate materials).</w:t>
      </w:r>
    </w:p>
    <w:p>
      <w:pPr>
        <w:spacing w:after="160"/>
      </w:pPr>
      <w:r>
        <w:rPr>
          <w:b/>
        </w:rPr>
        <w:t>Fiat systems.</w:t>
      </w:r>
      <w:r>
        <w:t xml:space="preserve"> Strengths include elasticity to meet crisis liquidity needs; room for counter-cyclical policy; and independence from the physical lottery of metal discoveries. Weaknesses include vulnerability to inflation or hyperinflation when institutions are weak (historical Chinese paper experiments and modern hyperinflations are cautionary); dependence on credibility that can erode; and political pressure to monetise deficits. Floating rates can absorb shocks but also generate volatility.</w:t>
      </w:r>
    </w:p>
    <w:p>
      <w:pPr>
        <w:spacing w:after="160"/>
      </w:pPr>
      <w:r>
        <w:t>In short, metallic anchors discipline but can bind too tightly; fiat flexibility enables stabilisation but requires institutional restraint. Most contemporary economies favour managed fiat with inflation targets, while still holding gold as a diversified reserve—not as circulating money.</w:t>
      </w:r>
    </w:p>
    <w:p>
      <w:pPr>
        <w:spacing w:before="80" w:after="240"/>
        <w:ind w:left="360"/>
      </w:pPr>
      <w:r>
        <w:rPr>
          <w:b/>
          <w:i/>
        </w:rPr>
        <w:t xml:space="preserve">Key takeaway: </w:t>
      </w:r>
      <w:r>
        <w:rPr>
          <w:i/>
        </w:rPr>
        <w:t>Discipline versus flexibility is the enduring trade-off—metallic rules constrain abuse; fiat rules need credible institutions to do the same job.</w:t>
      </w:r>
    </w:p>
    <w:p>
      <w:pPr>
        <w:pStyle w:val="Heading1"/>
      </w:pPr>
      <w:r>
        <w:t>Conclusion</w:t>
      </w:r>
    </w:p>
    <w:p>
      <w:pPr>
        <w:spacing w:after="160"/>
      </w:pPr>
      <w:r>
        <w:t>Societies adopted money to overcome the limits of barter and to create shared units of account. Gold and silver became money because they combined durability, divisibility, portability, scarcity, uniformity, and recognisability better than most alternatives. Coinage in Lydia and the classical Mediterranean, silver practices in China and India, and European bimetallism show regional variety within that metallic theme.</w:t>
      </w:r>
    </w:p>
    <w:p>
      <w:pPr>
        <w:spacing w:after="160"/>
      </w:pPr>
      <w:r>
        <w:t>Banknotes began as representative claims on metal; crises repeatedly loosened the link. The classical gold standard (roughly 1870s–1914) internationalised convertibility; Bretton Woods recentred the system on a gold-dollar pledge; and the 1971 Nixon Shock, followed by IMF legal reforms, completed the move to modern pure fiat.</w:t>
      </w:r>
    </w:p>
    <w:p>
      <w:pPr>
        <w:spacing w:after="160"/>
      </w:pPr>
      <w:r>
        <w:t>Understanding that arc is less about nostalgia for gold or celebration of paper than about seeing money as an evolving social technology—always dependent on trust, always shaped by war, trade, and politics, and always trading off discipline against flexibility.</w:t>
      </w:r>
    </w:p>
    <w:p>
      <w:pPr>
        <w:pStyle w:val="Heading1"/>
      </w:pPr>
      <w:r>
        <w:t>Sources and References</w:t>
      </w:r>
    </w:p>
    <w:p>
      <w:pPr>
        <w:spacing w:after="160"/>
      </w:pPr>
      <w:r>
        <w:t>The following sources were consulted while preparing this document. URLs are those actually used; no fabricated citations are included.</w:t>
      </w:r>
    </w:p>
    <w:p>
      <w:pPr>
        <w:spacing w:after="40"/>
      </w:pPr>
      <w:r>
        <w:t>1. Bank of England, "How has money changed over time?"</w:t>
      </w:r>
    </w:p>
    <w:p>
      <w:pPr>
        <w:spacing w:after="160"/>
        <w:ind w:left="360"/>
      </w:pPr>
      <w:r>
        <w:rPr>
          <w:color w:val="005599"/>
          <w:sz w:val="18"/>
        </w:rPr>
        <w:t>https://www.bankofengland.co.uk/explainers/how-has-money-changed-over-time</w:t>
      </w:r>
    </w:p>
    <w:p>
      <w:pPr>
        <w:spacing w:after="40"/>
      </w:pPr>
      <w:r>
        <w:t>2. Bank of England Museum, "Our earliest Bank of England note" (Miranda Garrett, 5 March 2021)</w:t>
      </w:r>
    </w:p>
    <w:p>
      <w:pPr>
        <w:spacing w:after="160"/>
        <w:ind w:left="360"/>
      </w:pPr>
      <w:r>
        <w:rPr>
          <w:color w:val="005599"/>
          <w:sz w:val="18"/>
        </w:rPr>
        <w:t>https://www.bankofengland.co.uk/museum/online-collections/blog/our-earliest-bank-of-england-note</w:t>
      </w:r>
    </w:p>
    <w:p>
      <w:pPr>
        <w:spacing w:after="40"/>
      </w:pPr>
      <w:r>
        <w:t>3. Bank of England, "The Bank of England note — a short history" (Quarterly Bulletin, 1969)</w:t>
      </w:r>
    </w:p>
    <w:p>
      <w:pPr>
        <w:spacing w:after="160"/>
        <w:ind w:left="360"/>
      </w:pPr>
      <w:r>
        <w:rPr>
          <w:color w:val="005599"/>
          <w:sz w:val="18"/>
        </w:rPr>
        <w:t>https://www.bankofengland.co.uk/quarterly-bulletin/1969/q2/the-bank-of-england-note---a-short-history</w:t>
      </w:r>
    </w:p>
    <w:p>
      <w:pPr>
        <w:spacing w:after="40"/>
      </w:pPr>
      <w:r>
        <w:t>4. Federal Reserve History, "Creation of the Bretton Woods System" (Sandra Kollen Ghizoni)</w:t>
      </w:r>
    </w:p>
    <w:p>
      <w:pPr>
        <w:spacing w:after="160"/>
        <w:ind w:left="360"/>
      </w:pPr>
      <w:r>
        <w:rPr>
          <w:color w:val="005599"/>
          <w:sz w:val="18"/>
        </w:rPr>
        <w:t>https://www.federalreservehistory.org/essays/bretton-woods-created</w:t>
      </w:r>
    </w:p>
    <w:p>
      <w:pPr>
        <w:spacing w:after="40"/>
      </w:pPr>
      <w:r>
        <w:t>5. Federal Reserve History, "Nixon Ends Convertibility of U.S. Dollars to Gold and Announces Wage/Price Controls"</w:t>
      </w:r>
    </w:p>
    <w:p>
      <w:pPr>
        <w:spacing w:after="160"/>
        <w:ind w:left="360"/>
      </w:pPr>
      <w:r>
        <w:rPr>
          <w:color w:val="005599"/>
          <w:sz w:val="18"/>
        </w:rPr>
        <w:t>https://www.federalreservehistory.org/essays/gold-convertibility-ends</w:t>
      </w:r>
    </w:p>
    <w:p>
      <w:pPr>
        <w:spacing w:after="40"/>
      </w:pPr>
      <w:r>
        <w:t>6. U.S. Department of State, Office of the Historian, "Nixon and the End of the Bretton Woods System, 1971–1973"</w:t>
      </w:r>
    </w:p>
    <w:p>
      <w:pPr>
        <w:spacing w:after="160"/>
        <w:ind w:left="360"/>
      </w:pPr>
      <w:r>
        <w:rPr>
          <w:color w:val="005599"/>
          <w:sz w:val="18"/>
        </w:rPr>
        <w:t>https://history.state.gov/milestones/1969-1976/nixon-shock</w:t>
      </w:r>
    </w:p>
    <w:p>
      <w:pPr>
        <w:spacing w:after="40"/>
      </w:pPr>
      <w:r>
        <w:t>7. Encyclopaedia Britannica, "gold standard" (summary)</w:t>
      </w:r>
    </w:p>
    <w:p>
      <w:pPr>
        <w:spacing w:after="160"/>
        <w:ind w:left="360"/>
      </w:pPr>
      <w:r>
        <w:rPr>
          <w:color w:val="005599"/>
          <w:sz w:val="18"/>
        </w:rPr>
        <w:t>https://www.britannica.com/summary/gold-standard</w:t>
      </w:r>
    </w:p>
    <w:p>
      <w:pPr>
        <w:spacing w:after="40"/>
      </w:pPr>
      <w:r>
        <w:t>8. Encyclopaedia Britannica / ProCon, "Gold Standard" (definitions of gold standard and fiat; U.S. chronological overview)</w:t>
      </w:r>
    </w:p>
    <w:p>
      <w:pPr>
        <w:spacing w:after="160"/>
        <w:ind w:left="360"/>
      </w:pPr>
      <w:r>
        <w:rPr>
          <w:color w:val="005599"/>
          <w:sz w:val="18"/>
        </w:rPr>
        <w:t>https://www.britannica.com/procon/gold-standard-debate</w:t>
      </w:r>
    </w:p>
    <w:p>
      <w:pPr>
        <w:spacing w:after="40"/>
      </w:pPr>
      <w:r>
        <w:t>9. World Gold Council, "What is the Gold Standard?" (classical gold standard overview)</w:t>
      </w:r>
    </w:p>
    <w:p>
      <w:pPr>
        <w:spacing w:after="160"/>
        <w:ind w:left="360"/>
      </w:pPr>
      <w:r>
        <w:rPr>
          <w:color w:val="005599"/>
          <w:sz w:val="18"/>
        </w:rPr>
        <w:t>https://www.gold.org/history-gold/the-classical-gold-standard</w:t>
      </w:r>
    </w:p>
    <w:p>
      <w:pPr>
        <w:spacing w:after="40"/>
      </w:pPr>
      <w:r>
        <w:t>10. World Gold Council, "Gold as Currency" / "Money and Gold"</w:t>
      </w:r>
    </w:p>
    <w:p>
      <w:pPr>
        <w:spacing w:after="160"/>
        <w:ind w:left="360"/>
      </w:pPr>
      <w:r>
        <w:rPr>
          <w:color w:val="005599"/>
          <w:sz w:val="18"/>
        </w:rPr>
        <w:t>https://www.gold.org/history-gold/gold-as-currency</w:t>
      </w:r>
    </w:p>
    <w:p>
      <w:pPr>
        <w:spacing w:after="40"/>
      </w:pPr>
      <w:r>
        <w:t>11. World Gold Council, "The History of Gold"</w:t>
      </w:r>
    </w:p>
    <w:p>
      <w:pPr>
        <w:spacing w:after="160"/>
        <w:ind w:left="360"/>
      </w:pPr>
      <w:r>
        <w:rPr>
          <w:color w:val="005599"/>
          <w:sz w:val="18"/>
        </w:rPr>
        <w:t>https://www.gold.org/history-gold</w:t>
      </w:r>
    </w:p>
    <w:p>
      <w:pPr>
        <w:spacing w:after="40"/>
      </w:pPr>
      <w:r>
        <w:t>12. IMF, James M. Boughton, "The IMF and the Silent Revolution" (Second Amendment; floating rates)</w:t>
      </w:r>
    </w:p>
    <w:p>
      <w:pPr>
        <w:spacing w:after="160"/>
        <w:ind w:left="360"/>
      </w:pPr>
      <w:r>
        <w:rPr>
          <w:color w:val="005599"/>
          <w:sz w:val="18"/>
        </w:rPr>
        <w:t>https://www.imf.org/external/pubs/ft/silent/index.htm</w:t>
      </w:r>
    </w:p>
    <w:p>
      <w:pPr>
        <w:spacing w:after="40"/>
      </w:pPr>
      <w:r>
        <w:t>13. EH.net Encyclopedia, "Gold Standard" (Michael D. Bordo)</w:t>
      </w:r>
    </w:p>
    <w:p>
      <w:pPr>
        <w:spacing w:after="160"/>
        <w:ind w:left="360"/>
      </w:pPr>
      <w:r>
        <w:rPr>
          <w:color w:val="005599"/>
          <w:sz w:val="18"/>
        </w:rPr>
        <w:t>https://eh.net/encyclopedia/gold-standard/</w:t>
      </w:r>
    </w:p>
    <w:p>
      <w:pPr>
        <w:spacing w:after="40"/>
      </w:pPr>
      <w:r>
        <w:t>14. CEPR/VoxEU, "Reasons for the Lydian electrum coins…"</w:t>
      </w:r>
    </w:p>
    <w:p>
      <w:pPr>
        <w:spacing w:after="160"/>
        <w:ind w:left="360"/>
      </w:pPr>
      <w:r>
        <w:rPr>
          <w:color w:val="005599"/>
          <w:sz w:val="18"/>
        </w:rPr>
        <w:t>https://cepr.org/voxeu/columns/reasons-lydian-electrum-coins-and-succeeding-greek-silver-coins-antiquity</w:t>
      </w:r>
    </w:p>
    <w:p>
      <w:pPr>
        <w:spacing w:after="40"/>
      </w:pPr>
      <w:r>
        <w:t>15. World History Encyclopedia, "The Invention of the First Coinage in Ancient Lydia"</w:t>
      </w:r>
    </w:p>
    <w:p>
      <w:pPr>
        <w:spacing w:after="160"/>
        <w:ind w:left="360"/>
      </w:pPr>
      <w:r>
        <w:rPr>
          <w:color w:val="005599"/>
          <w:sz w:val="18"/>
        </w:rPr>
        <w:t>https://www.worldhistory.org/article/1793/the-invention-of-the-first-coinage-in-ancient-lydi/</w:t>
      </w:r>
    </w:p>
    <w:p>
      <w:pPr>
        <w:spacing w:after="40"/>
      </w:pPr>
      <w:r>
        <w:t>16. Sardis Expedition, "Coins of Sardis" (John H. Kroll)</w:t>
      </w:r>
    </w:p>
    <w:p>
      <w:pPr>
        <w:spacing w:after="160"/>
        <w:ind w:left="360"/>
      </w:pPr>
      <w:r>
        <w:rPr>
          <w:color w:val="005599"/>
          <w:sz w:val="18"/>
        </w:rPr>
        <w:t>https://sardisexpedition.org/en/essays/latw-kroll-coins-of-sardis</w:t>
      </w:r>
    </w:p>
    <w:p>
      <w:pPr>
        <w:spacing w:after="40"/>
      </w:pPr>
      <w:r>
        <w:t>17. 1911 Encyclopaedia Britannica, "Rupee" (Wikisource) — Indian silver rupee and 1890s gold-exchange peg</w:t>
      </w:r>
    </w:p>
    <w:p>
      <w:pPr>
        <w:spacing w:after="160"/>
        <w:ind w:left="360"/>
      </w:pPr>
      <w:r>
        <w:rPr>
          <w:color w:val="005599"/>
          <w:sz w:val="18"/>
        </w:rPr>
        <w:t>https://en.wikisource.org/wiki/1911_Encyclop%C3%A6dia_Britannica/Rupee</w:t>
      </w:r>
    </w:p>
    <w:p>
      <w:pPr>
        <w:spacing w:after="160"/>
      </w:pPr>
      <w:r>
        <w:rPr>
          <w:b/>
        </w:rPr>
        <w:t xml:space="preserve">Note on method and limitations. </w:t>
      </w:r>
      <w:r>
        <w:t>Dates for the "first" coins (Lydia, mid-to-late seventh century BCE; Croesus gold circa 550 BCE) reflect scholarly consensus ranges. Core facts were cross-checked against Bank of England, Federal Reserve History, Britannica, World Gold Council, and related sources listed above. Educational only—not investment or policy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