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rPr>
      </w:pPr>
      <w:r w:rsidDel="00000000" w:rsidR="00000000" w:rsidRPr="00000000">
        <w:rPr>
          <w:b w:val="1"/>
          <w:rtl w:val="0"/>
        </w:rPr>
        <w:t xml:space="preserve">Definitions</w:t>
      </w:r>
    </w:p>
    <w:p w:rsidR="00000000" w:rsidDel="00000000" w:rsidP="00000000" w:rsidRDefault="00000000" w:rsidRPr="00000000" w14:paraId="00000002">
      <w:pPr>
        <w:numPr>
          <w:ilvl w:val="0"/>
          <w:numId w:val="1"/>
        </w:numPr>
        <w:spacing w:line="276" w:lineRule="auto"/>
        <w:ind w:left="720" w:hanging="360"/>
        <w:jc w:val="left"/>
        <w:rPr>
          <w:b w:val="1"/>
        </w:rPr>
      </w:pPr>
      <w:r w:rsidDel="00000000" w:rsidR="00000000" w:rsidRPr="00000000">
        <w:rPr>
          <w:b w:val="1"/>
          <w:rtl w:val="0"/>
        </w:rPr>
        <w:t xml:space="preserve">Region</w:t>
      </w:r>
    </w:p>
    <w:p w:rsidR="00000000" w:rsidDel="00000000" w:rsidP="00000000" w:rsidRDefault="00000000" w:rsidRPr="00000000" w14:paraId="00000003">
      <w:pPr>
        <w:numPr>
          <w:ilvl w:val="1"/>
          <w:numId w:val="1"/>
        </w:numPr>
        <w:spacing w:line="276" w:lineRule="auto"/>
        <w:ind w:left="1440" w:hanging="360"/>
        <w:jc w:val="left"/>
        <w:rPr/>
      </w:pPr>
      <w:r w:rsidDel="00000000" w:rsidR="00000000" w:rsidRPr="00000000">
        <w:rPr>
          <w:rtl w:val="0"/>
        </w:rPr>
        <w:t xml:space="preserve">an area or division, especially part of a country or the world having definable characteristics but not always fixed boundaries.</w:t>
      </w:r>
    </w:p>
    <w:p w:rsidR="00000000" w:rsidDel="00000000" w:rsidP="00000000" w:rsidRDefault="00000000" w:rsidRPr="00000000" w14:paraId="00000004">
      <w:pPr>
        <w:numPr>
          <w:ilvl w:val="0"/>
          <w:numId w:val="1"/>
        </w:numPr>
        <w:spacing w:line="276" w:lineRule="auto"/>
        <w:ind w:left="720" w:hanging="360"/>
        <w:jc w:val="left"/>
        <w:rPr>
          <w:b w:val="1"/>
        </w:rPr>
      </w:pPr>
      <w:r w:rsidDel="00000000" w:rsidR="00000000" w:rsidRPr="00000000">
        <w:rPr>
          <w:b w:val="1"/>
          <w:rtl w:val="0"/>
        </w:rPr>
        <w:t xml:space="preserve">Area Type</w:t>
      </w:r>
    </w:p>
    <w:p w:rsidR="00000000" w:rsidDel="00000000" w:rsidP="00000000" w:rsidRDefault="00000000" w:rsidRPr="00000000" w14:paraId="00000005">
      <w:pPr>
        <w:numPr>
          <w:ilvl w:val="1"/>
          <w:numId w:val="1"/>
        </w:numPr>
        <w:spacing w:line="276" w:lineRule="auto"/>
        <w:ind w:left="1440" w:hanging="360"/>
        <w:jc w:val="left"/>
        <w:rPr>
          <w:b w:val="1"/>
        </w:rPr>
      </w:pPr>
      <w:r w:rsidDel="00000000" w:rsidR="00000000" w:rsidRPr="00000000">
        <w:rPr>
          <w:b w:val="1"/>
          <w:rtl w:val="0"/>
        </w:rPr>
        <w:t xml:space="preserve">Urban</w:t>
      </w:r>
    </w:p>
    <w:p w:rsidR="00000000" w:rsidDel="00000000" w:rsidP="00000000" w:rsidRDefault="00000000" w:rsidRPr="00000000" w14:paraId="00000006">
      <w:pPr>
        <w:numPr>
          <w:ilvl w:val="2"/>
          <w:numId w:val="1"/>
        </w:numPr>
        <w:spacing w:line="276" w:lineRule="auto"/>
        <w:ind w:left="2160" w:hanging="360"/>
        <w:jc w:val="left"/>
        <w:rPr/>
      </w:pPr>
      <w:r w:rsidDel="00000000" w:rsidR="00000000" w:rsidRPr="00000000">
        <w:rPr>
          <w:rtl w:val="0"/>
        </w:rPr>
        <w:t xml:space="preserve">Areas consisting of cities or towns that are highly densely populated.</w:t>
      </w:r>
    </w:p>
    <w:p w:rsidR="00000000" w:rsidDel="00000000" w:rsidP="00000000" w:rsidRDefault="00000000" w:rsidRPr="00000000" w14:paraId="00000007">
      <w:pPr>
        <w:numPr>
          <w:ilvl w:val="1"/>
          <w:numId w:val="1"/>
        </w:numPr>
        <w:spacing w:line="276" w:lineRule="auto"/>
        <w:ind w:left="1440" w:hanging="360"/>
        <w:rPr>
          <w:b w:val="1"/>
        </w:rPr>
      </w:pPr>
      <w:r w:rsidDel="00000000" w:rsidR="00000000" w:rsidRPr="00000000">
        <w:rPr>
          <w:b w:val="1"/>
          <w:rtl w:val="0"/>
        </w:rPr>
        <w:t xml:space="preserve">Suburban</w:t>
      </w:r>
    </w:p>
    <w:p w:rsidR="00000000" w:rsidDel="00000000" w:rsidP="00000000" w:rsidRDefault="00000000" w:rsidRPr="00000000" w14:paraId="00000008">
      <w:pPr>
        <w:numPr>
          <w:ilvl w:val="2"/>
          <w:numId w:val="1"/>
        </w:numPr>
        <w:spacing w:line="276" w:lineRule="auto"/>
        <w:ind w:left="2160" w:hanging="360"/>
        <w:rPr/>
      </w:pPr>
      <w:r w:rsidDel="00000000" w:rsidR="00000000" w:rsidRPr="00000000">
        <w:rPr>
          <w:rtl w:val="0"/>
        </w:rPr>
        <w:t xml:space="preserve">Areas consisting of populations greater than rural and less than urban. Located within or just outside of urban areas.</w:t>
      </w:r>
    </w:p>
    <w:p w:rsidR="00000000" w:rsidDel="00000000" w:rsidP="00000000" w:rsidRDefault="00000000" w:rsidRPr="00000000" w14:paraId="00000009">
      <w:pPr>
        <w:numPr>
          <w:ilvl w:val="1"/>
          <w:numId w:val="1"/>
        </w:numPr>
        <w:spacing w:line="276" w:lineRule="auto"/>
        <w:ind w:left="1440" w:hanging="360"/>
        <w:jc w:val="left"/>
        <w:rPr>
          <w:b w:val="1"/>
        </w:rPr>
      </w:pPr>
      <w:r w:rsidDel="00000000" w:rsidR="00000000" w:rsidRPr="00000000">
        <w:rPr>
          <w:b w:val="1"/>
          <w:rtl w:val="0"/>
        </w:rPr>
        <w:t xml:space="preserve">Rural</w:t>
      </w:r>
    </w:p>
    <w:p w:rsidR="00000000" w:rsidDel="00000000" w:rsidP="00000000" w:rsidRDefault="00000000" w:rsidRPr="00000000" w14:paraId="0000000A">
      <w:pPr>
        <w:numPr>
          <w:ilvl w:val="2"/>
          <w:numId w:val="1"/>
        </w:numPr>
        <w:spacing w:line="276" w:lineRule="auto"/>
        <w:ind w:left="2160" w:hanging="360"/>
        <w:jc w:val="left"/>
        <w:rPr/>
      </w:pPr>
      <w:r w:rsidDel="00000000" w:rsidR="00000000" w:rsidRPr="00000000">
        <w:rPr>
          <w:rtl w:val="0"/>
        </w:rPr>
        <w:t xml:space="preserve">Areas consisting of open countryside with population densities less than suburban.</w:t>
      </w:r>
    </w:p>
    <w:p w:rsidR="00000000" w:rsidDel="00000000" w:rsidP="00000000" w:rsidRDefault="00000000" w:rsidRPr="00000000" w14:paraId="0000000B">
      <w:pPr>
        <w:numPr>
          <w:ilvl w:val="1"/>
          <w:numId w:val="1"/>
        </w:numPr>
        <w:spacing w:line="276" w:lineRule="auto"/>
        <w:ind w:left="1440" w:hanging="360"/>
        <w:jc w:val="left"/>
        <w:rPr>
          <w:b w:val="1"/>
        </w:rPr>
      </w:pPr>
      <w:r w:rsidDel="00000000" w:rsidR="00000000" w:rsidRPr="00000000">
        <w:rPr>
          <w:b w:val="1"/>
          <w:rtl w:val="0"/>
        </w:rPr>
        <w:t xml:space="preserve">Small-city</w:t>
      </w:r>
    </w:p>
    <w:p w:rsidR="00000000" w:rsidDel="00000000" w:rsidP="00000000" w:rsidRDefault="00000000" w:rsidRPr="00000000" w14:paraId="0000000C">
      <w:pPr>
        <w:numPr>
          <w:ilvl w:val="2"/>
          <w:numId w:val="1"/>
        </w:numPr>
        <w:spacing w:line="276" w:lineRule="auto"/>
        <w:ind w:left="2160" w:hanging="360"/>
        <w:jc w:val="left"/>
        <w:rPr/>
      </w:pPr>
      <w:r w:rsidDel="00000000" w:rsidR="00000000" w:rsidRPr="00000000">
        <w:rPr>
          <w:rtl w:val="0"/>
        </w:rPr>
        <w:t xml:space="preserve">City or town with population of less than five thousand</w:t>
      </w:r>
    </w:p>
    <w:p w:rsidR="00000000" w:rsidDel="00000000" w:rsidP="00000000" w:rsidRDefault="00000000" w:rsidRPr="00000000" w14:paraId="0000000D">
      <w:pPr>
        <w:numPr>
          <w:ilvl w:val="0"/>
          <w:numId w:val="1"/>
        </w:numPr>
        <w:spacing w:line="276" w:lineRule="auto"/>
        <w:ind w:left="720" w:hanging="360"/>
        <w:jc w:val="left"/>
        <w:rPr>
          <w:b w:val="1"/>
        </w:rPr>
      </w:pPr>
      <w:r w:rsidDel="00000000" w:rsidR="00000000" w:rsidRPr="00000000">
        <w:rPr>
          <w:b w:val="1"/>
          <w:rtl w:val="0"/>
        </w:rPr>
        <w:t xml:space="preserve">Elderly Percentage</w:t>
      </w:r>
    </w:p>
    <w:p w:rsidR="00000000" w:rsidDel="00000000" w:rsidP="00000000" w:rsidRDefault="00000000" w:rsidRPr="00000000" w14:paraId="0000000E">
      <w:pPr>
        <w:numPr>
          <w:ilvl w:val="1"/>
          <w:numId w:val="1"/>
        </w:numPr>
        <w:spacing w:line="276" w:lineRule="auto"/>
        <w:ind w:left="1440" w:hanging="360"/>
        <w:jc w:val="left"/>
        <w:rPr/>
      </w:pPr>
      <w:r w:rsidDel="00000000" w:rsidR="00000000" w:rsidRPr="00000000">
        <w:rPr>
          <w:rtl w:val="0"/>
        </w:rPr>
        <w:t xml:space="preserve">Percentage of people aged 65 and over.</w:t>
      </w:r>
    </w:p>
    <w:p w:rsidR="00000000" w:rsidDel="00000000" w:rsidP="00000000" w:rsidRDefault="00000000" w:rsidRPr="00000000" w14:paraId="0000000F">
      <w:pPr>
        <w:numPr>
          <w:ilvl w:val="0"/>
          <w:numId w:val="1"/>
        </w:numPr>
        <w:spacing w:line="276" w:lineRule="auto"/>
        <w:ind w:left="720" w:hanging="360"/>
        <w:jc w:val="left"/>
        <w:rPr>
          <w:b w:val="1"/>
        </w:rPr>
      </w:pPr>
      <w:r w:rsidDel="00000000" w:rsidR="00000000" w:rsidRPr="00000000">
        <w:rPr>
          <w:b w:val="1"/>
          <w:rtl w:val="0"/>
        </w:rPr>
        <w:t xml:space="preserve">Access to Doctors</w:t>
      </w:r>
    </w:p>
    <w:p w:rsidR="00000000" w:rsidDel="00000000" w:rsidP="00000000" w:rsidRDefault="00000000" w:rsidRPr="00000000" w14:paraId="00000010">
      <w:pPr>
        <w:numPr>
          <w:ilvl w:val="1"/>
          <w:numId w:val="1"/>
        </w:numPr>
        <w:spacing w:line="276" w:lineRule="auto"/>
        <w:ind w:left="1440" w:hanging="360"/>
        <w:jc w:val="left"/>
        <w:rPr/>
      </w:pPr>
      <w:r w:rsidDel="00000000" w:rsidR="00000000" w:rsidRPr="00000000">
        <w:rPr>
          <w:rtl w:val="0"/>
        </w:rPr>
        <w:t xml:space="preserve"> The opportunity or right to receive health care.</w:t>
      </w:r>
    </w:p>
    <w:p w:rsidR="00000000" w:rsidDel="00000000" w:rsidP="00000000" w:rsidRDefault="00000000" w:rsidRPr="00000000" w14:paraId="00000011">
      <w:pPr>
        <w:numPr>
          <w:ilvl w:val="0"/>
          <w:numId w:val="1"/>
        </w:numPr>
        <w:spacing w:line="276" w:lineRule="auto"/>
        <w:ind w:left="720" w:hanging="360"/>
        <w:jc w:val="left"/>
        <w:rPr>
          <w:b w:val="1"/>
        </w:rPr>
      </w:pPr>
      <w:r w:rsidDel="00000000" w:rsidR="00000000" w:rsidRPr="00000000">
        <w:rPr>
          <w:b w:val="1"/>
          <w:rtl w:val="0"/>
        </w:rPr>
        <w:t xml:space="preserve">Uninsured Rate</w:t>
      </w:r>
    </w:p>
    <w:p w:rsidR="00000000" w:rsidDel="00000000" w:rsidP="00000000" w:rsidRDefault="00000000" w:rsidRPr="00000000" w14:paraId="00000012">
      <w:pPr>
        <w:numPr>
          <w:ilvl w:val="1"/>
          <w:numId w:val="1"/>
        </w:numPr>
        <w:spacing w:line="276" w:lineRule="auto"/>
        <w:ind w:left="1440" w:hanging="360"/>
        <w:jc w:val="left"/>
        <w:rPr/>
      </w:pPr>
      <w:r w:rsidDel="00000000" w:rsidR="00000000" w:rsidRPr="00000000">
        <w:rPr>
          <w:rtl w:val="0"/>
        </w:rPr>
        <w:t xml:space="preserve">Not covered by insurance.</w:t>
      </w:r>
    </w:p>
    <w:p w:rsidR="00000000" w:rsidDel="00000000" w:rsidP="00000000" w:rsidRDefault="00000000" w:rsidRPr="00000000" w14:paraId="00000013">
      <w:pPr>
        <w:numPr>
          <w:ilvl w:val="0"/>
          <w:numId w:val="1"/>
        </w:numPr>
        <w:spacing w:line="276" w:lineRule="auto"/>
        <w:ind w:left="720" w:hanging="360"/>
        <w:jc w:val="left"/>
        <w:rPr>
          <w:b w:val="1"/>
        </w:rPr>
      </w:pPr>
      <w:r w:rsidDel="00000000" w:rsidR="00000000" w:rsidRPr="00000000">
        <w:rPr>
          <w:b w:val="1"/>
          <w:rtl w:val="0"/>
        </w:rPr>
        <w:t xml:space="preserve">Diabetes Rate</w:t>
      </w:r>
    </w:p>
    <w:p w:rsidR="00000000" w:rsidDel="00000000" w:rsidP="00000000" w:rsidRDefault="00000000" w:rsidRPr="00000000" w14:paraId="00000014">
      <w:pPr>
        <w:numPr>
          <w:ilvl w:val="1"/>
          <w:numId w:val="1"/>
        </w:numPr>
        <w:spacing w:line="276" w:lineRule="auto"/>
        <w:ind w:left="1440" w:hanging="360"/>
        <w:jc w:val="left"/>
        <w:rPr/>
      </w:pPr>
      <w:r w:rsidDel="00000000" w:rsidR="00000000" w:rsidRPr="00000000">
        <w:rPr>
          <w:rtl w:val="0"/>
        </w:rPr>
        <w:t xml:space="preserve">A disease in which the body’s ability to produce or respond to the hormone insulin is impaired, resulting in abnormal metabolism of carbohydrates and elevated levels of glucose in the blood and urine.</w:t>
      </w:r>
    </w:p>
    <w:p w:rsidR="00000000" w:rsidDel="00000000" w:rsidP="00000000" w:rsidRDefault="00000000" w:rsidRPr="00000000" w14:paraId="00000015">
      <w:pPr>
        <w:numPr>
          <w:ilvl w:val="0"/>
          <w:numId w:val="1"/>
        </w:numPr>
        <w:spacing w:line="276" w:lineRule="auto"/>
        <w:ind w:left="720" w:hanging="360"/>
        <w:jc w:val="left"/>
        <w:rPr>
          <w:b w:val="1"/>
        </w:rPr>
      </w:pPr>
      <w:r w:rsidDel="00000000" w:rsidR="00000000" w:rsidRPr="00000000">
        <w:rPr>
          <w:b w:val="1"/>
          <w:rtl w:val="0"/>
        </w:rPr>
        <w:t xml:space="preserve">Cardiovascular Disease Rate</w:t>
      </w:r>
    </w:p>
    <w:p w:rsidR="00000000" w:rsidDel="00000000" w:rsidP="00000000" w:rsidRDefault="00000000" w:rsidRPr="00000000" w14:paraId="00000016">
      <w:pPr>
        <w:numPr>
          <w:ilvl w:val="1"/>
          <w:numId w:val="1"/>
        </w:numPr>
        <w:spacing w:line="276" w:lineRule="auto"/>
        <w:ind w:left="1440" w:hanging="360"/>
        <w:jc w:val="left"/>
        <w:rPr/>
      </w:pPr>
      <w:r w:rsidDel="00000000" w:rsidR="00000000" w:rsidRPr="00000000">
        <w:rPr>
          <w:rtl w:val="0"/>
        </w:rPr>
        <w:t xml:space="preserve">Heart conditions that include diseased vessels, structural problems, and blood clots.</w:t>
      </w:r>
    </w:p>
    <w:p w:rsidR="00000000" w:rsidDel="00000000" w:rsidP="00000000" w:rsidRDefault="00000000" w:rsidRPr="00000000" w14:paraId="00000017">
      <w:pPr>
        <w:numPr>
          <w:ilvl w:val="0"/>
          <w:numId w:val="1"/>
        </w:numPr>
        <w:spacing w:line="276" w:lineRule="auto"/>
        <w:ind w:left="720" w:hanging="360"/>
        <w:jc w:val="left"/>
        <w:rPr>
          <w:b w:val="1"/>
        </w:rPr>
      </w:pPr>
      <w:r w:rsidDel="00000000" w:rsidR="00000000" w:rsidRPr="00000000">
        <w:rPr>
          <w:b w:val="1"/>
          <w:rtl w:val="0"/>
        </w:rPr>
        <w:t xml:space="preserve">Poverty  Rate</w:t>
      </w:r>
    </w:p>
    <w:p w:rsidR="00000000" w:rsidDel="00000000" w:rsidP="00000000" w:rsidRDefault="00000000" w:rsidRPr="00000000" w14:paraId="00000018">
      <w:pPr>
        <w:numPr>
          <w:ilvl w:val="1"/>
          <w:numId w:val="1"/>
        </w:numPr>
        <w:spacing w:line="276" w:lineRule="auto"/>
        <w:ind w:left="1440" w:hanging="360"/>
        <w:jc w:val="left"/>
        <w:rPr/>
      </w:pPr>
      <w:r w:rsidDel="00000000" w:rsidR="00000000" w:rsidRPr="00000000">
        <w:rPr>
          <w:rtl w:val="0"/>
        </w:rPr>
        <w:t xml:space="preserve">The state of being extremely poor</w:t>
      </w:r>
    </w:p>
    <w:p w:rsidR="00000000" w:rsidDel="00000000" w:rsidP="00000000" w:rsidRDefault="00000000" w:rsidRPr="00000000" w14:paraId="00000019">
      <w:pPr>
        <w:numPr>
          <w:ilvl w:val="0"/>
          <w:numId w:val="1"/>
        </w:numPr>
        <w:spacing w:line="276" w:lineRule="auto"/>
        <w:ind w:left="720" w:hanging="360"/>
        <w:jc w:val="left"/>
        <w:rPr>
          <w:b w:val="1"/>
        </w:rPr>
      </w:pPr>
      <w:r w:rsidDel="00000000" w:rsidR="00000000" w:rsidRPr="00000000">
        <w:rPr>
          <w:b w:val="1"/>
          <w:rtl w:val="0"/>
        </w:rPr>
        <w:t xml:space="preserve">African American Population</w:t>
      </w:r>
    </w:p>
    <w:p w:rsidR="00000000" w:rsidDel="00000000" w:rsidP="00000000" w:rsidRDefault="00000000" w:rsidRPr="00000000" w14:paraId="0000001A">
      <w:pPr>
        <w:numPr>
          <w:ilvl w:val="1"/>
          <w:numId w:val="1"/>
        </w:numPr>
        <w:spacing w:line="276" w:lineRule="auto"/>
        <w:ind w:left="1440" w:hanging="360"/>
        <w:rPr/>
      </w:pPr>
      <w:r w:rsidDel="00000000" w:rsidR="00000000" w:rsidRPr="00000000">
        <w:rPr>
          <w:rtl w:val="0"/>
        </w:rPr>
        <w:t xml:space="preserve">Population of the African American race</w:t>
      </w:r>
    </w:p>
    <w:p w:rsidR="00000000" w:rsidDel="00000000" w:rsidP="00000000" w:rsidRDefault="00000000" w:rsidRPr="00000000" w14:paraId="0000001B">
      <w:pPr>
        <w:numPr>
          <w:ilvl w:val="0"/>
          <w:numId w:val="1"/>
        </w:numPr>
        <w:spacing w:line="276" w:lineRule="auto"/>
        <w:ind w:left="720" w:hanging="360"/>
        <w:jc w:val="left"/>
        <w:rPr>
          <w:b w:val="1"/>
        </w:rPr>
      </w:pPr>
      <w:r w:rsidDel="00000000" w:rsidR="00000000" w:rsidRPr="00000000">
        <w:rPr>
          <w:b w:val="1"/>
          <w:rtl w:val="0"/>
        </w:rPr>
        <w:t xml:space="preserve">Hispanic Population</w:t>
      </w:r>
    </w:p>
    <w:p w:rsidR="00000000" w:rsidDel="00000000" w:rsidP="00000000" w:rsidRDefault="00000000" w:rsidRPr="00000000" w14:paraId="0000001C">
      <w:pPr>
        <w:numPr>
          <w:ilvl w:val="1"/>
          <w:numId w:val="1"/>
        </w:numPr>
        <w:spacing w:line="276" w:lineRule="auto"/>
        <w:ind w:left="1440" w:hanging="360"/>
        <w:jc w:val="left"/>
        <w:rPr/>
      </w:pPr>
      <w:r w:rsidDel="00000000" w:rsidR="00000000" w:rsidRPr="00000000">
        <w:rPr>
          <w:rtl w:val="0"/>
        </w:rPr>
        <w:t xml:space="preserve">Population of the Hispanic race</w:t>
      </w:r>
    </w:p>
    <w:p w:rsidR="00000000" w:rsidDel="00000000" w:rsidP="00000000" w:rsidRDefault="00000000" w:rsidRPr="00000000" w14:paraId="0000001D">
      <w:pPr>
        <w:numPr>
          <w:ilvl w:val="0"/>
          <w:numId w:val="1"/>
        </w:numPr>
        <w:spacing w:line="276" w:lineRule="auto"/>
        <w:ind w:left="720" w:hanging="360"/>
        <w:jc w:val="left"/>
        <w:rPr>
          <w:b w:val="1"/>
        </w:rPr>
      </w:pPr>
      <w:r w:rsidDel="00000000" w:rsidR="00000000" w:rsidRPr="00000000">
        <w:rPr>
          <w:b w:val="1"/>
          <w:rtl w:val="0"/>
        </w:rPr>
        <w:t xml:space="preserve">Covid Risk Index</w:t>
      </w:r>
    </w:p>
    <w:p w:rsidR="00000000" w:rsidDel="00000000" w:rsidP="00000000" w:rsidRDefault="00000000" w:rsidRPr="00000000" w14:paraId="0000001E">
      <w:pPr>
        <w:numPr>
          <w:ilvl w:val="1"/>
          <w:numId w:val="1"/>
        </w:numPr>
        <w:spacing w:line="276" w:lineRule="auto"/>
        <w:ind w:left="1440" w:hanging="360"/>
        <w:jc w:val="left"/>
        <w:rPr/>
      </w:pPr>
      <w:r w:rsidDel="00000000" w:rsidR="00000000" w:rsidRPr="00000000">
        <w:rPr>
          <w:rtl w:val="0"/>
        </w:rPr>
        <w:t xml:space="preserve">Identifies: “Counties at risk from health and humanitarian impacts of COVID-19 that could overwhelm current national response capacity, and therefore lead to a need for additional international assistance”.</w:t>
      </w:r>
    </w:p>
    <w:p w:rsidR="00000000" w:rsidDel="00000000" w:rsidP="00000000" w:rsidRDefault="00000000" w:rsidRPr="00000000" w14:paraId="0000001F">
      <w:pPr>
        <w:numPr>
          <w:ilvl w:val="0"/>
          <w:numId w:val="1"/>
        </w:numPr>
        <w:spacing w:line="276" w:lineRule="auto"/>
        <w:ind w:left="720" w:hanging="360"/>
        <w:jc w:val="left"/>
        <w:rPr>
          <w:b w:val="1"/>
        </w:rPr>
      </w:pPr>
      <w:r w:rsidDel="00000000" w:rsidR="00000000" w:rsidRPr="00000000">
        <w:rPr>
          <w:b w:val="1"/>
          <w:rtl w:val="0"/>
        </w:rPr>
        <w:t xml:space="preserve">Social Vulnerability</w:t>
      </w:r>
    </w:p>
    <w:p w:rsidR="00000000" w:rsidDel="00000000" w:rsidP="00000000" w:rsidRDefault="00000000" w:rsidRPr="00000000" w14:paraId="00000020">
      <w:pPr>
        <w:numPr>
          <w:ilvl w:val="1"/>
          <w:numId w:val="1"/>
        </w:numPr>
        <w:spacing w:line="276" w:lineRule="auto"/>
        <w:ind w:left="1440" w:hanging="360"/>
        <w:jc w:val="left"/>
        <w:rPr/>
      </w:pPr>
      <w:r w:rsidDel="00000000" w:rsidR="00000000" w:rsidRPr="00000000">
        <w:rPr>
          <w:rtl w:val="0"/>
        </w:rPr>
        <w:t xml:space="preserve">The potential negative effects on communities caused by external stresses on human health. Such stresses include natural or human-caused disasters, disease outbreaks, poverty, lack of access to transportation, or crowded housing.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