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2831C3" w14:textId="77777777" w:rsidR="00D3436E" w:rsidRDefault="00D3436E" w:rsidP="00D3436E">
      <w:pPr>
        <w:rPr>
          <w:b/>
          <w:bCs/>
        </w:rPr>
      </w:pPr>
      <w:r w:rsidRPr="00D3436E">
        <w:rPr>
          <w:b/>
          <w:bCs/>
          <w:sz w:val="36"/>
          <w:szCs w:val="36"/>
        </w:rPr>
        <w:t>Final Project Report:</w:t>
      </w:r>
      <w:r w:rsidRPr="00D3436E">
        <w:rPr>
          <w:b/>
          <w:bCs/>
        </w:rPr>
        <w:t xml:space="preserve"> </w:t>
      </w:r>
    </w:p>
    <w:p w14:paraId="7ED160D5" w14:textId="77777777" w:rsidR="00D3436E" w:rsidRPr="00D3436E" w:rsidRDefault="00D3436E" w:rsidP="00D3436E">
      <w:pPr>
        <w:rPr>
          <w:b/>
          <w:bCs/>
          <w:sz w:val="28"/>
          <w:szCs w:val="28"/>
        </w:rPr>
      </w:pPr>
      <w:r w:rsidRPr="00D3436E">
        <w:rPr>
          <w:b/>
          <w:bCs/>
          <w:sz w:val="28"/>
          <w:szCs w:val="28"/>
        </w:rPr>
        <w:t>1. Introduction</w:t>
      </w:r>
    </w:p>
    <w:p w14:paraId="417CDAB8" w14:textId="77777777" w:rsidR="00D3436E" w:rsidRPr="00D3436E" w:rsidRDefault="00D3436E" w:rsidP="00D3436E">
      <w:r w:rsidRPr="00D3436E">
        <w:t>This report details the full analysis of the employee email dataset (test.csv). The primary objective was to evaluate employee sentiment and engagement by labeling messages, analyzing trends, scoring and ranking employees, identifying potential flight risks, and developing a predictive model. The following sections outline our methodology, key findings, and final recommendations.</w:t>
      </w:r>
    </w:p>
    <w:p w14:paraId="6DDF8AC0" w14:textId="77777777" w:rsidR="00D3436E" w:rsidRPr="00D3436E" w:rsidRDefault="00D3436E" w:rsidP="00D3436E">
      <w:r w:rsidRPr="00D3436E">
        <w:pict w14:anchorId="27C7E0EB">
          <v:rect id="_x0000_i1068" style="width:0;height:1.5pt" o:hralign="center" o:hrstd="t" o:hr="t" fillcolor="#a0a0a0" stroked="f"/>
        </w:pict>
      </w:r>
    </w:p>
    <w:p w14:paraId="33DAD3A6" w14:textId="77777777" w:rsidR="00D3436E" w:rsidRPr="00D3436E" w:rsidRDefault="00D3436E" w:rsidP="00D3436E">
      <w:pPr>
        <w:rPr>
          <w:b/>
          <w:bCs/>
          <w:sz w:val="28"/>
          <w:szCs w:val="28"/>
        </w:rPr>
      </w:pPr>
      <w:r w:rsidRPr="00D3436E">
        <w:rPr>
          <w:b/>
          <w:bCs/>
          <w:sz w:val="28"/>
          <w:szCs w:val="28"/>
        </w:rPr>
        <w:t>2. Approach and Methodology</w:t>
      </w:r>
    </w:p>
    <w:p w14:paraId="6CF6505B" w14:textId="77777777" w:rsidR="00D3436E" w:rsidRPr="00D3436E" w:rsidRDefault="00D3436E" w:rsidP="00D3436E">
      <w:pPr>
        <w:rPr>
          <w:b/>
          <w:bCs/>
        </w:rPr>
      </w:pPr>
      <w:r w:rsidRPr="00D3436E">
        <w:rPr>
          <w:b/>
          <w:bCs/>
        </w:rPr>
        <w:t>2.1. Sentiment Labeling</w:t>
      </w:r>
    </w:p>
    <w:p w14:paraId="03992BF8" w14:textId="3C315828" w:rsidR="00D33C3B" w:rsidRPr="00D3436E" w:rsidRDefault="00D3436E" w:rsidP="00D3436E">
      <w:r w:rsidRPr="00D3436E">
        <w:t>The first step was to assign a sentiment label (Positive, Negative, or Neutral) to each email. A custom lexicon-based model was developed for this task. A predefined list of positive (e.g., "thanks", "success", "approved") and negative (e.g., "problem", "issue", "delay") keywords was used to score each email. An email was labeled 'Positive' if it had a net positive score, 'Negative' if it had a net negative score, and 'Neutral' otherwise. This approach was chosen for its speed, transparency, and reproducibility.</w:t>
      </w:r>
    </w:p>
    <w:p w14:paraId="5DA09BA5" w14:textId="77777777" w:rsidR="00D3436E" w:rsidRPr="00D3436E" w:rsidRDefault="00D3436E" w:rsidP="00D3436E">
      <w:pPr>
        <w:rPr>
          <w:b/>
          <w:bCs/>
        </w:rPr>
      </w:pPr>
      <w:r w:rsidRPr="00D3436E">
        <w:rPr>
          <w:b/>
          <w:bCs/>
        </w:rPr>
        <w:t>2.2. Exploratory Data Analysis (EDA)</w:t>
      </w:r>
    </w:p>
    <w:p w14:paraId="757FE22E" w14:textId="77777777" w:rsidR="00D3436E" w:rsidRPr="00D3436E" w:rsidRDefault="00D3436E" w:rsidP="00D3436E">
      <w:r w:rsidRPr="00D3436E">
        <w:t>After labeling, an EDA was conducted to understand the dataset's underlying trends. This involved:</w:t>
      </w:r>
    </w:p>
    <w:p w14:paraId="4614E55D" w14:textId="77777777" w:rsidR="00D3436E" w:rsidRPr="00D3436E" w:rsidRDefault="00D3436E" w:rsidP="00D3436E">
      <w:pPr>
        <w:numPr>
          <w:ilvl w:val="0"/>
          <w:numId w:val="7"/>
        </w:numPr>
      </w:pPr>
      <w:r w:rsidRPr="00D3436E">
        <w:rPr>
          <w:b/>
          <w:bCs/>
        </w:rPr>
        <w:t>Data Structure Examination:</w:t>
      </w:r>
      <w:r w:rsidRPr="00D3436E">
        <w:t xml:space="preserve"> Reviewing the dataset for size, completeness, and data types.</w:t>
      </w:r>
    </w:p>
    <w:p w14:paraId="2AAFF4EE" w14:textId="77777777" w:rsidR="00D3436E" w:rsidRPr="00D3436E" w:rsidRDefault="00D3436E" w:rsidP="00D3436E">
      <w:pPr>
        <w:numPr>
          <w:ilvl w:val="0"/>
          <w:numId w:val="7"/>
        </w:numPr>
      </w:pPr>
      <w:r w:rsidRPr="00D3436E">
        <w:rPr>
          <w:b/>
          <w:bCs/>
        </w:rPr>
        <w:t>Sentiment Distribution:</w:t>
      </w:r>
      <w:r w:rsidRPr="00D3436E">
        <w:t xml:space="preserve"> Analyzing the proportion of positive, negative, and neutral emails.</w:t>
      </w:r>
    </w:p>
    <w:p w14:paraId="621AE72C" w14:textId="60B5DECD" w:rsidR="00D33C3B" w:rsidRPr="00D3436E" w:rsidRDefault="00D3436E" w:rsidP="00D33C3B">
      <w:pPr>
        <w:numPr>
          <w:ilvl w:val="0"/>
          <w:numId w:val="7"/>
        </w:numPr>
      </w:pPr>
      <w:r w:rsidRPr="00D3436E">
        <w:rPr>
          <w:b/>
          <w:bCs/>
        </w:rPr>
        <w:t>Temporal Analysis:</w:t>
      </w:r>
      <w:r w:rsidRPr="00D3436E">
        <w:t xml:space="preserve"> Plotting email volume and sentiment trends over time to identify patterns.</w:t>
      </w:r>
    </w:p>
    <w:p w14:paraId="268104CF" w14:textId="77777777" w:rsidR="00D3436E" w:rsidRPr="00D3436E" w:rsidRDefault="00D3436E" w:rsidP="00D3436E">
      <w:pPr>
        <w:rPr>
          <w:b/>
          <w:bCs/>
        </w:rPr>
      </w:pPr>
      <w:r w:rsidRPr="00D3436E">
        <w:rPr>
          <w:b/>
          <w:bCs/>
        </w:rPr>
        <w:t>2.3. Employee Scoring</w:t>
      </w:r>
    </w:p>
    <w:p w14:paraId="3EA25151" w14:textId="77777777" w:rsidR="00D3436E" w:rsidRPr="00D3436E" w:rsidRDefault="00D3436E" w:rsidP="00D3436E">
      <w:r w:rsidRPr="00D3436E">
        <w:t>To quantify sentiment on a monthly basis, a scoring system was implemented.</w:t>
      </w:r>
    </w:p>
    <w:p w14:paraId="18B89E3E" w14:textId="48313B13" w:rsidR="00D3436E" w:rsidRPr="00D3436E" w:rsidRDefault="00D3436E" w:rsidP="00D3436E">
      <w:pPr>
        <w:numPr>
          <w:ilvl w:val="0"/>
          <w:numId w:val="8"/>
        </w:numPr>
      </w:pPr>
      <w:r w:rsidRPr="00D3436E">
        <w:t xml:space="preserve">Positive Message: </w:t>
      </w:r>
      <w:r w:rsidRPr="00D3436E">
        <w:rPr>
          <w:b/>
          <w:bCs/>
        </w:rPr>
        <w:t>+1 point</w:t>
      </w:r>
      <w:r w:rsidRPr="00D3436E">
        <w:t xml:space="preserve"> </w:t>
      </w:r>
    </w:p>
    <w:p w14:paraId="5015861E" w14:textId="3941B1ED" w:rsidR="00D3436E" w:rsidRPr="00D3436E" w:rsidRDefault="00D3436E" w:rsidP="00D3436E">
      <w:pPr>
        <w:numPr>
          <w:ilvl w:val="0"/>
          <w:numId w:val="8"/>
        </w:numPr>
      </w:pPr>
      <w:r w:rsidRPr="00D3436E">
        <w:t xml:space="preserve">Negative Message: </w:t>
      </w:r>
      <w:r w:rsidRPr="00D3436E">
        <w:rPr>
          <w:b/>
          <w:bCs/>
        </w:rPr>
        <w:t>-1 point</w:t>
      </w:r>
      <w:r w:rsidRPr="00D3436E">
        <w:t xml:space="preserve"> </w:t>
      </w:r>
    </w:p>
    <w:p w14:paraId="411860D1" w14:textId="768E4AA6" w:rsidR="00D3436E" w:rsidRPr="00D3436E" w:rsidRDefault="00D3436E" w:rsidP="00D3436E">
      <w:pPr>
        <w:numPr>
          <w:ilvl w:val="0"/>
          <w:numId w:val="8"/>
        </w:numPr>
      </w:pPr>
      <w:r w:rsidRPr="00D3436E">
        <w:t xml:space="preserve">Neutral Message: </w:t>
      </w:r>
      <w:r w:rsidRPr="00D3436E">
        <w:rPr>
          <w:b/>
          <w:bCs/>
        </w:rPr>
        <w:t>0 points</w:t>
      </w:r>
      <w:r w:rsidRPr="00D3436E">
        <w:t xml:space="preserve"> </w:t>
      </w:r>
    </w:p>
    <w:p w14:paraId="1330BF5C" w14:textId="29CA4293" w:rsidR="00D33C3B" w:rsidRPr="00D3436E" w:rsidRDefault="00D3436E" w:rsidP="00D3436E">
      <w:r w:rsidRPr="00D3436E">
        <w:t>These scores were aggregated for each employee at the end of every month to produce a monthly_sentiment_score.</w:t>
      </w:r>
    </w:p>
    <w:p w14:paraId="43B7EE95" w14:textId="77777777" w:rsidR="00D3436E" w:rsidRPr="00D3436E" w:rsidRDefault="00D3436E" w:rsidP="00D3436E">
      <w:pPr>
        <w:rPr>
          <w:b/>
          <w:bCs/>
        </w:rPr>
      </w:pPr>
      <w:r w:rsidRPr="00D3436E">
        <w:rPr>
          <w:b/>
          <w:bCs/>
        </w:rPr>
        <w:lastRenderedPageBreak/>
        <w:t>2.4. Employee Ranking</w:t>
      </w:r>
    </w:p>
    <w:p w14:paraId="0248A0AD" w14:textId="77777777" w:rsidR="00D3436E" w:rsidRPr="00D3436E" w:rsidRDefault="00D3436E" w:rsidP="00D3436E">
      <w:r w:rsidRPr="00D3436E">
        <w:t>Using the monthly scores, two ranked lists were generated for each month:</w:t>
      </w:r>
    </w:p>
    <w:p w14:paraId="3748B875" w14:textId="77777777" w:rsidR="00D3436E" w:rsidRPr="00D3436E" w:rsidRDefault="00D3436E" w:rsidP="00D3436E">
      <w:pPr>
        <w:numPr>
          <w:ilvl w:val="0"/>
          <w:numId w:val="9"/>
        </w:numPr>
      </w:pPr>
      <w:r w:rsidRPr="00D3436E">
        <w:rPr>
          <w:b/>
          <w:bCs/>
        </w:rPr>
        <w:t>Top Three Positive Employees:</w:t>
      </w:r>
      <w:r w:rsidRPr="00D3436E">
        <w:t xml:space="preserve"> Sorted by the highest monthly score, then alphabetically.</w:t>
      </w:r>
    </w:p>
    <w:p w14:paraId="71121123" w14:textId="652A7B54" w:rsidR="00D33C3B" w:rsidRPr="00D3436E" w:rsidRDefault="00D3436E" w:rsidP="00D33C3B">
      <w:pPr>
        <w:numPr>
          <w:ilvl w:val="0"/>
          <w:numId w:val="9"/>
        </w:numPr>
      </w:pPr>
      <w:r w:rsidRPr="00D3436E">
        <w:rPr>
          <w:b/>
          <w:bCs/>
        </w:rPr>
        <w:t>Top Three Negative Employees:</w:t>
      </w:r>
      <w:r w:rsidRPr="00D3436E">
        <w:t xml:space="preserve"> Sorted by the lowest (most negative) monthly score, then alphabetically.</w:t>
      </w:r>
    </w:p>
    <w:p w14:paraId="55FC7D86" w14:textId="77777777" w:rsidR="00D3436E" w:rsidRPr="00D3436E" w:rsidRDefault="00D3436E" w:rsidP="00D3436E">
      <w:pPr>
        <w:rPr>
          <w:b/>
          <w:bCs/>
        </w:rPr>
      </w:pPr>
      <w:r w:rsidRPr="00D3436E">
        <w:rPr>
          <w:b/>
          <w:bCs/>
        </w:rPr>
        <w:t>2.5. Flight Risk Identification</w:t>
      </w:r>
    </w:p>
    <w:p w14:paraId="73286376" w14:textId="1C54C1D5" w:rsidR="00D33C3B" w:rsidRPr="00D3436E" w:rsidRDefault="00D3436E" w:rsidP="00D3436E">
      <w:r w:rsidRPr="00D3436E">
        <w:t>A critical objective was to identify employees at a potential flight risk. According to the project definition, a flight risk is any employee who sends 4 or more negative emails in a rolling 30-day period. This was calculated by filtering for negative emails and applying a rolling 30-day count for each employee.</w:t>
      </w:r>
    </w:p>
    <w:p w14:paraId="75361CCE" w14:textId="77777777" w:rsidR="00D3436E" w:rsidRPr="00D3436E" w:rsidRDefault="00D3436E" w:rsidP="00D3436E">
      <w:pPr>
        <w:rPr>
          <w:b/>
          <w:bCs/>
        </w:rPr>
      </w:pPr>
      <w:r w:rsidRPr="00D3436E">
        <w:rPr>
          <w:b/>
          <w:bCs/>
        </w:rPr>
        <w:t>2.6. Predictive Modeling</w:t>
      </w:r>
    </w:p>
    <w:p w14:paraId="5A96B7EF" w14:textId="6C29ED40" w:rsidR="00D3436E" w:rsidRPr="00D3436E" w:rsidRDefault="00D3436E" w:rsidP="00D3436E">
      <w:r w:rsidRPr="00D3436E">
        <w:t>Finally, a linear regression model was developed to analyze factors influencing monthly sentiment scores.</w:t>
      </w:r>
    </w:p>
    <w:p w14:paraId="631B322D" w14:textId="77777777" w:rsidR="00D3436E" w:rsidRPr="00D3436E" w:rsidRDefault="00D3436E" w:rsidP="00D3436E">
      <w:pPr>
        <w:numPr>
          <w:ilvl w:val="0"/>
          <w:numId w:val="10"/>
        </w:numPr>
      </w:pPr>
      <w:r w:rsidRPr="00D3436E">
        <w:rPr>
          <w:b/>
          <w:bCs/>
        </w:rPr>
        <w:t>Features Selected:</w:t>
      </w:r>
      <w:r w:rsidRPr="00D3436E">
        <w:t xml:space="preserve"> The independent variables included message_count (monthly message frequency), average_word_count (average message length), and negative_message_ratio.</w:t>
      </w:r>
    </w:p>
    <w:p w14:paraId="2560C6D6" w14:textId="77777777" w:rsidR="00D3436E" w:rsidRPr="00D3436E" w:rsidRDefault="00D3436E" w:rsidP="00D3436E">
      <w:pPr>
        <w:numPr>
          <w:ilvl w:val="0"/>
          <w:numId w:val="10"/>
        </w:numPr>
      </w:pPr>
      <w:r w:rsidRPr="00D3436E">
        <w:rPr>
          <w:b/>
          <w:bCs/>
        </w:rPr>
        <w:t>Validation:</w:t>
      </w:r>
      <w:r w:rsidRPr="00D3436E">
        <w:t xml:space="preserve"> The model was trained on 80% of the data and evaluated on the remaining 20% using R-squared (R2) and Mean Squared Error (MSE) as performance metrics.</w:t>
      </w:r>
    </w:p>
    <w:p w14:paraId="0CB8B518" w14:textId="77777777" w:rsidR="00D3436E" w:rsidRPr="00D3436E" w:rsidRDefault="00D3436E" w:rsidP="00D3436E">
      <w:r w:rsidRPr="00D3436E">
        <w:pict w14:anchorId="3A0C63B9">
          <v:rect id="_x0000_i1069" style="width:0;height:1.5pt" o:hralign="center" o:hrstd="t" o:hr="t" fillcolor="#a0a0a0" stroked="f"/>
        </w:pict>
      </w:r>
    </w:p>
    <w:p w14:paraId="250819C9" w14:textId="77777777" w:rsidR="00D3436E" w:rsidRPr="00D3436E" w:rsidRDefault="00D3436E" w:rsidP="00D3436E">
      <w:pPr>
        <w:rPr>
          <w:b/>
          <w:bCs/>
          <w:sz w:val="28"/>
          <w:szCs w:val="28"/>
        </w:rPr>
      </w:pPr>
      <w:r w:rsidRPr="00D3436E">
        <w:rPr>
          <w:b/>
          <w:bCs/>
          <w:sz w:val="28"/>
          <w:szCs w:val="28"/>
        </w:rPr>
        <w:t>3. Key Findings and Results</w:t>
      </w:r>
    </w:p>
    <w:p w14:paraId="42D1F31C" w14:textId="77777777" w:rsidR="00D3436E" w:rsidRPr="00D3436E" w:rsidRDefault="00D3436E" w:rsidP="00D3436E">
      <w:pPr>
        <w:rPr>
          <w:b/>
          <w:bCs/>
        </w:rPr>
      </w:pPr>
      <w:r w:rsidRPr="00D3436E">
        <w:rPr>
          <w:b/>
          <w:bCs/>
        </w:rPr>
        <w:t>3.1. EDA Findings</w:t>
      </w:r>
    </w:p>
    <w:p w14:paraId="0B6850C4" w14:textId="77777777" w:rsidR="00D3436E" w:rsidRPr="00D3436E" w:rsidRDefault="00D3436E" w:rsidP="00D3436E">
      <w:r w:rsidRPr="00D3436E">
        <w:t>The EDA revealed a healthy communication environment. The dataset contained 2,191 emails, with the majority being Neutral (61.8%), followed by Positive (33.1%) and a small minority of Negative (5.1%).</w:t>
      </w:r>
    </w:p>
    <w:p w14:paraId="3BEF2FA4" w14:textId="77777777" w:rsidR="00D3436E" w:rsidRPr="00D3436E" w:rsidRDefault="00D3436E" w:rsidP="00D3436E">
      <w:r w:rsidRPr="00D3436E">
        <w:rPr>
          <w:i/>
          <w:iCs/>
        </w:rPr>
        <w:t>[Visualization: Bar chart showing the Overall Distribution of Email Sentiment]</w:t>
      </w:r>
    </w:p>
    <w:p w14:paraId="62038882" w14:textId="77777777" w:rsidR="00D3436E" w:rsidRPr="00D3436E" w:rsidRDefault="00D3436E" w:rsidP="00D3436E">
      <w:r w:rsidRPr="00D3436E">
        <w:t>Email volume increased significantly in 2011, but the proportion of negative messages remained consistently low, suggesting that periods of high activity did not negatively impact overall morale.</w:t>
      </w:r>
    </w:p>
    <w:p w14:paraId="3C98CC94" w14:textId="77777777" w:rsidR="00D3436E" w:rsidRDefault="00D3436E" w:rsidP="00D3436E">
      <w:pPr>
        <w:rPr>
          <w:i/>
          <w:iCs/>
        </w:rPr>
      </w:pPr>
      <w:r w:rsidRPr="00D3436E">
        <w:rPr>
          <w:i/>
          <w:iCs/>
        </w:rPr>
        <w:t>[Visualization: Line chart showing Monthly Email Volume by Sentiment]</w:t>
      </w:r>
    </w:p>
    <w:p w14:paraId="7CFCB5C6" w14:textId="77777777" w:rsidR="00D33C3B" w:rsidRPr="00D3436E" w:rsidRDefault="00D33C3B" w:rsidP="00D3436E"/>
    <w:p w14:paraId="4CED0C14" w14:textId="77777777" w:rsidR="00D3436E" w:rsidRPr="00D3436E" w:rsidRDefault="00D3436E" w:rsidP="00D3436E">
      <w:pPr>
        <w:rPr>
          <w:b/>
          <w:bCs/>
        </w:rPr>
      </w:pPr>
      <w:r w:rsidRPr="00D3436E">
        <w:rPr>
          <w:b/>
          <w:bCs/>
        </w:rPr>
        <w:lastRenderedPageBreak/>
        <w:t>3.2. Employee Ranking Outcomes</w:t>
      </w:r>
    </w:p>
    <w:p w14:paraId="3CF52B97" w14:textId="77777777" w:rsidR="00D3436E" w:rsidRPr="00D3436E" w:rsidRDefault="00D3436E" w:rsidP="00D3436E">
      <w:r w:rsidRPr="00D3436E">
        <w:t>The ranking process consistently identified key communicators. The table below shows a sample ranking for May 2011.</w:t>
      </w:r>
    </w:p>
    <w:p w14:paraId="24960EE8" w14:textId="77777777" w:rsidR="00D3436E" w:rsidRDefault="00D3436E" w:rsidP="00D3436E">
      <w:pPr>
        <w:rPr>
          <w:b/>
          <w:bCs/>
        </w:rPr>
      </w:pPr>
      <w:r w:rsidRPr="00D3436E">
        <w:rPr>
          <w:b/>
          <w:bCs/>
        </w:rPr>
        <w:t>Table 1: Sample Employee Rankings for May 2011</w:t>
      </w:r>
    </w:p>
    <w:tbl>
      <w:tblPr>
        <w:tblStyle w:val="TableGrid"/>
        <w:tblW w:w="0" w:type="auto"/>
        <w:tblLook w:val="04A0" w:firstRow="1" w:lastRow="0" w:firstColumn="1" w:lastColumn="0" w:noHBand="0" w:noVBand="1"/>
      </w:tblPr>
      <w:tblGrid>
        <w:gridCol w:w="1269"/>
        <w:gridCol w:w="3226"/>
        <w:gridCol w:w="1119"/>
      </w:tblGrid>
      <w:tr w:rsidR="00D3436E" w14:paraId="1A66E64A" w14:textId="77777777" w:rsidTr="00D3436E">
        <w:tc>
          <w:tcPr>
            <w:tcW w:w="1269" w:type="dxa"/>
            <w:vAlign w:val="center"/>
          </w:tcPr>
          <w:p w14:paraId="36BFAFF1" w14:textId="70AF5A48" w:rsidR="00D3436E" w:rsidRPr="00D3436E" w:rsidRDefault="00D3436E" w:rsidP="00D3436E">
            <w:pPr>
              <w:jc w:val="center"/>
              <w:rPr>
                <w:b/>
                <w:bCs/>
              </w:rPr>
            </w:pPr>
            <w:r w:rsidRPr="00D3436E">
              <w:rPr>
                <w:b/>
                <w:bCs/>
              </w:rPr>
              <w:t>Rank</w:t>
            </w:r>
          </w:p>
        </w:tc>
        <w:tc>
          <w:tcPr>
            <w:tcW w:w="3226" w:type="dxa"/>
            <w:vAlign w:val="center"/>
          </w:tcPr>
          <w:p w14:paraId="72CD903B" w14:textId="12277EC2" w:rsidR="00D3436E" w:rsidRPr="00D3436E" w:rsidRDefault="00D3436E" w:rsidP="00D3436E">
            <w:pPr>
              <w:jc w:val="center"/>
              <w:rPr>
                <w:b/>
                <w:bCs/>
              </w:rPr>
            </w:pPr>
            <w:r w:rsidRPr="00D3436E">
              <w:rPr>
                <w:b/>
                <w:bCs/>
              </w:rPr>
              <w:t>Top 3 Positive Employees</w:t>
            </w:r>
          </w:p>
        </w:tc>
        <w:tc>
          <w:tcPr>
            <w:tcW w:w="1119" w:type="dxa"/>
            <w:vAlign w:val="center"/>
          </w:tcPr>
          <w:p w14:paraId="532325E9" w14:textId="1036A309" w:rsidR="00D3436E" w:rsidRPr="00D3436E" w:rsidRDefault="00D3436E" w:rsidP="00D3436E">
            <w:pPr>
              <w:jc w:val="center"/>
              <w:rPr>
                <w:b/>
                <w:bCs/>
              </w:rPr>
            </w:pPr>
            <w:r w:rsidRPr="00D3436E">
              <w:rPr>
                <w:b/>
                <w:bCs/>
              </w:rPr>
              <w:t>Score</w:t>
            </w:r>
          </w:p>
        </w:tc>
      </w:tr>
      <w:tr w:rsidR="00D3436E" w14:paraId="23B6175B" w14:textId="77777777" w:rsidTr="00D3436E">
        <w:tc>
          <w:tcPr>
            <w:tcW w:w="1269" w:type="dxa"/>
            <w:vAlign w:val="center"/>
          </w:tcPr>
          <w:p w14:paraId="789D580E" w14:textId="1B19397C" w:rsidR="00D3436E" w:rsidRDefault="00D3436E" w:rsidP="00D3436E">
            <w:pPr>
              <w:jc w:val="center"/>
            </w:pPr>
            <w:r w:rsidRPr="00D3436E">
              <w:t>1</w:t>
            </w:r>
          </w:p>
        </w:tc>
        <w:tc>
          <w:tcPr>
            <w:tcW w:w="3226" w:type="dxa"/>
            <w:vAlign w:val="center"/>
          </w:tcPr>
          <w:p w14:paraId="4748139C" w14:textId="31BEF9C7" w:rsidR="00D3436E" w:rsidRDefault="00D3436E" w:rsidP="00D3436E">
            <w:pPr>
              <w:jc w:val="center"/>
            </w:pPr>
            <w:r w:rsidRPr="00D3436E">
              <w:t>sally.beck@enron.com</w:t>
            </w:r>
          </w:p>
        </w:tc>
        <w:tc>
          <w:tcPr>
            <w:tcW w:w="1119" w:type="dxa"/>
            <w:vAlign w:val="center"/>
          </w:tcPr>
          <w:p w14:paraId="332531B2" w14:textId="068115D2" w:rsidR="00D3436E" w:rsidRDefault="00D3436E" w:rsidP="00D3436E">
            <w:pPr>
              <w:jc w:val="center"/>
            </w:pPr>
            <w:r w:rsidRPr="00D3436E">
              <w:t>4</w:t>
            </w:r>
          </w:p>
        </w:tc>
      </w:tr>
      <w:tr w:rsidR="00D3436E" w14:paraId="4A7A502D" w14:textId="77777777" w:rsidTr="00D3436E">
        <w:trPr>
          <w:trHeight w:val="58"/>
        </w:trPr>
        <w:tc>
          <w:tcPr>
            <w:tcW w:w="1269" w:type="dxa"/>
            <w:vAlign w:val="center"/>
          </w:tcPr>
          <w:p w14:paraId="1BAABA14" w14:textId="212EDA8E" w:rsidR="00D3436E" w:rsidRDefault="00D3436E" w:rsidP="00D3436E">
            <w:pPr>
              <w:jc w:val="center"/>
            </w:pPr>
            <w:r w:rsidRPr="00D3436E">
              <w:t>2</w:t>
            </w:r>
          </w:p>
        </w:tc>
        <w:tc>
          <w:tcPr>
            <w:tcW w:w="3226" w:type="dxa"/>
            <w:vAlign w:val="center"/>
          </w:tcPr>
          <w:p w14:paraId="7FB157B2" w14:textId="1D833515" w:rsidR="00D3436E" w:rsidRDefault="00D3436E" w:rsidP="00D3436E">
            <w:pPr>
              <w:jc w:val="center"/>
            </w:pPr>
            <w:r w:rsidRPr="00D3436E">
              <w:t>lydia.delgado@enron.com</w:t>
            </w:r>
          </w:p>
        </w:tc>
        <w:tc>
          <w:tcPr>
            <w:tcW w:w="1119" w:type="dxa"/>
            <w:vAlign w:val="center"/>
          </w:tcPr>
          <w:p w14:paraId="517E3DFA" w14:textId="4D9822A5" w:rsidR="00D3436E" w:rsidRDefault="00D3436E" w:rsidP="00D3436E">
            <w:pPr>
              <w:jc w:val="center"/>
            </w:pPr>
            <w:r w:rsidRPr="00D3436E">
              <w:t>2</w:t>
            </w:r>
          </w:p>
        </w:tc>
      </w:tr>
      <w:tr w:rsidR="00D3436E" w14:paraId="19C9676B" w14:textId="77777777" w:rsidTr="00D3436E">
        <w:tc>
          <w:tcPr>
            <w:tcW w:w="1269" w:type="dxa"/>
            <w:vAlign w:val="center"/>
          </w:tcPr>
          <w:p w14:paraId="5162B12D" w14:textId="607600BC" w:rsidR="00D3436E" w:rsidRDefault="00D3436E" w:rsidP="00D3436E">
            <w:pPr>
              <w:jc w:val="center"/>
            </w:pPr>
            <w:r w:rsidRPr="00D3436E">
              <w:t>3</w:t>
            </w:r>
          </w:p>
        </w:tc>
        <w:tc>
          <w:tcPr>
            <w:tcW w:w="3226" w:type="dxa"/>
            <w:vAlign w:val="center"/>
          </w:tcPr>
          <w:p w14:paraId="5233FB97" w14:textId="2A07229C" w:rsidR="00D3436E" w:rsidRDefault="00D3436E" w:rsidP="00D3436E">
            <w:pPr>
              <w:jc w:val="center"/>
            </w:pPr>
            <w:r w:rsidRPr="00D3436E">
              <w:t>bobette.riner@ipgdirect.com</w:t>
            </w:r>
          </w:p>
        </w:tc>
        <w:tc>
          <w:tcPr>
            <w:tcW w:w="1119" w:type="dxa"/>
            <w:vAlign w:val="center"/>
          </w:tcPr>
          <w:p w14:paraId="2F47AD71" w14:textId="6EC78D3E" w:rsidR="00D3436E" w:rsidRDefault="00D3436E" w:rsidP="00D3436E">
            <w:pPr>
              <w:jc w:val="center"/>
            </w:pPr>
            <w:r w:rsidRPr="00D3436E">
              <w:t>1</w:t>
            </w:r>
          </w:p>
        </w:tc>
      </w:tr>
    </w:tbl>
    <w:p w14:paraId="0070462A" w14:textId="77777777" w:rsidR="00D3436E" w:rsidRDefault="00D3436E" w:rsidP="00D3436E"/>
    <w:tbl>
      <w:tblPr>
        <w:tblStyle w:val="TableGrid"/>
        <w:tblW w:w="5632" w:type="dxa"/>
        <w:tblLook w:val="04A0" w:firstRow="1" w:lastRow="0" w:firstColumn="1" w:lastColumn="0" w:noHBand="0" w:noVBand="1"/>
      </w:tblPr>
      <w:tblGrid>
        <w:gridCol w:w="1310"/>
        <w:gridCol w:w="3185"/>
        <w:gridCol w:w="1137"/>
      </w:tblGrid>
      <w:tr w:rsidR="00D3436E" w14:paraId="55DCF0F4" w14:textId="77777777" w:rsidTr="00D3436E">
        <w:trPr>
          <w:trHeight w:val="290"/>
        </w:trPr>
        <w:tc>
          <w:tcPr>
            <w:tcW w:w="1310" w:type="dxa"/>
            <w:vAlign w:val="center"/>
          </w:tcPr>
          <w:p w14:paraId="331A15A7" w14:textId="60C7413A" w:rsidR="00D3436E" w:rsidRPr="00D3436E" w:rsidRDefault="00D3436E" w:rsidP="00D3436E">
            <w:pPr>
              <w:jc w:val="center"/>
              <w:rPr>
                <w:b/>
                <w:bCs/>
              </w:rPr>
            </w:pPr>
            <w:r w:rsidRPr="00D3436E">
              <w:rPr>
                <w:b/>
                <w:bCs/>
              </w:rPr>
              <w:t>Rank</w:t>
            </w:r>
          </w:p>
        </w:tc>
        <w:tc>
          <w:tcPr>
            <w:tcW w:w="3185" w:type="dxa"/>
            <w:vAlign w:val="center"/>
          </w:tcPr>
          <w:p w14:paraId="6DC105B3" w14:textId="695AFEE8" w:rsidR="00D3436E" w:rsidRPr="00D3436E" w:rsidRDefault="00D3436E" w:rsidP="00D3436E">
            <w:pPr>
              <w:jc w:val="center"/>
              <w:rPr>
                <w:b/>
                <w:bCs/>
              </w:rPr>
            </w:pPr>
            <w:r w:rsidRPr="00D3436E">
              <w:rPr>
                <w:b/>
                <w:bCs/>
              </w:rPr>
              <w:t>Top 3 Negative Employees</w:t>
            </w:r>
          </w:p>
        </w:tc>
        <w:tc>
          <w:tcPr>
            <w:tcW w:w="1137" w:type="dxa"/>
            <w:vAlign w:val="center"/>
          </w:tcPr>
          <w:p w14:paraId="45F5715B" w14:textId="3519D58E" w:rsidR="00D3436E" w:rsidRPr="00D3436E" w:rsidRDefault="00D3436E" w:rsidP="00D3436E">
            <w:pPr>
              <w:jc w:val="center"/>
              <w:rPr>
                <w:b/>
                <w:bCs/>
              </w:rPr>
            </w:pPr>
            <w:r w:rsidRPr="00D3436E">
              <w:rPr>
                <w:b/>
                <w:bCs/>
              </w:rPr>
              <w:t>Score</w:t>
            </w:r>
          </w:p>
        </w:tc>
      </w:tr>
      <w:tr w:rsidR="00D3436E" w14:paraId="3DEF83C3" w14:textId="77777777" w:rsidTr="00D3436E">
        <w:trPr>
          <w:trHeight w:val="290"/>
        </w:trPr>
        <w:tc>
          <w:tcPr>
            <w:tcW w:w="1310" w:type="dxa"/>
            <w:vAlign w:val="center"/>
          </w:tcPr>
          <w:p w14:paraId="24269E01" w14:textId="571E2EBA" w:rsidR="00D3436E" w:rsidRDefault="00D3436E" w:rsidP="00D3436E">
            <w:pPr>
              <w:jc w:val="center"/>
            </w:pPr>
            <w:r w:rsidRPr="00D3436E">
              <w:t>1</w:t>
            </w:r>
          </w:p>
        </w:tc>
        <w:tc>
          <w:tcPr>
            <w:tcW w:w="3185" w:type="dxa"/>
            <w:vAlign w:val="center"/>
          </w:tcPr>
          <w:p w14:paraId="4AC3F5AE" w14:textId="62F1F49A" w:rsidR="00D3436E" w:rsidRDefault="00D3436E" w:rsidP="00D3436E">
            <w:pPr>
              <w:jc w:val="center"/>
            </w:pPr>
            <w:r w:rsidRPr="00D3436E">
              <w:t>don.baughman@enron.com</w:t>
            </w:r>
          </w:p>
        </w:tc>
        <w:tc>
          <w:tcPr>
            <w:tcW w:w="1137" w:type="dxa"/>
            <w:vAlign w:val="center"/>
          </w:tcPr>
          <w:p w14:paraId="5205DD7C" w14:textId="3B22698D" w:rsidR="00D3436E" w:rsidRDefault="00D3436E" w:rsidP="00D3436E">
            <w:pPr>
              <w:jc w:val="center"/>
            </w:pPr>
            <w:r w:rsidRPr="00D3436E">
              <w:t>-1</w:t>
            </w:r>
          </w:p>
        </w:tc>
      </w:tr>
      <w:tr w:rsidR="00D3436E" w14:paraId="2159FC1D" w14:textId="77777777" w:rsidTr="00D3436E">
        <w:trPr>
          <w:trHeight w:val="302"/>
        </w:trPr>
        <w:tc>
          <w:tcPr>
            <w:tcW w:w="1310" w:type="dxa"/>
            <w:vAlign w:val="center"/>
          </w:tcPr>
          <w:p w14:paraId="1EA125CC" w14:textId="3BF37B8C" w:rsidR="00D3436E" w:rsidRDefault="00D3436E" w:rsidP="00D3436E">
            <w:pPr>
              <w:jc w:val="center"/>
            </w:pPr>
            <w:r w:rsidRPr="00D3436E">
              <w:t>2</w:t>
            </w:r>
          </w:p>
        </w:tc>
        <w:tc>
          <w:tcPr>
            <w:tcW w:w="3185" w:type="dxa"/>
            <w:vAlign w:val="center"/>
          </w:tcPr>
          <w:p w14:paraId="69C41E67" w14:textId="7741AE7B" w:rsidR="00D3436E" w:rsidRDefault="00D3436E" w:rsidP="00D3436E">
            <w:pPr>
              <w:jc w:val="center"/>
            </w:pPr>
            <w:r w:rsidRPr="00D3436E">
              <w:t>eric.bass@enron.com</w:t>
            </w:r>
          </w:p>
        </w:tc>
        <w:tc>
          <w:tcPr>
            <w:tcW w:w="1137" w:type="dxa"/>
            <w:vAlign w:val="center"/>
          </w:tcPr>
          <w:p w14:paraId="4182A52B" w14:textId="32380C35" w:rsidR="00D3436E" w:rsidRDefault="00D3436E" w:rsidP="00D3436E">
            <w:pPr>
              <w:jc w:val="center"/>
            </w:pPr>
            <w:r w:rsidRPr="00D3436E">
              <w:t>-1</w:t>
            </w:r>
          </w:p>
        </w:tc>
      </w:tr>
      <w:tr w:rsidR="00D3436E" w14:paraId="37EAAC1A" w14:textId="77777777" w:rsidTr="00D3436E">
        <w:trPr>
          <w:trHeight w:val="290"/>
        </w:trPr>
        <w:tc>
          <w:tcPr>
            <w:tcW w:w="1310" w:type="dxa"/>
            <w:vAlign w:val="center"/>
          </w:tcPr>
          <w:p w14:paraId="07045DC1" w14:textId="06D78BDF" w:rsidR="00D3436E" w:rsidRDefault="00D3436E" w:rsidP="00D3436E">
            <w:pPr>
              <w:jc w:val="center"/>
            </w:pPr>
            <w:r w:rsidRPr="00D3436E">
              <w:t>3</w:t>
            </w:r>
          </w:p>
        </w:tc>
        <w:tc>
          <w:tcPr>
            <w:tcW w:w="3185" w:type="dxa"/>
            <w:vAlign w:val="center"/>
          </w:tcPr>
          <w:p w14:paraId="60295391" w14:textId="2DCF8C29" w:rsidR="00D3436E" w:rsidRDefault="00D3436E" w:rsidP="00D3436E">
            <w:pPr>
              <w:jc w:val="center"/>
            </w:pPr>
            <w:r w:rsidRPr="00D3436E">
              <w:t>john.arnold@enron.com</w:t>
            </w:r>
          </w:p>
        </w:tc>
        <w:tc>
          <w:tcPr>
            <w:tcW w:w="1137" w:type="dxa"/>
            <w:vAlign w:val="center"/>
          </w:tcPr>
          <w:p w14:paraId="4993AFF9" w14:textId="2B3919C2" w:rsidR="00D3436E" w:rsidRDefault="00D3436E" w:rsidP="00D3436E">
            <w:pPr>
              <w:jc w:val="center"/>
            </w:pPr>
            <w:r w:rsidRPr="00D3436E">
              <w:t>0</w:t>
            </w:r>
          </w:p>
        </w:tc>
      </w:tr>
    </w:tbl>
    <w:p w14:paraId="3EB4C249" w14:textId="77777777" w:rsidR="00D3436E" w:rsidRDefault="00D3436E" w:rsidP="00D3436E"/>
    <w:tbl>
      <w:tblPr>
        <w:tblStyle w:val="TableGrid"/>
        <w:tblW w:w="5711" w:type="dxa"/>
        <w:tblLook w:val="04A0" w:firstRow="1" w:lastRow="0" w:firstColumn="1" w:lastColumn="0" w:noHBand="0" w:noVBand="1"/>
      </w:tblPr>
      <w:tblGrid>
        <w:gridCol w:w="1345"/>
        <w:gridCol w:w="3150"/>
        <w:gridCol w:w="1216"/>
      </w:tblGrid>
      <w:tr w:rsidR="00D3436E" w14:paraId="2B01A234" w14:textId="77777777" w:rsidTr="00D3436E">
        <w:tc>
          <w:tcPr>
            <w:tcW w:w="1345" w:type="dxa"/>
            <w:vAlign w:val="center"/>
          </w:tcPr>
          <w:p w14:paraId="462B32B7" w14:textId="3C18E843" w:rsidR="00D3436E" w:rsidRPr="00D3436E" w:rsidRDefault="00D3436E" w:rsidP="00D3436E">
            <w:pPr>
              <w:jc w:val="center"/>
              <w:rPr>
                <w:b/>
                <w:bCs/>
              </w:rPr>
            </w:pPr>
            <w:r w:rsidRPr="00D3436E">
              <w:rPr>
                <w:b/>
                <w:bCs/>
              </w:rPr>
              <w:t>Rank</w:t>
            </w:r>
          </w:p>
        </w:tc>
        <w:tc>
          <w:tcPr>
            <w:tcW w:w="3150" w:type="dxa"/>
            <w:vAlign w:val="center"/>
          </w:tcPr>
          <w:p w14:paraId="28D816A3" w14:textId="341F540C" w:rsidR="00D3436E" w:rsidRPr="00D3436E" w:rsidRDefault="00D3436E" w:rsidP="00D3436E">
            <w:pPr>
              <w:jc w:val="center"/>
              <w:rPr>
                <w:b/>
                <w:bCs/>
              </w:rPr>
            </w:pPr>
            <w:r w:rsidRPr="00D3436E">
              <w:rPr>
                <w:b/>
                <w:bCs/>
              </w:rPr>
              <w:t>Top 3 Negative Employees</w:t>
            </w:r>
          </w:p>
        </w:tc>
        <w:tc>
          <w:tcPr>
            <w:tcW w:w="1216" w:type="dxa"/>
            <w:vAlign w:val="center"/>
          </w:tcPr>
          <w:p w14:paraId="73F9F798" w14:textId="1D61EC82" w:rsidR="00D3436E" w:rsidRPr="00D3436E" w:rsidRDefault="00D3436E" w:rsidP="00D3436E">
            <w:pPr>
              <w:jc w:val="center"/>
              <w:rPr>
                <w:b/>
                <w:bCs/>
              </w:rPr>
            </w:pPr>
            <w:r w:rsidRPr="00D3436E">
              <w:rPr>
                <w:b/>
                <w:bCs/>
              </w:rPr>
              <w:t>Score</w:t>
            </w:r>
          </w:p>
        </w:tc>
      </w:tr>
      <w:tr w:rsidR="00D3436E" w14:paraId="79775D5C" w14:textId="77777777" w:rsidTr="00D3436E">
        <w:tc>
          <w:tcPr>
            <w:tcW w:w="1345" w:type="dxa"/>
            <w:vAlign w:val="center"/>
          </w:tcPr>
          <w:p w14:paraId="3B1E408B" w14:textId="22933207" w:rsidR="00D3436E" w:rsidRDefault="00D3436E" w:rsidP="00D3436E">
            <w:pPr>
              <w:jc w:val="center"/>
            </w:pPr>
            <w:r w:rsidRPr="00D3436E">
              <w:t>1</w:t>
            </w:r>
          </w:p>
        </w:tc>
        <w:tc>
          <w:tcPr>
            <w:tcW w:w="3150" w:type="dxa"/>
            <w:vAlign w:val="center"/>
          </w:tcPr>
          <w:p w14:paraId="7F6AB109" w14:textId="30E82F72" w:rsidR="00D3436E" w:rsidRDefault="00D3436E" w:rsidP="00D3436E">
            <w:pPr>
              <w:jc w:val="center"/>
            </w:pPr>
            <w:r w:rsidRPr="00D3436E">
              <w:t>don.baughman@enron.com</w:t>
            </w:r>
          </w:p>
        </w:tc>
        <w:tc>
          <w:tcPr>
            <w:tcW w:w="1216" w:type="dxa"/>
            <w:vAlign w:val="center"/>
          </w:tcPr>
          <w:p w14:paraId="280B1497" w14:textId="50BAE768" w:rsidR="00D3436E" w:rsidRDefault="00D3436E" w:rsidP="00D3436E">
            <w:pPr>
              <w:jc w:val="center"/>
            </w:pPr>
            <w:r w:rsidRPr="00D3436E">
              <w:t>-1</w:t>
            </w:r>
          </w:p>
        </w:tc>
      </w:tr>
      <w:tr w:rsidR="00D3436E" w14:paraId="68D76DCD" w14:textId="77777777" w:rsidTr="00D3436E">
        <w:tc>
          <w:tcPr>
            <w:tcW w:w="1345" w:type="dxa"/>
            <w:vAlign w:val="center"/>
          </w:tcPr>
          <w:p w14:paraId="73478327" w14:textId="03F2E84D" w:rsidR="00D3436E" w:rsidRDefault="00D3436E" w:rsidP="00D3436E">
            <w:pPr>
              <w:jc w:val="center"/>
            </w:pPr>
            <w:r w:rsidRPr="00D3436E">
              <w:t>2</w:t>
            </w:r>
          </w:p>
        </w:tc>
        <w:tc>
          <w:tcPr>
            <w:tcW w:w="3150" w:type="dxa"/>
            <w:vAlign w:val="center"/>
          </w:tcPr>
          <w:p w14:paraId="70677168" w14:textId="5670EF25" w:rsidR="00D3436E" w:rsidRDefault="00D3436E" w:rsidP="00D3436E">
            <w:pPr>
              <w:jc w:val="center"/>
            </w:pPr>
            <w:r w:rsidRPr="00D3436E">
              <w:t>eric.bass@enron.com</w:t>
            </w:r>
          </w:p>
        </w:tc>
        <w:tc>
          <w:tcPr>
            <w:tcW w:w="1216" w:type="dxa"/>
            <w:vAlign w:val="center"/>
          </w:tcPr>
          <w:p w14:paraId="42648974" w14:textId="2D4C52C1" w:rsidR="00D3436E" w:rsidRDefault="00D3436E" w:rsidP="00D3436E">
            <w:pPr>
              <w:jc w:val="center"/>
            </w:pPr>
            <w:r w:rsidRPr="00D3436E">
              <w:t>-1</w:t>
            </w:r>
          </w:p>
        </w:tc>
      </w:tr>
      <w:tr w:rsidR="00D3436E" w14:paraId="1220B170" w14:textId="77777777" w:rsidTr="00D3436E">
        <w:trPr>
          <w:trHeight w:val="58"/>
        </w:trPr>
        <w:tc>
          <w:tcPr>
            <w:tcW w:w="1345" w:type="dxa"/>
            <w:vAlign w:val="center"/>
          </w:tcPr>
          <w:p w14:paraId="45318BAD" w14:textId="18C67677" w:rsidR="00D3436E" w:rsidRDefault="00D3436E" w:rsidP="00D3436E">
            <w:pPr>
              <w:jc w:val="center"/>
            </w:pPr>
            <w:r w:rsidRPr="00D3436E">
              <w:t>3</w:t>
            </w:r>
          </w:p>
        </w:tc>
        <w:tc>
          <w:tcPr>
            <w:tcW w:w="3150" w:type="dxa"/>
            <w:vAlign w:val="center"/>
          </w:tcPr>
          <w:p w14:paraId="1F3DE768" w14:textId="45934A43" w:rsidR="00D3436E" w:rsidRDefault="00D3436E" w:rsidP="00D3436E">
            <w:pPr>
              <w:jc w:val="center"/>
            </w:pPr>
            <w:r w:rsidRPr="00D3436E">
              <w:t>john.arnold@enron.com</w:t>
            </w:r>
          </w:p>
        </w:tc>
        <w:tc>
          <w:tcPr>
            <w:tcW w:w="1216" w:type="dxa"/>
            <w:vAlign w:val="center"/>
          </w:tcPr>
          <w:p w14:paraId="01F91AE3" w14:textId="640F8503" w:rsidR="00D3436E" w:rsidRDefault="00D3436E" w:rsidP="00D3436E">
            <w:pPr>
              <w:jc w:val="center"/>
            </w:pPr>
            <w:r w:rsidRPr="00D3436E">
              <w:t>0</w:t>
            </w:r>
          </w:p>
        </w:tc>
      </w:tr>
    </w:tbl>
    <w:p w14:paraId="59F00DE0" w14:textId="77777777" w:rsidR="00D3436E" w:rsidRPr="00D3436E" w:rsidRDefault="00D3436E" w:rsidP="00D3436E"/>
    <w:p w14:paraId="54348963" w14:textId="77777777" w:rsidR="00D3436E" w:rsidRPr="00D3436E" w:rsidRDefault="00D3436E" w:rsidP="00D3436E">
      <w:pPr>
        <w:rPr>
          <w:b/>
          <w:bCs/>
        </w:rPr>
      </w:pPr>
      <w:r w:rsidRPr="00D3436E">
        <w:rPr>
          <w:b/>
          <w:bCs/>
        </w:rPr>
        <w:t>3.3. Flight Risk Identification Outcomes</w:t>
      </w:r>
    </w:p>
    <w:p w14:paraId="7E877C25" w14:textId="77777777" w:rsidR="00D3436E" w:rsidRPr="00D3436E" w:rsidRDefault="00D3436E" w:rsidP="00D3436E">
      <w:r w:rsidRPr="00D3436E">
        <w:t xml:space="preserve">The analysis identified </w:t>
      </w:r>
      <w:r w:rsidRPr="00D3436E">
        <w:rPr>
          <w:b/>
          <w:bCs/>
        </w:rPr>
        <w:t>two employees</w:t>
      </w:r>
      <w:r w:rsidRPr="00D3436E">
        <w:t xml:space="preserve"> who met the flight risk criteria at some point during the two-year period:</w:t>
      </w:r>
    </w:p>
    <w:p w14:paraId="2EB287D6" w14:textId="77777777" w:rsidR="00D3436E" w:rsidRPr="00D3436E" w:rsidRDefault="00D3436E" w:rsidP="00D3436E">
      <w:pPr>
        <w:numPr>
          <w:ilvl w:val="0"/>
          <w:numId w:val="11"/>
        </w:numPr>
      </w:pPr>
      <w:r w:rsidRPr="00D3436E">
        <w:t>eric.bass@enron.com</w:t>
      </w:r>
    </w:p>
    <w:p w14:paraId="1211E1E7" w14:textId="77777777" w:rsidR="00D3436E" w:rsidRPr="00D3436E" w:rsidRDefault="00D3436E" w:rsidP="00D3436E">
      <w:pPr>
        <w:numPr>
          <w:ilvl w:val="0"/>
          <w:numId w:val="11"/>
        </w:numPr>
      </w:pPr>
      <w:r w:rsidRPr="00D3436E">
        <w:t>rhonda.denton@enron.com</w:t>
      </w:r>
    </w:p>
    <w:p w14:paraId="5314277E" w14:textId="77777777" w:rsidR="00D3436E" w:rsidRDefault="00D3436E" w:rsidP="00D3436E">
      <w:r w:rsidRPr="00D3436E">
        <w:t>This finding is critical, as it highlights individuals who experienced a concentrated period of negative communication, which may indicate high stress or disengagement.</w:t>
      </w:r>
    </w:p>
    <w:p w14:paraId="2434E57D" w14:textId="77777777" w:rsidR="00D33C3B" w:rsidRPr="00D3436E" w:rsidRDefault="00D33C3B" w:rsidP="00D3436E"/>
    <w:p w14:paraId="473BFF0A" w14:textId="77777777" w:rsidR="00D3436E" w:rsidRPr="00D3436E" w:rsidRDefault="00D3436E" w:rsidP="00D3436E">
      <w:pPr>
        <w:rPr>
          <w:b/>
          <w:bCs/>
        </w:rPr>
      </w:pPr>
      <w:r w:rsidRPr="00D3436E">
        <w:rPr>
          <w:b/>
          <w:bCs/>
        </w:rPr>
        <w:t>3.4. Predictive Model Evaluation</w:t>
      </w:r>
    </w:p>
    <w:p w14:paraId="63B3FC8B" w14:textId="77777777" w:rsidR="00D3436E" w:rsidRPr="00D3436E" w:rsidRDefault="00D3436E" w:rsidP="00D3436E">
      <w:r w:rsidRPr="00D3436E">
        <w:t>The linear regression model provided valuable insights into the drivers of sentiment.</w:t>
      </w:r>
    </w:p>
    <w:p w14:paraId="0AEC5F81" w14:textId="77777777" w:rsidR="00D3436E" w:rsidRDefault="00D3436E" w:rsidP="00D3436E">
      <w:pPr>
        <w:rPr>
          <w:b/>
          <w:bCs/>
        </w:rPr>
      </w:pPr>
      <w:r w:rsidRPr="00D3436E">
        <w:rPr>
          <w:b/>
          <w:bCs/>
        </w:rPr>
        <w:t>Table 2: Model Performance Metrics</w:t>
      </w:r>
    </w:p>
    <w:tbl>
      <w:tblPr>
        <w:tblStyle w:val="TableGrid"/>
        <w:tblW w:w="0" w:type="auto"/>
        <w:tblLook w:val="04A0" w:firstRow="1" w:lastRow="0" w:firstColumn="1" w:lastColumn="0" w:noHBand="0" w:noVBand="1"/>
      </w:tblPr>
      <w:tblGrid>
        <w:gridCol w:w="4508"/>
        <w:gridCol w:w="4508"/>
      </w:tblGrid>
      <w:tr w:rsidR="00D33C3B" w14:paraId="613E3E44" w14:textId="77777777" w:rsidTr="00BC7152">
        <w:tc>
          <w:tcPr>
            <w:tcW w:w="4508" w:type="dxa"/>
            <w:vAlign w:val="center"/>
          </w:tcPr>
          <w:p w14:paraId="1C32B540" w14:textId="32E239B9" w:rsidR="00D33C3B" w:rsidRPr="00D33C3B" w:rsidRDefault="00D33C3B" w:rsidP="00D33C3B">
            <w:pPr>
              <w:jc w:val="center"/>
              <w:rPr>
                <w:b/>
                <w:bCs/>
              </w:rPr>
            </w:pPr>
            <w:r w:rsidRPr="00D3436E">
              <w:rPr>
                <w:b/>
                <w:bCs/>
              </w:rPr>
              <w:t>Metric</w:t>
            </w:r>
          </w:p>
        </w:tc>
        <w:tc>
          <w:tcPr>
            <w:tcW w:w="4508" w:type="dxa"/>
            <w:vAlign w:val="center"/>
          </w:tcPr>
          <w:p w14:paraId="60601624" w14:textId="2BCD2D13" w:rsidR="00D33C3B" w:rsidRPr="00D33C3B" w:rsidRDefault="00D33C3B" w:rsidP="00D33C3B">
            <w:pPr>
              <w:jc w:val="center"/>
              <w:rPr>
                <w:b/>
                <w:bCs/>
              </w:rPr>
            </w:pPr>
            <w:r w:rsidRPr="00D3436E">
              <w:rPr>
                <w:b/>
                <w:bCs/>
              </w:rPr>
              <w:t>Value</w:t>
            </w:r>
          </w:p>
        </w:tc>
      </w:tr>
      <w:tr w:rsidR="00D33C3B" w14:paraId="510AA7D7" w14:textId="77777777" w:rsidTr="00BC7152">
        <w:tc>
          <w:tcPr>
            <w:tcW w:w="4508" w:type="dxa"/>
            <w:vAlign w:val="center"/>
          </w:tcPr>
          <w:p w14:paraId="2BE792B7" w14:textId="7946F496" w:rsidR="00D33C3B" w:rsidRPr="00D33C3B" w:rsidRDefault="00D33C3B" w:rsidP="00D33C3B">
            <w:pPr>
              <w:jc w:val="center"/>
            </w:pPr>
            <w:r w:rsidRPr="00D3436E">
              <w:t>R-squared (R2) Score</w:t>
            </w:r>
          </w:p>
        </w:tc>
        <w:tc>
          <w:tcPr>
            <w:tcW w:w="4508" w:type="dxa"/>
            <w:vAlign w:val="center"/>
          </w:tcPr>
          <w:p w14:paraId="6DF4526A" w14:textId="322211A8" w:rsidR="00D33C3B" w:rsidRDefault="00D33C3B" w:rsidP="00D33C3B">
            <w:pPr>
              <w:jc w:val="center"/>
            </w:pPr>
            <w:r w:rsidRPr="00D3436E">
              <w:t>0.40</w:t>
            </w:r>
          </w:p>
        </w:tc>
      </w:tr>
      <w:tr w:rsidR="00D33C3B" w14:paraId="2A7F41C2" w14:textId="77777777" w:rsidTr="00BC7152">
        <w:tc>
          <w:tcPr>
            <w:tcW w:w="4508" w:type="dxa"/>
            <w:vAlign w:val="center"/>
          </w:tcPr>
          <w:p w14:paraId="20D5BC59" w14:textId="600C3AE9" w:rsidR="00D33C3B" w:rsidRPr="00D33C3B" w:rsidRDefault="00D33C3B" w:rsidP="00D33C3B">
            <w:pPr>
              <w:jc w:val="center"/>
            </w:pPr>
            <w:r w:rsidRPr="00D3436E">
              <w:t>Mean Squared Error (MSE)</w:t>
            </w:r>
          </w:p>
        </w:tc>
        <w:tc>
          <w:tcPr>
            <w:tcW w:w="4508" w:type="dxa"/>
            <w:vAlign w:val="center"/>
          </w:tcPr>
          <w:p w14:paraId="42A7629F" w14:textId="503CF787" w:rsidR="00D33C3B" w:rsidRDefault="00D33C3B" w:rsidP="00D33C3B">
            <w:pPr>
              <w:jc w:val="center"/>
            </w:pPr>
            <w:r w:rsidRPr="00D3436E">
              <w:t>1.83</w:t>
            </w:r>
          </w:p>
        </w:tc>
      </w:tr>
    </w:tbl>
    <w:p w14:paraId="72000BE1" w14:textId="77777777" w:rsidR="00D33C3B" w:rsidRDefault="00D33C3B" w:rsidP="00D3436E"/>
    <w:p w14:paraId="30C8F75D" w14:textId="08990922" w:rsidR="00D3436E" w:rsidRPr="00D3436E" w:rsidRDefault="00D3436E" w:rsidP="00D3436E">
      <w:r w:rsidRPr="00D3436E">
        <w:lastRenderedPageBreak/>
        <w:t xml:space="preserve">An </w:t>
      </w:r>
      <w:r w:rsidRPr="00D3436E">
        <w:rPr>
          <w:b/>
          <w:bCs/>
        </w:rPr>
        <w:t>R-squared value of 0.40</w:t>
      </w:r>
      <w:r w:rsidRPr="00D3436E">
        <w:t xml:space="preserve"> indicates that the model explains 40% of the variance in sentiment scores. The model's coefficients confirmed that the negative_message_ratio was the most significant factor influencing an employee's score.</w:t>
      </w:r>
    </w:p>
    <w:p w14:paraId="28C68A9F" w14:textId="77777777" w:rsidR="00D3436E" w:rsidRPr="00D3436E" w:rsidRDefault="00D3436E" w:rsidP="00D3436E">
      <w:r w:rsidRPr="00D3436E">
        <w:pict w14:anchorId="085A8D92">
          <v:rect id="_x0000_i1070" style="width:0;height:1.5pt" o:hralign="center" o:hrstd="t" o:hr="t" fillcolor="#a0a0a0" stroked="f"/>
        </w:pict>
      </w:r>
    </w:p>
    <w:p w14:paraId="63C0B573" w14:textId="77777777" w:rsidR="00D3436E" w:rsidRPr="00D3436E" w:rsidRDefault="00D3436E" w:rsidP="00D3436E">
      <w:pPr>
        <w:rPr>
          <w:b/>
          <w:bCs/>
          <w:sz w:val="36"/>
          <w:szCs w:val="36"/>
        </w:rPr>
      </w:pPr>
      <w:r w:rsidRPr="00D3436E">
        <w:rPr>
          <w:b/>
          <w:bCs/>
          <w:sz w:val="36"/>
          <w:szCs w:val="36"/>
        </w:rPr>
        <w:t>4. Conclusion and Recommendations</w:t>
      </w:r>
    </w:p>
    <w:p w14:paraId="72FDE5C0" w14:textId="77777777" w:rsidR="00D3436E" w:rsidRPr="00D3436E" w:rsidRDefault="00D3436E" w:rsidP="00D3436E">
      <w:r w:rsidRPr="00D3436E">
        <w:t>This analysis provided a data-driven framework for understanding employee sentiment. While overall morale appears positive, the results show that specific individuals exhibit patterns of negative communication that warrant attention.</w:t>
      </w:r>
    </w:p>
    <w:p w14:paraId="1163E2F3" w14:textId="77777777" w:rsidR="00D3436E" w:rsidRPr="00D3436E" w:rsidRDefault="00D3436E" w:rsidP="00D3436E">
      <w:pPr>
        <w:numPr>
          <w:ilvl w:val="0"/>
          <w:numId w:val="12"/>
        </w:numPr>
      </w:pPr>
      <w:r w:rsidRPr="00D3436E">
        <w:rPr>
          <w:b/>
          <w:bCs/>
        </w:rPr>
        <w:t>Recommendation 1:</w:t>
      </w:r>
      <w:r w:rsidRPr="00D3436E">
        <w:t xml:space="preserve"> We recommend that HR or management connect with the individuals identified in the "Top Negative" and "Flight Risk" reports to offer support and address any underlying issues.</w:t>
      </w:r>
    </w:p>
    <w:p w14:paraId="400642D8" w14:textId="77777777" w:rsidR="00D3436E" w:rsidRPr="00D3436E" w:rsidRDefault="00D3436E" w:rsidP="00D3436E">
      <w:pPr>
        <w:numPr>
          <w:ilvl w:val="0"/>
          <w:numId w:val="12"/>
        </w:numPr>
      </w:pPr>
      <w:r w:rsidRPr="00D3436E">
        <w:rPr>
          <w:b/>
          <w:bCs/>
        </w:rPr>
        <w:t>Recommendation 2:</w:t>
      </w:r>
      <w:r w:rsidRPr="00D3436E">
        <w:t xml:space="preserve"> The scoring and flight risk models should be used as ongoing tools to proactively monitor employee well-being and identify potential issues before they escalate.</w:t>
      </w:r>
    </w:p>
    <w:p w14:paraId="0F37058F" w14:textId="77777777" w:rsidR="009A5E53" w:rsidRDefault="009A5E53"/>
    <w:sectPr w:rsidR="009A5E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B2BD1"/>
    <w:multiLevelType w:val="multilevel"/>
    <w:tmpl w:val="4C968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277E64"/>
    <w:multiLevelType w:val="multilevel"/>
    <w:tmpl w:val="4574F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882024"/>
    <w:multiLevelType w:val="multilevel"/>
    <w:tmpl w:val="79785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BE2132"/>
    <w:multiLevelType w:val="multilevel"/>
    <w:tmpl w:val="513A9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CF1AEB"/>
    <w:multiLevelType w:val="multilevel"/>
    <w:tmpl w:val="C554C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0A6872"/>
    <w:multiLevelType w:val="multilevel"/>
    <w:tmpl w:val="5D4C9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EC38CA"/>
    <w:multiLevelType w:val="multilevel"/>
    <w:tmpl w:val="D778A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9676CD"/>
    <w:multiLevelType w:val="multilevel"/>
    <w:tmpl w:val="CF908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3262DF"/>
    <w:multiLevelType w:val="multilevel"/>
    <w:tmpl w:val="ADCAC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0372B3"/>
    <w:multiLevelType w:val="multilevel"/>
    <w:tmpl w:val="22580A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1D6AC1"/>
    <w:multiLevelType w:val="multilevel"/>
    <w:tmpl w:val="8AB82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9230837"/>
    <w:multiLevelType w:val="multilevel"/>
    <w:tmpl w:val="95823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9465256">
    <w:abstractNumId w:val="9"/>
  </w:num>
  <w:num w:numId="2" w16cid:durableId="2124374902">
    <w:abstractNumId w:val="8"/>
  </w:num>
  <w:num w:numId="3" w16cid:durableId="1851290417">
    <w:abstractNumId w:val="11"/>
  </w:num>
  <w:num w:numId="4" w16cid:durableId="382339929">
    <w:abstractNumId w:val="10"/>
  </w:num>
  <w:num w:numId="5" w16cid:durableId="209075789">
    <w:abstractNumId w:val="1"/>
  </w:num>
  <w:num w:numId="6" w16cid:durableId="207257525">
    <w:abstractNumId w:val="6"/>
  </w:num>
  <w:num w:numId="7" w16cid:durableId="1101993244">
    <w:abstractNumId w:val="2"/>
  </w:num>
  <w:num w:numId="8" w16cid:durableId="493494378">
    <w:abstractNumId w:val="0"/>
  </w:num>
  <w:num w:numId="9" w16cid:durableId="697506241">
    <w:abstractNumId w:val="5"/>
  </w:num>
  <w:num w:numId="10" w16cid:durableId="1459060663">
    <w:abstractNumId w:val="4"/>
  </w:num>
  <w:num w:numId="11" w16cid:durableId="588855800">
    <w:abstractNumId w:val="3"/>
  </w:num>
  <w:num w:numId="12" w16cid:durableId="147429968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513"/>
    <w:rsid w:val="000F465D"/>
    <w:rsid w:val="002B3200"/>
    <w:rsid w:val="004D792D"/>
    <w:rsid w:val="007A0FDD"/>
    <w:rsid w:val="0083564A"/>
    <w:rsid w:val="00853513"/>
    <w:rsid w:val="0089126D"/>
    <w:rsid w:val="009A5E53"/>
    <w:rsid w:val="009D2BA6"/>
    <w:rsid w:val="00D33C3B"/>
    <w:rsid w:val="00D3436E"/>
  </w:rsids>
  <m:mathPr>
    <m:mathFont m:val="Cambria Math"/>
    <m:brkBin m:val="before"/>
    <m:brkBinSub m:val="--"/>
    <m:smallFrac m:val="0"/>
    <m:dispDef/>
    <m:lMargin m:val="0"/>
    <m:rMargin m:val="0"/>
    <m:defJc m:val="centerGroup"/>
    <m:wrapIndent m:val="1440"/>
    <m:intLim m:val="subSup"/>
    <m:naryLim m:val="undOvr"/>
  </m:mathPr>
  <w:themeFontLang w:val="en-IN" w:eastAsia="ja-JP"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579AB"/>
  <w15:chartTrackingRefBased/>
  <w15:docId w15:val="{BA367F35-D965-4976-B2FE-710636B1E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351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5351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5351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5351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5351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535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35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35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35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351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5351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5351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5351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5351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535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35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35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3513"/>
    <w:rPr>
      <w:rFonts w:eastAsiaTheme="majorEastAsia" w:cstheme="majorBidi"/>
      <w:color w:val="272727" w:themeColor="text1" w:themeTint="D8"/>
    </w:rPr>
  </w:style>
  <w:style w:type="paragraph" w:styleId="Title">
    <w:name w:val="Title"/>
    <w:basedOn w:val="Normal"/>
    <w:next w:val="Normal"/>
    <w:link w:val="TitleChar"/>
    <w:uiPriority w:val="10"/>
    <w:qFormat/>
    <w:rsid w:val="008535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35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35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35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3513"/>
    <w:pPr>
      <w:spacing w:before="160"/>
      <w:jc w:val="center"/>
    </w:pPr>
    <w:rPr>
      <w:i/>
      <w:iCs/>
      <w:color w:val="404040" w:themeColor="text1" w:themeTint="BF"/>
    </w:rPr>
  </w:style>
  <w:style w:type="character" w:customStyle="1" w:styleId="QuoteChar">
    <w:name w:val="Quote Char"/>
    <w:basedOn w:val="DefaultParagraphFont"/>
    <w:link w:val="Quote"/>
    <w:uiPriority w:val="29"/>
    <w:rsid w:val="00853513"/>
    <w:rPr>
      <w:i/>
      <w:iCs/>
      <w:color w:val="404040" w:themeColor="text1" w:themeTint="BF"/>
    </w:rPr>
  </w:style>
  <w:style w:type="paragraph" w:styleId="ListParagraph">
    <w:name w:val="List Paragraph"/>
    <w:basedOn w:val="Normal"/>
    <w:uiPriority w:val="34"/>
    <w:qFormat/>
    <w:rsid w:val="00853513"/>
    <w:pPr>
      <w:ind w:left="720"/>
      <w:contextualSpacing/>
    </w:pPr>
  </w:style>
  <w:style w:type="character" w:styleId="IntenseEmphasis">
    <w:name w:val="Intense Emphasis"/>
    <w:basedOn w:val="DefaultParagraphFont"/>
    <w:uiPriority w:val="21"/>
    <w:qFormat/>
    <w:rsid w:val="00853513"/>
    <w:rPr>
      <w:i/>
      <w:iCs/>
      <w:color w:val="2F5496" w:themeColor="accent1" w:themeShade="BF"/>
    </w:rPr>
  </w:style>
  <w:style w:type="paragraph" w:styleId="IntenseQuote">
    <w:name w:val="Intense Quote"/>
    <w:basedOn w:val="Normal"/>
    <w:next w:val="Normal"/>
    <w:link w:val="IntenseQuoteChar"/>
    <w:uiPriority w:val="30"/>
    <w:qFormat/>
    <w:rsid w:val="0085351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53513"/>
    <w:rPr>
      <w:i/>
      <w:iCs/>
      <w:color w:val="2F5496" w:themeColor="accent1" w:themeShade="BF"/>
    </w:rPr>
  </w:style>
  <w:style w:type="character" w:styleId="IntenseReference">
    <w:name w:val="Intense Reference"/>
    <w:basedOn w:val="DefaultParagraphFont"/>
    <w:uiPriority w:val="32"/>
    <w:qFormat/>
    <w:rsid w:val="00853513"/>
    <w:rPr>
      <w:b/>
      <w:bCs/>
      <w:smallCaps/>
      <w:color w:val="2F5496" w:themeColor="accent1" w:themeShade="BF"/>
      <w:spacing w:val="5"/>
    </w:rPr>
  </w:style>
  <w:style w:type="table" w:styleId="TableGrid">
    <w:name w:val="Table Grid"/>
    <w:basedOn w:val="TableNormal"/>
    <w:uiPriority w:val="39"/>
    <w:rsid w:val="00D343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809</Words>
  <Characters>4613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Tabassum Shaikh</dc:creator>
  <cp:keywords/>
  <dc:description/>
  <cp:lastModifiedBy>Tabassum Shaikh</cp:lastModifiedBy>
  <cp:revision>4</cp:revision>
  <dcterms:created xsi:type="dcterms:W3CDTF">2025-08-31T08:35:00Z</dcterms:created>
  <dcterms:modified xsi:type="dcterms:W3CDTF">2025-08-31T09:09:00Z</dcterms:modified>
</cp:coreProperties>
</file>