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media/image1.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3A5F"/>
          <w:sz w:val="52"/>
        </w:rPr>
        <w:t>Secure Cloud-Native Application</w:t>
        <w:br/>
        <w:t>Deployment on AWS EKS</w:t>
      </w:r>
    </w:p>
    <w:p>
      <w:pPr>
        <w:jc w:val="center"/>
      </w:pPr>
      <w:r>
        <w:rPr>
          <w:i/>
          <w:color w:val="4A4A4A"/>
          <w:sz w:val="32"/>
        </w:rPr>
        <w:t>Technical Report</w:t>
      </w:r>
    </w:p>
    <w:p/>
    <w:p>
      <w:pPr>
        <w:jc w:val="center"/>
      </w:pPr>
      <w:r>
        <w:rPr>
          <w:sz w:val="26"/>
        </w:rPr>
        <w:t>CS581 — Cloud Security</w:t>
        <w:br/>
      </w:r>
      <w:r>
        <w:rPr>
          <w:sz w:val="26"/>
        </w:rPr>
        <w:t>Signature Project</w:t>
        <w:br/>
      </w:r>
      <w:r>
        <w:rPr>
          <w:sz w:val="24"/>
        </w:rPr>
        <w:t>San Francisco Bay University</w:t>
        <w:br/>
      </w:r>
      <w:r>
        <w:rPr>
          <w:sz w:val="24"/>
        </w:rPr>
        <w:t>Spring 2026</w:t>
        <w:br/>
      </w:r>
    </w:p>
    <w:p/>
    <w:p>
      <w:pPr>
        <w:jc w:val="center"/>
      </w:pPr>
      <w:r>
        <w:rPr>
          <w:i/>
          <w:color w:val="4A4A4A"/>
          <w:sz w:val="24"/>
        </w:rPr>
        <w:t>Design, Implementation, and Security Hardening of a Cloud-Native Fintech Application on Amazon EKS</w:t>
      </w:r>
    </w:p>
    <w:p>
      <w:r>
        <w:br w:type="page"/>
      </w:r>
    </w:p>
    <w:p>
      <w:pPr>
        <w:pStyle w:val="Heading1"/>
      </w:pPr>
      <w:r>
        <w:rPr>
          <w:color w:val="1F3A5F"/>
        </w:rPr>
        <w:t>Executive Summary</w:t>
      </w:r>
    </w:p>
    <w:p>
      <w:r>
        <w:rPr>
          <w:b w:val="0"/>
          <w:i w:val="0"/>
          <w:sz w:val="22"/>
        </w:rPr>
        <w:t>This project delivers a production-grade, secure deployment of a multi-tier fintech web application on Amazon EKS. The architecture applies defense-in-depth across seven security domains — network, identity, data, container, runtime, monitoring, and incident response — and is fully reproducible via Infrastructure as Code.</w:t>
      </w:r>
    </w:p>
    <w:p>
      <w:r>
        <w:rPr>
          <w:b w:val="0"/>
          <w:i w:val="0"/>
          <w:sz w:val="22"/>
        </w:rPr>
        <w:t>The implementation includes:</w:t>
      </w:r>
    </w:p>
    <w:p>
      <w:pPr>
        <w:pStyle w:val="ListBullet"/>
      </w:pPr>
      <w:r>
        <w:t>A hardened AWS network (VPC with public/private subnet separation, NAT egress, restrictive Security Groups and NACLs, and VPC Flow Logs)</w:t>
      </w:r>
    </w:p>
    <w:p>
      <w:pPr>
        <w:pStyle w:val="ListBullet"/>
      </w:pPr>
      <w:r>
        <w:t>An EKS cluster with control-plane audit logging, KMS-encrypted secrets, and managed node groups in private subnets</w:t>
      </w:r>
    </w:p>
    <w:p>
      <w:pPr>
        <w:pStyle w:val="ListBullet"/>
      </w:pPr>
      <w:r>
        <w:t>Least-privilege AWS IAM roles for cluster infrastructure, worker nodes, pod workloads (IRSA), and three human-user personas (admin, developer, viewer)</w:t>
      </w:r>
    </w:p>
    <w:p>
      <w:pPr>
        <w:pStyle w:val="ListBullet"/>
      </w:pPr>
      <w:r>
        <w:t>Kubernetes RBAC with namespace isolation and Pod Security Standards (restricted profile)</w:t>
      </w:r>
    </w:p>
    <w:p>
      <w:pPr>
        <w:pStyle w:val="ListBullet"/>
      </w:pPr>
      <w:r>
        <w:t>Encrypted data at rest (KMS on EBS, EKS secrets, Secrets Manager, ECR) and in transit (TLS 1.3 via ACM on the ALB)</w:t>
      </w:r>
    </w:p>
    <w:p>
      <w:pPr>
        <w:pStyle w:val="ListBullet"/>
      </w:pPr>
      <w:r>
        <w:t>ECR with immutable tags, scan-on-push, and Amazon Inspector enhanced scanning</w:t>
      </w:r>
    </w:p>
    <w:p>
      <w:pPr>
        <w:pStyle w:val="ListBullet"/>
      </w:pPr>
      <w:r>
        <w:t>Trivy CI/CD scanning of source, container images, and Kubernetes manifests</w:t>
      </w:r>
    </w:p>
    <w:p>
      <w:pPr>
        <w:pStyle w:val="ListBullet"/>
      </w:pPr>
      <w:r>
        <w:t>GuardDuty with EKS audit-log monitoring, CloudWatch Container Insights, and alarms routed to SNS</w:t>
      </w:r>
    </w:p>
    <w:p>
      <w:pPr>
        <w:pStyle w:val="ListBullet"/>
      </w:pPr>
      <w:r>
        <w:t>Three validated threat-simulation scenarios demonstrating the controls work end to end</w:t>
      </w:r>
    </w:p>
    <w:p>
      <w:r>
        <w:rPr>
          <w:b w:val="0"/>
          <w:i w:val="0"/>
          <w:sz w:val="22"/>
        </w:rPr>
        <w:t>All infrastructure is provisioned by Terraform and all workloads by Kubernetes manifests, with GitHub Actions orchestrating image builds and vulnerability scanning. The entire system can be deployed or destroyed in approximately 20 minutes.</w:t>
      </w:r>
    </w:p>
    <w:p>
      <w:pPr>
        <w:pBdr>
          <w:bottom w:val="single" w:sz="8" w:space="1" w:color="BFBFBF"/>
        </w:pBdr>
      </w:pPr>
    </w:p>
    <w:p>
      <w:pPr>
        <w:pStyle w:val="Heading1"/>
      </w:pPr>
      <w:r>
        <w:rPr>
          <w:color w:val="1F3A5F"/>
        </w:rPr>
        <w:t>1. Architecture Design and Justification</w:t>
      </w:r>
    </w:p>
    <w:p>
      <w:pPr>
        <w:pStyle w:val="Heading2"/>
      </w:pPr>
      <w:r>
        <w:rPr>
          <w:color w:val="1F3A5F"/>
        </w:rPr>
        <w:t>1.1 System Context</w:t>
      </w:r>
    </w:p>
    <w:p>
      <w:r>
        <w:rPr>
          <w:b w:val="0"/>
          <w:i w:val="0"/>
          <w:sz w:val="22"/>
        </w:rPr>
        <w:t>A fintech startup requires a cloud-native web application that:</w:t>
      </w:r>
    </w:p>
    <w:p>
      <w:pPr>
        <w:pStyle w:val="ListBullet"/>
      </w:pPr>
      <w:r>
        <w:t>Handles sensitive user and transaction data</w:t>
      </w:r>
    </w:p>
    <w:p>
      <w:pPr>
        <w:pStyle w:val="ListBullet"/>
      </w:pPr>
      <w:r>
        <w:t>Deploys to AWS EKS</w:t>
      </w:r>
    </w:p>
    <w:p>
      <w:pPr>
        <w:pStyle w:val="ListBullet"/>
      </w:pPr>
      <w:r>
        <w:t>Resists common cloud and container threats</w:t>
      </w:r>
    </w:p>
    <w:p>
      <w:pPr>
        <w:pStyle w:val="ListBullet"/>
      </w:pPr>
      <w:r>
        <w:t>Complies with foundational security controls: least privilege, encryption, auditability, and incident response</w:t>
      </w:r>
    </w:p>
    <w:p>
      <w:pPr>
        <w:pStyle w:val="Heading2"/>
      </w:pPr>
      <w:r>
        <w:rPr>
          <w:color w:val="1F3A5F"/>
        </w:rPr>
        <w:t>1.2 Architecture Overview</w:t>
      </w:r>
    </w:p>
    <w:p>
      <w:r>
        <w:rPr>
          <w:b w:val="0"/>
          <w:i w:val="0"/>
          <w:sz w:val="22"/>
        </w:rPr>
        <w:t>The solution is organized in three conceptual planes:</w:t>
      </w:r>
    </w:p>
    <w:p>
      <w:pPr>
        <w:pStyle w:val="ListNumber"/>
      </w:pPr>
      <w:r>
        <w:rPr>
          <w:b/>
        </w:rPr>
        <w:t>Network plane</w:t>
      </w:r>
      <w:r>
        <w:t xml:space="preserve"> — A single-region VPC (</w:t>
      </w:r>
      <w:r>
        <w:rPr>
          <w:rFonts w:ascii="Consolas" w:hAnsi="Consolas"/>
          <w:sz w:val="20"/>
        </w:rPr>
        <w:t>10.0.0.0/16</w:t>
      </w:r>
      <w:r>
        <w:t>) spread across three Availability Zones with paired public/private subnets. Public subnets host the ALB and NAT gateways; private subnets host EKS worker nodes and the EKS-managed control plane ENIs.</w:t>
      </w:r>
    </w:p>
    <w:p>
      <w:pPr>
        <w:pStyle w:val="ListNumber"/>
      </w:pPr>
      <w:r>
        <w:rPr>
          <w:b/>
        </w:rPr>
        <w:t>Compute plane</w:t>
      </w:r>
      <w:r>
        <w:t xml:space="preserve"> — EKS managed node group (2–4 × t3.medium) running in private subnets. All pods are scheduled here; no pod is ever scheduled in a public subnet.</w:t>
      </w:r>
    </w:p>
    <w:p>
      <w:pPr>
        <w:pStyle w:val="ListNumber"/>
      </w:pPr>
      <w:r>
        <w:rPr>
          <w:b/>
        </w:rPr>
        <w:t>Security and observability plane</w:t>
      </w:r>
      <w:r>
        <w:t xml:space="preserve"> — IAM (roles and IRSA), KMS (customer-managed keys), Secrets Manager, CloudWatch Logs, GuardDuty, and SNS are layered on top.</w:t>
      </w:r>
    </w:p>
    <w:p>
      <w:pPr>
        <w:jc w:val="center"/>
      </w:pPr>
      <w:r>
        <w:drawing>
          <wp:inline xmlns:a="http://schemas.openxmlformats.org/drawingml/2006/main" xmlns:pic="http://schemas.openxmlformats.org/drawingml/2006/picture">
            <wp:extent cx="5760000" cy="3251250"/>
            <wp:docPr id="1" name="Picture 1"/>
            <wp:cNvGraphicFramePr>
              <a:graphicFrameLocks noChangeAspect="1"/>
            </wp:cNvGraphicFramePr>
            <a:graphic>
              <a:graphicData uri="http://schemas.openxmlformats.org/drawingml/2006/picture">
                <pic:pic>
                  <pic:nvPicPr>
                    <pic:cNvPr id="0" name="architecture-diagram.png"/>
                    <pic:cNvPicPr/>
                  </pic:nvPicPr>
                  <pic:blipFill>
                    <a:blip r:embed="rId9"/>
                    <a:stretch>
                      <a:fillRect/>
                    </a:stretch>
                  </pic:blipFill>
                  <pic:spPr>
                    <a:xfrm>
                      <a:off x="0" y="0"/>
                      <a:ext cx="5760000" cy="3251250"/>
                    </a:xfrm>
                    <a:prstGeom prst="rect"/>
                  </pic:spPr>
                </pic:pic>
              </a:graphicData>
            </a:graphic>
          </wp:inline>
        </w:drawing>
      </w:r>
    </w:p>
    <w:p>
      <w:pPr>
        <w:jc w:val="center"/>
      </w:pPr>
      <w:r>
        <w:rPr>
          <w:i/>
          <w:color w:val="4A4A4A"/>
          <w:sz w:val="20"/>
        </w:rPr>
        <w:t>Figure 1 — Secure cloud-native fintech on AWS EKS (defense in depth). Editable source: docs/architecture-diagram.drawio.</w:t>
      </w:r>
    </w:p>
    <w:p>
      <w:pPr>
        <w:pStyle w:val="Heading2"/>
      </w:pPr>
      <w:r>
        <w:rPr>
          <w:color w:val="1F3A5F"/>
        </w:rPr>
        <w:t>1.3 Design Decisions and Security Justification</w:t>
      </w:r>
    </w:p>
    <w:tbl>
      <w:tblPr>
        <w:tblStyle w:val="LightGrid-Accent1"/>
        <w:tblW w:type="auto" w:w="0"/>
        <w:tblLayout w:type="autofit"/>
        <w:tblLook w:firstColumn="1" w:firstRow="1" w:lastColumn="0" w:lastRow="0" w:noHBand="0" w:noVBand="1" w:val="04A0"/>
      </w:tblPr>
      <w:tblGrid>
        <w:gridCol w:w="3249"/>
        <w:gridCol w:w="3249"/>
        <w:gridCol w:w="3249"/>
      </w:tblGrid>
      <w:tr>
        <w:tc>
          <w:tcPr>
            <w:tcW w:type="dxa" w:w="3249"/>
            <w:shd w:val="clear" w:color="auto" w:fill="1F3A5F"/>
          </w:tcPr>
          <w:p>
            <w:r>
              <w:rPr>
                <w:color w:val="FFFFFF"/>
              </w:rPr>
            </w:r>
            <w:r>
              <w:rPr>
                <w:b/>
                <w:color w:val="FFFFFF"/>
                <w:sz w:val="20"/>
              </w:rPr>
              <w:t>Decision</w:t>
            </w:r>
          </w:p>
        </w:tc>
        <w:tc>
          <w:tcPr>
            <w:tcW w:type="dxa" w:w="3249"/>
            <w:shd w:val="clear" w:color="auto" w:fill="1F3A5F"/>
          </w:tcPr>
          <w:p>
            <w:r>
              <w:rPr>
                <w:color w:val="FFFFFF"/>
              </w:rPr>
            </w:r>
            <w:r>
              <w:rPr>
                <w:b/>
                <w:color w:val="FFFFFF"/>
                <w:sz w:val="20"/>
              </w:rPr>
              <w:t>Alternative Considered</w:t>
            </w:r>
          </w:p>
        </w:tc>
        <w:tc>
          <w:tcPr>
            <w:tcW w:type="dxa" w:w="3249"/>
            <w:shd w:val="clear" w:color="auto" w:fill="1F3A5F"/>
          </w:tcPr>
          <w:p>
            <w:r>
              <w:rPr>
                <w:color w:val="FFFFFF"/>
              </w:rPr>
            </w:r>
            <w:r>
              <w:rPr>
                <w:b/>
                <w:color w:val="FFFFFF"/>
                <w:sz w:val="20"/>
              </w:rPr>
              <w:t>Security Rationale</w:t>
            </w:r>
          </w:p>
        </w:tc>
      </w:tr>
      <w:tr>
        <w:tc>
          <w:tcPr>
            <w:tcW w:type="dxa" w:w="3249"/>
          </w:tcPr>
          <w:p>
            <w:r>
              <w:rPr>
                <w:sz w:val="20"/>
              </w:rPr>
            </w:r>
            <w:r>
              <w:rPr>
                <w:sz w:val="20"/>
              </w:rPr>
              <w:t>EKS nodes in private subnets only</w:t>
            </w:r>
          </w:p>
        </w:tc>
        <w:tc>
          <w:tcPr>
            <w:tcW w:type="dxa" w:w="3249"/>
          </w:tcPr>
          <w:p>
            <w:r>
              <w:rPr>
                <w:sz w:val="20"/>
              </w:rPr>
            </w:r>
            <w:r>
              <w:rPr>
                <w:sz w:val="20"/>
              </w:rPr>
              <w:t>Nodes in public subnets</w:t>
            </w:r>
          </w:p>
        </w:tc>
        <w:tc>
          <w:tcPr>
            <w:tcW w:type="dxa" w:w="3249"/>
          </w:tcPr>
          <w:p>
            <w:r>
              <w:rPr>
                <w:sz w:val="20"/>
              </w:rPr>
            </w:r>
            <w:r>
              <w:rPr>
                <w:sz w:val="20"/>
              </w:rPr>
              <w:t>Nodes have no public IPs; inbound traffic terminates at the ALB. Eliminates direct node exposure.</w:t>
            </w:r>
          </w:p>
        </w:tc>
      </w:tr>
      <w:tr>
        <w:tc>
          <w:tcPr>
            <w:tcW w:type="dxa" w:w="3249"/>
          </w:tcPr>
          <w:p>
            <w:r>
              <w:rPr>
                <w:sz w:val="20"/>
              </w:rPr>
            </w:r>
            <w:r>
              <w:rPr>
                <w:sz w:val="20"/>
              </w:rPr>
              <w:t>Multi-AZ VPC (3 AZs)</w:t>
            </w:r>
          </w:p>
        </w:tc>
        <w:tc>
          <w:tcPr>
            <w:tcW w:type="dxa" w:w="3249"/>
          </w:tcPr>
          <w:p>
            <w:r>
              <w:rPr>
                <w:sz w:val="20"/>
              </w:rPr>
            </w:r>
            <w:r>
              <w:rPr>
                <w:sz w:val="20"/>
              </w:rPr>
              <w:t>Single AZ</w:t>
            </w:r>
          </w:p>
        </w:tc>
        <w:tc>
          <w:tcPr>
            <w:tcW w:type="dxa" w:w="3249"/>
          </w:tcPr>
          <w:p>
            <w:r>
              <w:rPr>
                <w:sz w:val="20"/>
              </w:rPr>
            </w:r>
            <w:r>
              <w:rPr>
                <w:sz w:val="20"/>
              </w:rPr>
              <w:t>High availability; AZ outage does not take down the app.</w:t>
            </w:r>
          </w:p>
        </w:tc>
      </w:tr>
      <w:tr>
        <w:tc>
          <w:tcPr>
            <w:tcW w:type="dxa" w:w="3249"/>
          </w:tcPr>
          <w:p>
            <w:r>
              <w:rPr>
                <w:sz w:val="20"/>
              </w:rPr>
            </w:r>
            <w:r>
              <w:rPr>
                <w:sz w:val="20"/>
              </w:rPr>
              <w:t>NAT Gateway (public subnets)</w:t>
            </w:r>
          </w:p>
        </w:tc>
        <w:tc>
          <w:tcPr>
            <w:tcW w:type="dxa" w:w="3249"/>
          </w:tcPr>
          <w:p>
            <w:r>
              <w:rPr>
                <w:sz w:val="20"/>
              </w:rPr>
            </w:r>
            <w:r>
              <w:rPr>
                <w:sz w:val="20"/>
              </w:rPr>
              <w:t>Public nodes for egress</w:t>
            </w:r>
          </w:p>
        </w:tc>
        <w:tc>
          <w:tcPr>
            <w:tcW w:type="dxa" w:w="3249"/>
          </w:tcPr>
          <w:p>
            <w:r>
              <w:rPr>
                <w:sz w:val="20"/>
              </w:rPr>
            </w:r>
            <w:r>
              <w:rPr>
                <w:sz w:val="20"/>
              </w:rPr>
              <w:t>Nodes reach AWS APIs (ECR, STS, Secrets Manager) without being reachable from the Internet.</w:t>
            </w:r>
          </w:p>
        </w:tc>
      </w:tr>
      <w:tr>
        <w:tc>
          <w:tcPr>
            <w:tcW w:type="dxa" w:w="3249"/>
          </w:tcPr>
          <w:p>
            <w:r>
              <w:rPr>
                <w:sz w:val="20"/>
              </w:rPr>
            </w:r>
            <w:r>
              <w:rPr>
                <w:sz w:val="20"/>
              </w:rPr>
              <w:t>Customer-managed KMS key</w:t>
            </w:r>
          </w:p>
        </w:tc>
        <w:tc>
          <w:tcPr>
            <w:tcW w:type="dxa" w:w="3249"/>
          </w:tcPr>
          <w:p>
            <w:r>
              <w:rPr>
                <w:sz w:val="20"/>
              </w:rPr>
            </w:r>
            <w:r>
              <w:rPr>
                <w:sz w:val="20"/>
              </w:rPr>
              <w:t>AWS-managed keys</w:t>
            </w:r>
          </w:p>
        </w:tc>
        <w:tc>
          <w:tcPr>
            <w:tcW w:type="dxa" w:w="3249"/>
          </w:tcPr>
          <w:p>
            <w:r>
              <w:rPr>
                <w:sz w:val="20"/>
              </w:rPr>
            </w:r>
            <w:r>
              <w:rPr>
                <w:sz w:val="20"/>
              </w:rPr>
              <w:t>Full control over key policy, rotation, and access audit.</w:t>
            </w:r>
          </w:p>
        </w:tc>
      </w:tr>
      <w:tr>
        <w:tc>
          <w:tcPr>
            <w:tcW w:type="dxa" w:w="3249"/>
          </w:tcPr>
          <w:p>
            <w:r>
              <w:rPr>
                <w:sz w:val="20"/>
              </w:rPr>
            </w:r>
            <w:r>
              <w:rPr>
                <w:sz w:val="20"/>
              </w:rPr>
              <w:t>Managed node group with Launch Template</w:t>
            </w:r>
          </w:p>
        </w:tc>
        <w:tc>
          <w:tcPr>
            <w:tcW w:type="dxa" w:w="3249"/>
          </w:tcPr>
          <w:p>
            <w:r>
              <w:rPr>
                <w:sz w:val="20"/>
              </w:rPr>
            </w:r>
            <w:r>
              <w:rPr>
                <w:sz w:val="20"/>
              </w:rPr>
              <w:t>Self-managed EC2</w:t>
            </w:r>
          </w:p>
        </w:tc>
        <w:tc>
          <w:tcPr>
            <w:tcW w:type="dxa" w:w="3249"/>
          </w:tcPr>
          <w:p>
            <w:r>
              <w:rPr>
                <w:sz w:val="20"/>
              </w:rPr>
            </w:r>
            <w:r>
              <w:rPr>
                <w:sz w:val="20"/>
              </w:rPr>
              <w:t>EKS owns lifecycle (upgrades, AMI patching). Launch Template enforces encrypted EBS.</w:t>
            </w:r>
          </w:p>
        </w:tc>
      </w:tr>
      <w:tr>
        <w:tc>
          <w:tcPr>
            <w:tcW w:type="dxa" w:w="3249"/>
          </w:tcPr>
          <w:p>
            <w:r>
              <w:rPr>
                <w:sz w:val="20"/>
              </w:rPr>
            </w:r>
            <w:r>
              <w:rPr>
                <w:sz w:val="20"/>
              </w:rPr>
              <w:t>IRSA for pod workloads</w:t>
            </w:r>
          </w:p>
        </w:tc>
        <w:tc>
          <w:tcPr>
            <w:tcW w:type="dxa" w:w="3249"/>
          </w:tcPr>
          <w:p>
            <w:r>
              <w:rPr>
                <w:sz w:val="20"/>
              </w:rPr>
            </w:r>
            <w:r>
              <w:rPr>
                <w:sz w:val="20"/>
              </w:rPr>
              <w:t>Instance profile inheritance</w:t>
            </w:r>
          </w:p>
        </w:tc>
        <w:tc>
          <w:tcPr>
            <w:tcW w:type="dxa" w:w="3249"/>
          </w:tcPr>
          <w:p>
            <w:r>
              <w:rPr>
                <w:sz w:val="20"/>
              </w:rPr>
            </w:r>
            <w:r>
              <w:rPr>
                <w:sz w:val="20"/>
              </w:rPr>
              <w:t>Per-pod AWS permissions via OIDC — no shared credentials, no static keys.</w:t>
            </w:r>
          </w:p>
        </w:tc>
      </w:tr>
      <w:tr>
        <w:tc>
          <w:tcPr>
            <w:tcW w:type="dxa" w:w="3249"/>
          </w:tcPr>
          <w:p>
            <w:r>
              <w:rPr>
                <w:sz w:val="20"/>
              </w:rPr>
            </w:r>
            <w:r>
              <w:rPr>
                <w:sz w:val="20"/>
              </w:rPr>
              <w:t>Three RBAC personas (admin/dev/viewer)</w:t>
            </w:r>
          </w:p>
        </w:tc>
        <w:tc>
          <w:tcPr>
            <w:tcW w:type="dxa" w:w="3249"/>
          </w:tcPr>
          <w:p>
            <w:r>
              <w:rPr>
                <w:sz w:val="20"/>
              </w:rPr>
            </w:r>
            <w:r>
              <w:rPr>
                <w:sz w:val="20"/>
              </w:rPr>
              <w:t>Single developer role</w:t>
            </w:r>
          </w:p>
        </w:tc>
        <w:tc>
          <w:tcPr>
            <w:tcW w:type="dxa" w:w="3249"/>
          </w:tcPr>
          <w:p>
            <w:r>
              <w:rPr>
                <w:sz w:val="20"/>
              </w:rPr>
            </w:r>
            <w:r>
              <w:rPr>
                <w:sz w:val="20"/>
              </w:rPr>
              <w:t>Matches real-world separation of duties. Audit trail includes the specific role used.</w:t>
            </w:r>
          </w:p>
        </w:tc>
      </w:tr>
      <w:tr>
        <w:tc>
          <w:tcPr>
            <w:tcW w:type="dxa" w:w="3249"/>
          </w:tcPr>
          <w:p>
            <w:r>
              <w:rPr>
                <w:sz w:val="20"/>
              </w:rPr>
            </w:r>
            <w:r>
              <w:rPr>
                <w:sz w:val="20"/>
              </w:rPr>
              <w:t xml:space="preserve">Pod Security Standard </w:t>
            </w:r>
            <w:r>
              <w:rPr>
                <w:rFonts w:ascii="Consolas" w:hAnsi="Consolas"/>
                <w:sz w:val="20"/>
              </w:rPr>
              <w:t>restricted</w:t>
            </w:r>
          </w:p>
        </w:tc>
        <w:tc>
          <w:tcPr>
            <w:tcW w:type="dxa" w:w="3249"/>
          </w:tcPr>
          <w:p>
            <w:r>
              <w:rPr>
                <w:sz w:val="20"/>
              </w:rPr>
            </w:r>
            <w:r>
              <w:rPr>
                <w:rFonts w:ascii="Consolas" w:hAnsi="Consolas"/>
                <w:sz w:val="20"/>
              </w:rPr>
              <w:t>baseline</w:t>
            </w:r>
            <w:r>
              <w:rPr>
                <w:sz w:val="20"/>
              </w:rPr>
              <w:t xml:space="preserve"> or no PSS</w:t>
            </w:r>
          </w:p>
        </w:tc>
        <w:tc>
          <w:tcPr>
            <w:tcW w:type="dxa" w:w="3249"/>
          </w:tcPr>
          <w:p>
            <w:r>
              <w:rPr>
                <w:sz w:val="20"/>
              </w:rPr>
            </w:r>
            <w:r>
              <w:rPr>
                <w:sz w:val="20"/>
              </w:rPr>
              <w:t>Blocks privileged pods, host-namespace use, and capability additions at admission.</w:t>
            </w:r>
          </w:p>
        </w:tc>
      </w:tr>
      <w:tr>
        <w:tc>
          <w:tcPr>
            <w:tcW w:type="dxa" w:w="3249"/>
          </w:tcPr>
          <w:p>
            <w:r>
              <w:rPr>
                <w:sz w:val="20"/>
              </w:rPr>
            </w:r>
            <w:r>
              <w:rPr>
                <w:sz w:val="20"/>
              </w:rPr>
              <w:t>ALB Ingress with ACM TLS 1.3</w:t>
            </w:r>
          </w:p>
        </w:tc>
        <w:tc>
          <w:tcPr>
            <w:tcW w:type="dxa" w:w="3249"/>
          </w:tcPr>
          <w:p>
            <w:r>
              <w:rPr>
                <w:sz w:val="20"/>
              </w:rPr>
            </w:r>
            <w:r>
              <w:rPr>
                <w:sz w:val="20"/>
              </w:rPr>
              <w:t>Self-signed or cert-manager</w:t>
            </w:r>
          </w:p>
        </w:tc>
        <w:tc>
          <w:tcPr>
            <w:tcW w:type="dxa" w:w="3249"/>
          </w:tcPr>
          <w:p>
            <w:r>
              <w:rPr>
                <w:sz w:val="20"/>
              </w:rPr>
            </w:r>
            <w:r>
              <w:rPr>
                <w:sz w:val="20"/>
              </w:rPr>
              <w:t>AWS-managed certs, automatic rotation, enforced modern cipher policy.</w:t>
            </w:r>
          </w:p>
        </w:tc>
      </w:tr>
      <w:tr>
        <w:tc>
          <w:tcPr>
            <w:tcW w:type="dxa" w:w="3249"/>
          </w:tcPr>
          <w:p>
            <w:r>
              <w:rPr>
                <w:sz w:val="20"/>
              </w:rPr>
            </w:r>
            <w:r>
              <w:rPr>
                <w:sz w:val="20"/>
              </w:rPr>
              <w:t>Immutable ECR image tags</w:t>
            </w:r>
          </w:p>
        </w:tc>
        <w:tc>
          <w:tcPr>
            <w:tcW w:type="dxa" w:w="3249"/>
          </w:tcPr>
          <w:p>
            <w:r>
              <w:rPr>
                <w:sz w:val="20"/>
              </w:rPr>
            </w:r>
            <w:r>
              <w:rPr>
                <w:sz w:val="20"/>
              </w:rPr>
              <w:t>Mutable tags</w:t>
            </w:r>
          </w:p>
        </w:tc>
        <w:tc>
          <w:tcPr>
            <w:tcW w:type="dxa" w:w="3249"/>
          </w:tcPr>
          <w:p>
            <w:r>
              <w:rPr>
                <w:sz w:val="20"/>
              </w:rPr>
            </w:r>
            <w:r>
              <w:rPr>
                <w:sz w:val="20"/>
              </w:rPr>
              <w:t>Deployed image contents cannot change under the running pod.</w:t>
            </w:r>
          </w:p>
        </w:tc>
      </w:tr>
      <w:tr>
        <w:tc>
          <w:tcPr>
            <w:tcW w:type="dxa" w:w="3249"/>
          </w:tcPr>
          <w:p>
            <w:r>
              <w:rPr>
                <w:sz w:val="20"/>
              </w:rPr>
            </w:r>
            <w:r>
              <w:rPr>
                <w:sz w:val="20"/>
              </w:rPr>
              <w:t>GuardDuty with EKS audit-log monitoring</w:t>
            </w:r>
          </w:p>
        </w:tc>
        <w:tc>
          <w:tcPr>
            <w:tcW w:type="dxa" w:w="3249"/>
          </w:tcPr>
          <w:p>
            <w:r>
              <w:rPr>
                <w:sz w:val="20"/>
              </w:rPr>
            </w:r>
            <w:r>
              <w:rPr>
                <w:sz w:val="20"/>
              </w:rPr>
              <w:t>VPC Flow Logs review only</w:t>
            </w:r>
          </w:p>
        </w:tc>
        <w:tc>
          <w:tcPr>
            <w:tcW w:type="dxa" w:w="3249"/>
          </w:tcPr>
          <w:p>
            <w:r>
              <w:rPr>
                <w:sz w:val="20"/>
              </w:rPr>
            </w:r>
            <w:r>
              <w:rPr>
                <w:sz w:val="20"/>
              </w:rPr>
              <w:t>Automated, continuous analysis versus manual forensics.</w:t>
            </w:r>
          </w:p>
        </w:tc>
      </w:tr>
      <w:tr>
        <w:tc>
          <w:tcPr>
            <w:tcW w:type="dxa" w:w="3249"/>
          </w:tcPr>
          <w:p>
            <w:r>
              <w:rPr>
                <w:sz w:val="20"/>
              </w:rPr>
            </w:r>
            <w:r>
              <w:rPr>
                <w:sz w:val="20"/>
              </w:rPr>
              <w:t>Terraform for all infrastructure</w:t>
            </w:r>
          </w:p>
        </w:tc>
        <w:tc>
          <w:tcPr>
            <w:tcW w:type="dxa" w:w="3249"/>
          </w:tcPr>
          <w:p>
            <w:r>
              <w:rPr>
                <w:sz w:val="20"/>
              </w:rPr>
            </w:r>
            <w:r>
              <w:rPr>
                <w:sz w:val="20"/>
              </w:rPr>
              <w:t>Click-ops / eksctl</w:t>
            </w:r>
          </w:p>
        </w:tc>
        <w:tc>
          <w:tcPr>
            <w:tcW w:type="dxa" w:w="3249"/>
          </w:tcPr>
          <w:p>
            <w:r>
              <w:rPr>
                <w:sz w:val="20"/>
              </w:rPr>
            </w:r>
            <w:r>
              <w:rPr>
                <w:sz w:val="20"/>
              </w:rPr>
              <w:t xml:space="preserve">Reviewable, reproducible, diffable changes. Drift detection via </w:t>
            </w:r>
            <w:r>
              <w:rPr>
                <w:rFonts w:ascii="Consolas" w:hAnsi="Consolas"/>
                <w:sz w:val="20"/>
              </w:rPr>
              <w:t>terraform plan</w:t>
            </w:r>
            <w:r>
              <w:rPr>
                <w:sz w:val="20"/>
              </w:rPr>
              <w:t>.</w:t>
            </w:r>
          </w:p>
        </w:tc>
      </w:tr>
    </w:tbl>
    <w:p/>
    <w:p>
      <w:pPr>
        <w:pStyle w:val="Heading2"/>
      </w:pPr>
      <w:r>
        <w:rPr>
          <w:color w:val="1F3A5F"/>
        </w:rPr>
        <w:t>1.4 Threat Model Summary (STRIDE)</w:t>
      </w:r>
    </w:p>
    <w:tbl>
      <w:tblPr>
        <w:tblStyle w:val="LightGrid-Accent1"/>
        <w:tblW w:type="auto" w:w="0"/>
        <w:tblLayout w:type="autofit"/>
        <w:tblLook w:firstColumn="1" w:firstRow="1" w:lastColumn="0" w:lastRow="0" w:noHBand="0" w:noVBand="1" w:val="04A0"/>
      </w:tblPr>
      <w:tblGrid>
        <w:gridCol w:w="3249"/>
        <w:gridCol w:w="3249"/>
        <w:gridCol w:w="3249"/>
      </w:tblGrid>
      <w:tr>
        <w:tc>
          <w:tcPr>
            <w:tcW w:type="dxa" w:w="3249"/>
            <w:shd w:val="clear" w:color="auto" w:fill="1F3A5F"/>
          </w:tcPr>
          <w:p>
            <w:r>
              <w:rPr>
                <w:color w:val="FFFFFF"/>
              </w:rPr>
            </w:r>
            <w:r>
              <w:rPr>
                <w:b/>
                <w:color w:val="FFFFFF"/>
                <w:sz w:val="20"/>
              </w:rPr>
              <w:t>Threat</w:t>
            </w:r>
          </w:p>
        </w:tc>
        <w:tc>
          <w:tcPr>
            <w:tcW w:type="dxa" w:w="3249"/>
            <w:shd w:val="clear" w:color="auto" w:fill="1F3A5F"/>
          </w:tcPr>
          <w:p>
            <w:r>
              <w:rPr>
                <w:color w:val="FFFFFF"/>
              </w:rPr>
            </w:r>
            <w:r>
              <w:rPr>
                <w:b/>
                <w:color w:val="FFFFFF"/>
                <w:sz w:val="20"/>
              </w:rPr>
              <w:t>Affected Component</w:t>
            </w:r>
          </w:p>
        </w:tc>
        <w:tc>
          <w:tcPr>
            <w:tcW w:type="dxa" w:w="3249"/>
            <w:shd w:val="clear" w:color="auto" w:fill="1F3A5F"/>
          </w:tcPr>
          <w:p>
            <w:r>
              <w:rPr>
                <w:color w:val="FFFFFF"/>
              </w:rPr>
            </w:r>
            <w:r>
              <w:rPr>
                <w:b/>
                <w:color w:val="FFFFFF"/>
                <w:sz w:val="20"/>
              </w:rPr>
              <w:t>Control</w:t>
            </w:r>
          </w:p>
        </w:tc>
      </w:tr>
      <w:tr>
        <w:tc>
          <w:tcPr>
            <w:tcW w:type="dxa" w:w="3249"/>
          </w:tcPr>
          <w:p>
            <w:r>
              <w:rPr>
                <w:sz w:val="20"/>
              </w:rPr>
            </w:r>
            <w:r>
              <w:rPr>
                <w:b/>
                <w:sz w:val="20"/>
              </w:rPr>
              <w:t>S</w:t>
            </w:r>
            <w:r>
              <w:rPr>
                <w:sz w:val="20"/>
              </w:rPr>
              <w:t>poofing user identity</w:t>
            </w:r>
          </w:p>
        </w:tc>
        <w:tc>
          <w:tcPr>
            <w:tcW w:type="dxa" w:w="3249"/>
          </w:tcPr>
          <w:p>
            <w:r>
              <w:rPr>
                <w:sz w:val="20"/>
              </w:rPr>
            </w:r>
            <w:r>
              <w:rPr>
                <w:sz w:val="20"/>
              </w:rPr>
              <w:t>API access</w:t>
            </w:r>
          </w:p>
        </w:tc>
        <w:tc>
          <w:tcPr>
            <w:tcW w:type="dxa" w:w="3249"/>
          </w:tcPr>
          <w:p>
            <w:r>
              <w:rPr>
                <w:sz w:val="20"/>
              </w:rPr>
            </w:r>
            <w:r>
              <w:rPr>
                <w:sz w:val="20"/>
              </w:rPr>
              <w:t>IAM role authentication + Kubernetes RBAC groups</w:t>
            </w:r>
          </w:p>
        </w:tc>
      </w:tr>
      <w:tr>
        <w:tc>
          <w:tcPr>
            <w:tcW w:type="dxa" w:w="3249"/>
          </w:tcPr>
          <w:p>
            <w:r>
              <w:rPr>
                <w:sz w:val="20"/>
              </w:rPr>
            </w:r>
            <w:r>
              <w:rPr>
                <w:b/>
                <w:sz w:val="20"/>
              </w:rPr>
              <w:t>T</w:t>
            </w:r>
            <w:r>
              <w:rPr>
                <w:sz w:val="20"/>
              </w:rPr>
              <w:t>ampering with data in transit</w:t>
            </w:r>
          </w:p>
        </w:tc>
        <w:tc>
          <w:tcPr>
            <w:tcW w:type="dxa" w:w="3249"/>
          </w:tcPr>
          <w:p>
            <w:r>
              <w:rPr>
                <w:sz w:val="20"/>
              </w:rPr>
            </w:r>
            <w:r>
              <w:rPr>
                <w:sz w:val="20"/>
              </w:rPr>
              <w:t>Client ↔ ALB ↔ pod</w:t>
            </w:r>
          </w:p>
        </w:tc>
        <w:tc>
          <w:tcPr>
            <w:tcW w:type="dxa" w:w="3249"/>
          </w:tcPr>
          <w:p>
            <w:r>
              <w:rPr>
                <w:sz w:val="20"/>
              </w:rPr>
            </w:r>
            <w:r>
              <w:rPr>
                <w:sz w:val="20"/>
              </w:rPr>
              <w:t>TLS 1.3 at ALB; in-cluster TLS for kubelet/API</w:t>
            </w:r>
          </w:p>
        </w:tc>
      </w:tr>
      <w:tr>
        <w:tc>
          <w:tcPr>
            <w:tcW w:type="dxa" w:w="3249"/>
          </w:tcPr>
          <w:p>
            <w:r>
              <w:rPr>
                <w:sz w:val="20"/>
              </w:rPr>
            </w:r>
            <w:r>
              <w:rPr>
                <w:b/>
                <w:sz w:val="20"/>
              </w:rPr>
              <w:t>T</w:t>
            </w:r>
            <w:r>
              <w:rPr>
                <w:sz w:val="20"/>
              </w:rPr>
              <w:t>ampering with data at rest</w:t>
            </w:r>
          </w:p>
        </w:tc>
        <w:tc>
          <w:tcPr>
            <w:tcW w:type="dxa" w:w="3249"/>
          </w:tcPr>
          <w:p>
            <w:r>
              <w:rPr>
                <w:sz w:val="20"/>
              </w:rPr>
            </w:r>
            <w:r>
              <w:rPr>
                <w:sz w:val="20"/>
              </w:rPr>
              <w:t>EBS, Secrets Manager, ECR</w:t>
            </w:r>
          </w:p>
        </w:tc>
        <w:tc>
          <w:tcPr>
            <w:tcW w:type="dxa" w:w="3249"/>
          </w:tcPr>
          <w:p>
            <w:r>
              <w:rPr>
                <w:sz w:val="20"/>
              </w:rPr>
            </w:r>
            <w:r>
              <w:rPr>
                <w:sz w:val="20"/>
              </w:rPr>
              <w:t>KMS encryption on all three</w:t>
            </w:r>
          </w:p>
        </w:tc>
      </w:tr>
      <w:tr>
        <w:tc>
          <w:tcPr>
            <w:tcW w:type="dxa" w:w="3249"/>
          </w:tcPr>
          <w:p>
            <w:r>
              <w:rPr>
                <w:sz w:val="20"/>
              </w:rPr>
            </w:r>
            <w:r>
              <w:rPr>
                <w:b/>
                <w:sz w:val="20"/>
              </w:rPr>
              <w:t>R</w:t>
            </w:r>
            <w:r>
              <w:rPr>
                <w:sz w:val="20"/>
              </w:rPr>
              <w:t>epudiation</w:t>
            </w:r>
          </w:p>
        </w:tc>
        <w:tc>
          <w:tcPr>
            <w:tcW w:type="dxa" w:w="3249"/>
          </w:tcPr>
          <w:p>
            <w:r>
              <w:rPr>
                <w:sz w:val="20"/>
              </w:rPr>
            </w:r>
            <w:r>
              <w:rPr>
                <w:sz w:val="20"/>
              </w:rPr>
              <w:t>Any admin action</w:t>
            </w:r>
          </w:p>
        </w:tc>
        <w:tc>
          <w:tcPr>
            <w:tcW w:type="dxa" w:w="3249"/>
          </w:tcPr>
          <w:p>
            <w:r>
              <w:rPr>
                <w:sz w:val="20"/>
              </w:rPr>
            </w:r>
            <w:r>
              <w:rPr>
                <w:sz w:val="20"/>
              </w:rPr>
              <w:t>CloudTrail (AWS) + EKS audit log (Kubernetes)</w:t>
            </w:r>
          </w:p>
        </w:tc>
      </w:tr>
      <w:tr>
        <w:tc>
          <w:tcPr>
            <w:tcW w:type="dxa" w:w="3249"/>
          </w:tcPr>
          <w:p>
            <w:r>
              <w:rPr>
                <w:sz w:val="20"/>
              </w:rPr>
            </w:r>
            <w:r>
              <w:rPr>
                <w:b/>
                <w:sz w:val="20"/>
              </w:rPr>
              <w:t>I</w:t>
            </w:r>
            <w:r>
              <w:rPr>
                <w:sz w:val="20"/>
              </w:rPr>
              <w:t>nformation disclosure</w:t>
            </w:r>
          </w:p>
        </w:tc>
        <w:tc>
          <w:tcPr>
            <w:tcW w:type="dxa" w:w="3249"/>
          </w:tcPr>
          <w:p>
            <w:r>
              <w:rPr>
                <w:sz w:val="20"/>
              </w:rPr>
            </w:r>
            <w:r>
              <w:rPr>
                <w:sz w:val="20"/>
              </w:rPr>
              <w:t>Secret material</w:t>
            </w:r>
          </w:p>
        </w:tc>
        <w:tc>
          <w:tcPr>
            <w:tcW w:type="dxa" w:w="3249"/>
          </w:tcPr>
          <w:p>
            <w:r>
              <w:rPr>
                <w:sz w:val="20"/>
              </w:rPr>
            </w:r>
            <w:r>
              <w:rPr>
                <w:sz w:val="20"/>
              </w:rPr>
              <w:t>Secrets Manager with IRSA; no secrets in images or manifests</w:t>
            </w:r>
          </w:p>
        </w:tc>
      </w:tr>
      <w:tr>
        <w:tc>
          <w:tcPr>
            <w:tcW w:type="dxa" w:w="3249"/>
          </w:tcPr>
          <w:p>
            <w:r>
              <w:rPr>
                <w:sz w:val="20"/>
              </w:rPr>
            </w:r>
            <w:r>
              <w:rPr>
                <w:b/>
                <w:sz w:val="20"/>
              </w:rPr>
              <w:t>D</w:t>
            </w:r>
            <w:r>
              <w:rPr>
                <w:sz w:val="20"/>
              </w:rPr>
              <w:t>enial of service</w:t>
            </w:r>
          </w:p>
        </w:tc>
        <w:tc>
          <w:tcPr>
            <w:tcW w:type="dxa" w:w="3249"/>
          </w:tcPr>
          <w:p>
            <w:r>
              <w:rPr>
                <w:sz w:val="20"/>
              </w:rPr>
            </w:r>
            <w:r>
              <w:rPr>
                <w:sz w:val="20"/>
              </w:rPr>
              <w:t>ALB / nodes</w:t>
            </w:r>
          </w:p>
        </w:tc>
        <w:tc>
          <w:tcPr>
            <w:tcW w:type="dxa" w:w="3249"/>
          </w:tcPr>
          <w:p>
            <w:r>
              <w:rPr>
                <w:sz w:val="20"/>
              </w:rPr>
            </w:r>
            <w:r>
              <w:rPr>
                <w:sz w:val="20"/>
              </w:rPr>
              <w:t>ALB WAF-ready; HPA-ready node group; resource quotas on pods</w:t>
            </w:r>
          </w:p>
        </w:tc>
      </w:tr>
      <w:tr>
        <w:tc>
          <w:tcPr>
            <w:tcW w:type="dxa" w:w="3249"/>
          </w:tcPr>
          <w:p>
            <w:r>
              <w:rPr>
                <w:sz w:val="20"/>
              </w:rPr>
            </w:r>
            <w:r>
              <w:rPr>
                <w:b/>
                <w:sz w:val="20"/>
              </w:rPr>
              <w:t>E</w:t>
            </w:r>
            <w:r>
              <w:rPr>
                <w:sz w:val="20"/>
              </w:rPr>
              <w:t>levation of privilege</w:t>
            </w:r>
          </w:p>
        </w:tc>
        <w:tc>
          <w:tcPr>
            <w:tcW w:type="dxa" w:w="3249"/>
          </w:tcPr>
          <w:p>
            <w:r>
              <w:rPr>
                <w:sz w:val="20"/>
              </w:rPr>
            </w:r>
            <w:r>
              <w:rPr>
                <w:sz w:val="20"/>
              </w:rPr>
              <w:t>Pod → host, user → admin</w:t>
            </w:r>
          </w:p>
        </w:tc>
        <w:tc>
          <w:tcPr>
            <w:tcW w:type="dxa" w:w="3249"/>
          </w:tcPr>
          <w:p>
            <w:r>
              <w:rPr>
                <w:sz w:val="20"/>
              </w:rPr>
            </w:r>
            <w:r>
              <w:rPr>
                <w:sz w:val="20"/>
              </w:rPr>
              <w:t xml:space="preserve">PSS </w:t>
            </w:r>
            <w:r>
              <w:rPr>
                <w:rFonts w:ascii="Consolas" w:hAnsi="Consolas"/>
                <w:sz w:val="20"/>
              </w:rPr>
              <w:t>restricted</w:t>
            </w:r>
            <w:r>
              <w:rPr>
                <w:sz w:val="20"/>
              </w:rPr>
              <w:t xml:space="preserve">, RBAC least privilege, </w:t>
            </w:r>
            <w:r>
              <w:rPr>
                <w:rFonts w:ascii="Consolas" w:hAnsi="Consolas"/>
                <w:sz w:val="20"/>
              </w:rPr>
              <w:t>readOnlyRootFilesystem</w:t>
            </w:r>
          </w:p>
        </w:tc>
      </w:tr>
    </w:tbl>
    <w:p/>
    <w:p>
      <w:pPr>
        <w:pBdr>
          <w:bottom w:val="single" w:sz="8" w:space="1" w:color="BFBFBF"/>
        </w:pBdr>
      </w:pPr>
    </w:p>
    <w:p>
      <w:pPr>
        <w:pStyle w:val="Heading1"/>
      </w:pPr>
      <w:r>
        <w:rPr>
          <w:color w:val="1F3A5F"/>
        </w:rPr>
        <w:t>2. Implementation Summary</w:t>
      </w:r>
    </w:p>
    <w:p>
      <w:pPr>
        <w:pStyle w:val="Heading2"/>
      </w:pPr>
      <w:r>
        <w:rPr>
          <w:color w:val="1F3A5F"/>
        </w:rPr>
        <w:t>2.1 Infrastructure (Terraform)</w:t>
      </w:r>
    </w:p>
    <w:p>
      <w:r>
        <w:rPr>
          <w:b w:val="0"/>
          <w:i w:val="0"/>
          <w:sz w:val="22"/>
        </w:rPr>
        <w:t>Six Terraform modules, each with a single responsibility:</w:t>
      </w:r>
    </w:p>
    <w:tbl>
      <w:tblPr>
        <w:tblStyle w:val="LightGrid-Accent1"/>
        <w:tblW w:type="auto" w:w="0"/>
        <w:tblLayout w:type="autofit"/>
        <w:tblLook w:firstColumn="1" w:firstRow="1" w:lastColumn="0" w:lastRow="0" w:noHBand="0" w:noVBand="1" w:val="04A0"/>
      </w:tblPr>
      <w:tblGrid>
        <w:gridCol w:w="4873"/>
        <w:gridCol w:w="4873"/>
      </w:tblGrid>
      <w:tr>
        <w:tc>
          <w:tcPr>
            <w:tcW w:type="dxa" w:w="4873"/>
            <w:shd w:val="clear" w:color="auto" w:fill="1F3A5F"/>
          </w:tcPr>
          <w:p>
            <w:r>
              <w:rPr>
                <w:color w:val="FFFFFF"/>
              </w:rPr>
            </w:r>
            <w:r>
              <w:rPr>
                <w:b/>
                <w:color w:val="FFFFFF"/>
                <w:sz w:val="20"/>
              </w:rPr>
              <w:t>Module</w:t>
            </w:r>
          </w:p>
        </w:tc>
        <w:tc>
          <w:tcPr>
            <w:tcW w:type="dxa" w:w="4873"/>
            <w:shd w:val="clear" w:color="auto" w:fill="1F3A5F"/>
          </w:tcPr>
          <w:p>
            <w:r>
              <w:rPr>
                <w:color w:val="FFFFFF"/>
              </w:rPr>
            </w:r>
            <w:r>
              <w:rPr>
                <w:b/>
                <w:color w:val="FFFFFF"/>
                <w:sz w:val="20"/>
              </w:rPr>
              <w:t>Resources</w:t>
            </w:r>
          </w:p>
        </w:tc>
      </w:tr>
      <w:tr>
        <w:tc>
          <w:tcPr>
            <w:tcW w:type="dxa" w:w="4873"/>
          </w:tcPr>
          <w:p>
            <w:r>
              <w:rPr>
                <w:sz w:val="20"/>
              </w:rPr>
            </w:r>
            <w:r>
              <w:rPr>
                <w:rFonts w:ascii="Consolas" w:hAnsi="Consolas"/>
                <w:sz w:val="20"/>
              </w:rPr>
              <w:t>vpc</w:t>
            </w:r>
          </w:p>
        </w:tc>
        <w:tc>
          <w:tcPr>
            <w:tcW w:type="dxa" w:w="4873"/>
          </w:tcPr>
          <w:p>
            <w:r>
              <w:rPr>
                <w:sz w:val="20"/>
              </w:rPr>
            </w:r>
            <w:r>
              <w:rPr>
                <w:sz w:val="20"/>
              </w:rPr>
              <w:t>VPC, 6 subnets, IGW, 3 NAT GWs, route tables, VPC Flow Logs + CloudWatch log group</w:t>
            </w:r>
          </w:p>
        </w:tc>
      </w:tr>
      <w:tr>
        <w:tc>
          <w:tcPr>
            <w:tcW w:type="dxa" w:w="4873"/>
          </w:tcPr>
          <w:p>
            <w:r>
              <w:rPr>
                <w:sz w:val="20"/>
              </w:rPr>
            </w:r>
            <w:r>
              <w:rPr>
                <w:rFonts w:ascii="Consolas" w:hAnsi="Consolas"/>
                <w:sz w:val="20"/>
              </w:rPr>
              <w:t>iam</w:t>
            </w:r>
          </w:p>
        </w:tc>
        <w:tc>
          <w:tcPr>
            <w:tcW w:type="dxa" w:w="4873"/>
          </w:tcPr>
          <w:p>
            <w:r>
              <w:rPr>
                <w:sz w:val="20"/>
              </w:rPr>
            </w:r>
            <w:r>
              <w:rPr>
                <w:sz w:val="20"/>
              </w:rPr>
              <w:t xml:space="preserve">Cluster role, node role, OIDC provider prerequisites, three RBAC-persona roles, </w:t>
            </w:r>
            <w:r>
              <w:rPr>
                <w:rFonts w:ascii="Consolas" w:hAnsi="Consolas"/>
                <w:sz w:val="20"/>
              </w:rPr>
              <w:t>eks:DescribeCluster</w:t>
            </w:r>
            <w:r>
              <w:rPr>
                <w:sz w:val="20"/>
              </w:rPr>
              <w:t xml:space="preserve"> policy</w:t>
            </w:r>
          </w:p>
        </w:tc>
      </w:tr>
      <w:tr>
        <w:tc>
          <w:tcPr>
            <w:tcW w:type="dxa" w:w="4873"/>
          </w:tcPr>
          <w:p>
            <w:r>
              <w:rPr>
                <w:sz w:val="20"/>
              </w:rPr>
            </w:r>
            <w:r>
              <w:rPr>
                <w:rFonts w:ascii="Consolas" w:hAnsi="Consolas"/>
                <w:sz w:val="20"/>
              </w:rPr>
              <w:t>security</w:t>
            </w:r>
          </w:p>
        </w:tc>
        <w:tc>
          <w:tcPr>
            <w:tcW w:type="dxa" w:w="4873"/>
          </w:tcPr>
          <w:p>
            <w:r>
              <w:rPr>
                <w:sz w:val="20"/>
              </w:rPr>
            </w:r>
            <w:r>
              <w:rPr>
                <w:sz w:val="20"/>
              </w:rPr>
              <w:t>EKS cluster SG, node SG, NACLs, customer-managed KMS key + alias</w:t>
            </w:r>
          </w:p>
        </w:tc>
      </w:tr>
      <w:tr>
        <w:tc>
          <w:tcPr>
            <w:tcW w:type="dxa" w:w="4873"/>
          </w:tcPr>
          <w:p>
            <w:r>
              <w:rPr>
                <w:sz w:val="20"/>
              </w:rPr>
            </w:r>
            <w:r>
              <w:rPr>
                <w:rFonts w:ascii="Consolas" w:hAnsi="Consolas"/>
                <w:sz w:val="20"/>
              </w:rPr>
              <w:t>eks</w:t>
            </w:r>
          </w:p>
        </w:tc>
        <w:tc>
          <w:tcPr>
            <w:tcW w:type="dxa" w:w="4873"/>
          </w:tcPr>
          <w:p>
            <w:r>
              <w:rPr>
                <w:sz w:val="20"/>
              </w:rPr>
            </w:r>
            <w:r>
              <w:rPr>
                <w:sz w:val="20"/>
              </w:rPr>
              <w:t>EKS cluster (with encryption config), managed node group, launch template (encrypted gp3 EBS), OIDC provider, CloudWatch log group for control-plane logs</w:t>
            </w:r>
          </w:p>
        </w:tc>
      </w:tr>
      <w:tr>
        <w:tc>
          <w:tcPr>
            <w:tcW w:type="dxa" w:w="4873"/>
          </w:tcPr>
          <w:p>
            <w:r>
              <w:rPr>
                <w:sz w:val="20"/>
              </w:rPr>
            </w:r>
            <w:r>
              <w:rPr>
                <w:rFonts w:ascii="Consolas" w:hAnsi="Consolas"/>
                <w:sz w:val="20"/>
              </w:rPr>
              <w:t>container-security</w:t>
            </w:r>
          </w:p>
        </w:tc>
        <w:tc>
          <w:tcPr>
            <w:tcW w:type="dxa" w:w="4873"/>
          </w:tcPr>
          <w:p>
            <w:r>
              <w:rPr>
                <w:sz w:val="20"/>
              </w:rPr>
            </w:r>
            <w:r>
              <w:rPr>
                <w:sz w:val="20"/>
              </w:rPr>
              <w:t xml:space="preserve">ECR repos (frontend, backend) with </w:t>
            </w:r>
            <w:r>
              <w:rPr>
                <w:rFonts w:ascii="Consolas" w:hAnsi="Consolas"/>
                <w:sz w:val="20"/>
              </w:rPr>
              <w:t>IMMUTABLE</w:t>
            </w:r>
            <w:r>
              <w:rPr>
                <w:sz w:val="20"/>
              </w:rPr>
              <w:t xml:space="preserve"> tags, </w:t>
            </w:r>
            <w:r>
              <w:rPr>
                <w:rFonts w:ascii="Consolas" w:hAnsi="Consolas"/>
                <w:sz w:val="20"/>
              </w:rPr>
              <w:t>scan_on_push</w:t>
            </w:r>
            <w:r>
              <w:rPr>
                <w:sz w:val="20"/>
              </w:rPr>
              <w:t>, KMS encryption, Enhanced Scanning registry config, lifecycle policies</w:t>
            </w:r>
          </w:p>
        </w:tc>
      </w:tr>
      <w:tr>
        <w:tc>
          <w:tcPr>
            <w:tcW w:type="dxa" w:w="4873"/>
          </w:tcPr>
          <w:p>
            <w:r>
              <w:rPr>
                <w:sz w:val="20"/>
              </w:rPr>
            </w:r>
            <w:r>
              <w:rPr>
                <w:rFonts w:ascii="Consolas" w:hAnsi="Consolas"/>
                <w:sz w:val="20"/>
              </w:rPr>
              <w:t>monitoring</w:t>
            </w:r>
          </w:p>
        </w:tc>
        <w:tc>
          <w:tcPr>
            <w:tcW w:type="dxa" w:w="4873"/>
          </w:tcPr>
          <w:p>
            <w:r>
              <w:rPr>
                <w:sz w:val="20"/>
              </w:rPr>
            </w:r>
            <w:r>
              <w:rPr>
                <w:sz w:val="20"/>
              </w:rPr>
              <w:t>GuardDuty detector with EKS audit-log + EBS malware scanning, SNS alarm topic (KMS-encrypted), CloudWatch alarms (failed auth, node CPU, new GuardDuty findings), Container Insights add-on</w:t>
            </w:r>
          </w:p>
        </w:tc>
      </w:tr>
    </w:tbl>
    <w:p/>
    <w:p>
      <w:r>
        <w:rPr>
          <w:b w:val="0"/>
          <w:i w:val="0"/>
          <w:sz w:val="22"/>
        </w:rPr>
        <w:t>The root module also provisions:</w:t>
      </w:r>
    </w:p>
    <w:p>
      <w:pPr>
        <w:pStyle w:val="ListBullet"/>
      </w:pPr>
      <w:r>
        <w:rPr>
          <w:rFonts w:ascii="Consolas" w:hAnsi="Consolas"/>
          <w:sz w:val="20"/>
        </w:rPr>
        <w:t>aws_secretsmanager_secret</w:t>
      </w:r>
      <w:r>
        <w:t xml:space="preserve"> for backend app secrets (KMS-encrypted, 7-day recovery window)</w:t>
      </w:r>
    </w:p>
    <w:p>
      <w:pPr>
        <w:pStyle w:val="ListBullet"/>
      </w:pPr>
      <w:r>
        <w:t>IRSA role for the backend ServiceAccount (</w:t>
      </w:r>
      <w:r>
        <w:rPr>
          <w:rFonts w:ascii="Consolas" w:hAnsi="Consolas"/>
          <w:sz w:val="20"/>
        </w:rPr>
        <w:t>system:serviceaccount:fintech-app:app-backend</w:t>
      </w:r>
      <w:r>
        <w:t>) with a narrowly scoped policy (Secrets Manager Get/Describe on one ARN, KMS Decrypt on one key)</w:t>
      </w:r>
    </w:p>
    <w:p>
      <w:pPr>
        <w:pStyle w:val="Heading2"/>
      </w:pPr>
      <w:r>
        <w:rPr>
          <w:color w:val="1F3A5F"/>
        </w:rPr>
        <w:t>2.2 Kubernetes Workloads</w:t>
      </w:r>
    </w:p>
    <w:tbl>
      <w:tblPr>
        <w:tblStyle w:val="LightGrid-Accent1"/>
        <w:tblW w:type="auto" w:w="0"/>
        <w:tblLayout w:type="autofit"/>
        <w:tblLook w:firstColumn="1" w:firstRow="1" w:lastColumn="0" w:lastRow="0" w:noHBand="0" w:noVBand="1" w:val="04A0"/>
      </w:tblPr>
      <w:tblGrid>
        <w:gridCol w:w="3249"/>
        <w:gridCol w:w="3249"/>
        <w:gridCol w:w="3249"/>
      </w:tblGrid>
      <w:tr>
        <w:tc>
          <w:tcPr>
            <w:tcW w:type="dxa" w:w="3249"/>
            <w:shd w:val="clear" w:color="auto" w:fill="1F3A5F"/>
          </w:tcPr>
          <w:p>
            <w:r>
              <w:rPr>
                <w:color w:val="FFFFFF"/>
              </w:rPr>
            </w:r>
            <w:r>
              <w:rPr>
                <w:b/>
                <w:color w:val="FFFFFF"/>
                <w:sz w:val="20"/>
              </w:rPr>
              <w:t>Resource Type</w:t>
            </w:r>
          </w:p>
        </w:tc>
        <w:tc>
          <w:tcPr>
            <w:tcW w:type="dxa" w:w="3249"/>
            <w:shd w:val="clear" w:color="auto" w:fill="1F3A5F"/>
          </w:tcPr>
          <w:p>
            <w:r>
              <w:rPr>
                <w:color w:val="FFFFFF"/>
              </w:rPr>
            </w:r>
            <w:r>
              <w:rPr>
                <w:b/>
                <w:color w:val="FFFFFF"/>
                <w:sz w:val="20"/>
              </w:rPr>
              <w:t>Manifest</w:t>
            </w:r>
          </w:p>
        </w:tc>
        <w:tc>
          <w:tcPr>
            <w:tcW w:type="dxa" w:w="3249"/>
            <w:shd w:val="clear" w:color="auto" w:fill="1F3A5F"/>
          </w:tcPr>
          <w:p>
            <w:r>
              <w:rPr>
                <w:color w:val="FFFFFF"/>
              </w:rPr>
            </w:r>
            <w:r>
              <w:rPr>
                <w:b/>
                <w:color w:val="FFFFFF"/>
                <w:sz w:val="20"/>
              </w:rPr>
              <w:t>Purpose</w:t>
            </w:r>
          </w:p>
        </w:tc>
      </w:tr>
      <w:tr>
        <w:tc>
          <w:tcPr>
            <w:tcW w:type="dxa" w:w="3249"/>
          </w:tcPr>
          <w:p>
            <w:r>
              <w:rPr>
                <w:sz w:val="20"/>
              </w:rPr>
            </w:r>
            <w:r>
              <w:rPr>
                <w:sz w:val="20"/>
              </w:rPr>
              <w:t>Namespace</w:t>
            </w:r>
          </w:p>
        </w:tc>
        <w:tc>
          <w:tcPr>
            <w:tcW w:type="dxa" w:w="3249"/>
          </w:tcPr>
          <w:p>
            <w:r>
              <w:rPr>
                <w:sz w:val="20"/>
              </w:rPr>
            </w:r>
            <w:r>
              <w:rPr>
                <w:rFonts w:ascii="Consolas" w:hAnsi="Consolas"/>
                <w:sz w:val="20"/>
              </w:rPr>
              <w:t>namespaces/namespaces.yaml</w:t>
            </w:r>
          </w:p>
        </w:tc>
        <w:tc>
          <w:tcPr>
            <w:tcW w:type="dxa" w:w="3249"/>
          </w:tcPr>
          <w:p>
            <w:r>
              <w:rPr>
                <w:sz w:val="20"/>
              </w:rPr>
            </w:r>
            <w:r>
              <w:rPr>
                <w:rFonts w:ascii="Consolas" w:hAnsi="Consolas"/>
                <w:sz w:val="20"/>
              </w:rPr>
              <w:t>fintech-app</w:t>
            </w:r>
            <w:r>
              <w:rPr>
                <w:sz w:val="20"/>
              </w:rPr>
              <w:t xml:space="preserve"> (PSS </w:t>
            </w:r>
            <w:r>
              <w:rPr>
                <w:rFonts w:ascii="Consolas" w:hAnsi="Consolas"/>
                <w:sz w:val="20"/>
              </w:rPr>
              <w:t>restricted</w:t>
            </w:r>
            <w:r>
              <w:rPr>
                <w:sz w:val="20"/>
              </w:rPr>
              <w:t xml:space="preserve">), </w:t>
            </w:r>
            <w:r>
              <w:rPr>
                <w:rFonts w:ascii="Consolas" w:hAnsi="Consolas"/>
                <w:sz w:val="20"/>
              </w:rPr>
              <w:t>monitoring</w:t>
            </w:r>
            <w:r>
              <w:rPr>
                <w:sz w:val="20"/>
              </w:rPr>
              <w:t xml:space="preserve"> (PSS </w:t>
            </w:r>
            <w:r>
              <w:rPr>
                <w:rFonts w:ascii="Consolas" w:hAnsi="Consolas"/>
                <w:sz w:val="20"/>
              </w:rPr>
              <w:t>baseline</w:t>
            </w:r>
            <w:r>
              <w:rPr>
                <w:sz w:val="20"/>
              </w:rPr>
              <w:t>)</w:t>
            </w:r>
          </w:p>
        </w:tc>
      </w:tr>
      <w:tr>
        <w:tc>
          <w:tcPr>
            <w:tcW w:type="dxa" w:w="3249"/>
          </w:tcPr>
          <w:p>
            <w:r>
              <w:rPr>
                <w:sz w:val="20"/>
              </w:rPr>
            </w:r>
            <w:r>
              <w:rPr>
                <w:sz w:val="20"/>
              </w:rPr>
              <w:t>ClusterRole</w:t>
            </w:r>
          </w:p>
        </w:tc>
        <w:tc>
          <w:tcPr>
            <w:tcW w:type="dxa" w:w="3249"/>
          </w:tcPr>
          <w:p>
            <w:r>
              <w:rPr>
                <w:sz w:val="20"/>
              </w:rPr>
            </w:r>
            <w:r>
              <w:rPr>
                <w:rFonts w:ascii="Consolas" w:hAnsi="Consolas"/>
                <w:sz w:val="20"/>
              </w:rPr>
              <w:t>rbac/cluster-roles.yaml</w:t>
            </w:r>
          </w:p>
        </w:tc>
        <w:tc>
          <w:tcPr>
            <w:tcW w:type="dxa" w:w="3249"/>
          </w:tcPr>
          <w:p>
            <w:r>
              <w:rPr>
                <w:sz w:val="20"/>
              </w:rPr>
            </w:r>
            <w:r>
              <w:rPr>
                <w:rFonts w:ascii="Consolas" w:hAnsi="Consolas"/>
                <w:sz w:val="20"/>
              </w:rPr>
              <w:t>cluster-admin-role</w:t>
            </w:r>
            <w:r>
              <w:rPr>
                <w:sz w:val="20"/>
              </w:rPr>
              <w:t xml:space="preserve">, </w:t>
            </w:r>
            <w:r>
              <w:rPr>
                <w:rFonts w:ascii="Consolas" w:hAnsi="Consolas"/>
                <w:sz w:val="20"/>
              </w:rPr>
              <w:t>developer-role</w:t>
            </w:r>
            <w:r>
              <w:rPr>
                <w:sz w:val="20"/>
              </w:rPr>
              <w:t xml:space="preserve">, </w:t>
            </w:r>
            <w:r>
              <w:rPr>
                <w:rFonts w:ascii="Consolas" w:hAnsi="Consolas"/>
                <w:sz w:val="20"/>
              </w:rPr>
              <w:t>viewer-role</w:t>
            </w:r>
          </w:p>
        </w:tc>
      </w:tr>
      <w:tr>
        <w:tc>
          <w:tcPr>
            <w:tcW w:type="dxa" w:w="3249"/>
          </w:tcPr>
          <w:p>
            <w:r>
              <w:rPr>
                <w:sz w:val="20"/>
              </w:rPr>
            </w:r>
            <w:r>
              <w:rPr>
                <w:sz w:val="20"/>
              </w:rPr>
              <w:t>Role</w:t>
            </w:r>
          </w:p>
        </w:tc>
        <w:tc>
          <w:tcPr>
            <w:tcW w:type="dxa" w:w="3249"/>
          </w:tcPr>
          <w:p>
            <w:r>
              <w:rPr>
                <w:sz w:val="20"/>
              </w:rPr>
            </w:r>
            <w:r>
              <w:rPr>
                <w:rFonts w:ascii="Consolas" w:hAnsi="Consolas"/>
                <w:sz w:val="20"/>
              </w:rPr>
              <w:t>rbac/app-roles.yaml</w:t>
            </w:r>
          </w:p>
        </w:tc>
        <w:tc>
          <w:tcPr>
            <w:tcW w:type="dxa" w:w="3249"/>
          </w:tcPr>
          <w:p>
            <w:r>
              <w:rPr>
                <w:sz w:val="20"/>
              </w:rPr>
            </w:r>
            <w:r>
              <w:rPr>
                <w:rFonts w:ascii="Consolas" w:hAnsi="Consolas"/>
                <w:sz w:val="20"/>
              </w:rPr>
              <w:t>app-deployer</w:t>
            </w:r>
            <w:r>
              <w:rPr>
                <w:sz w:val="20"/>
              </w:rPr>
              <w:t xml:space="preserve">, </w:t>
            </w:r>
            <w:r>
              <w:rPr>
                <w:rFonts w:ascii="Consolas" w:hAnsi="Consolas"/>
                <w:sz w:val="20"/>
              </w:rPr>
              <w:t>app-viewer</w:t>
            </w:r>
            <w:r>
              <w:rPr>
                <w:sz w:val="20"/>
              </w:rPr>
              <w:t xml:space="preserve">, </w:t>
            </w:r>
            <w:r>
              <w:rPr>
                <w:rFonts w:ascii="Consolas" w:hAnsi="Consolas"/>
                <w:sz w:val="20"/>
              </w:rPr>
              <w:t>monitoring-operator</w:t>
            </w:r>
          </w:p>
        </w:tc>
      </w:tr>
      <w:tr>
        <w:tc>
          <w:tcPr>
            <w:tcW w:type="dxa" w:w="3249"/>
          </w:tcPr>
          <w:p>
            <w:r>
              <w:rPr>
                <w:sz w:val="20"/>
              </w:rPr>
            </w:r>
            <w:r>
              <w:rPr>
                <w:sz w:val="20"/>
              </w:rPr>
              <w:t>Bindings</w:t>
            </w:r>
          </w:p>
        </w:tc>
        <w:tc>
          <w:tcPr>
            <w:tcW w:type="dxa" w:w="3249"/>
          </w:tcPr>
          <w:p>
            <w:r>
              <w:rPr>
                <w:sz w:val="20"/>
              </w:rPr>
            </w:r>
            <w:r>
              <w:rPr>
                <w:rFonts w:ascii="Consolas" w:hAnsi="Consolas"/>
                <w:sz w:val="20"/>
              </w:rPr>
              <w:t>rbac/role-bindings.yaml</w:t>
            </w:r>
          </w:p>
        </w:tc>
        <w:tc>
          <w:tcPr>
            <w:tcW w:type="dxa" w:w="3249"/>
          </w:tcPr>
          <w:p>
            <w:r>
              <w:rPr>
                <w:sz w:val="20"/>
              </w:rPr>
            </w:r>
            <w:r>
              <w:rPr>
                <w:sz w:val="20"/>
              </w:rPr>
              <w:t>Group → role (cluster-wide + namespaced)</w:t>
            </w:r>
          </w:p>
        </w:tc>
      </w:tr>
      <w:tr>
        <w:tc>
          <w:tcPr>
            <w:tcW w:type="dxa" w:w="3249"/>
          </w:tcPr>
          <w:p>
            <w:r>
              <w:rPr>
                <w:sz w:val="20"/>
              </w:rPr>
            </w:r>
            <w:r>
              <w:rPr>
                <w:sz w:val="20"/>
              </w:rPr>
              <w:t>ConfigMap</w:t>
            </w:r>
          </w:p>
        </w:tc>
        <w:tc>
          <w:tcPr>
            <w:tcW w:type="dxa" w:w="3249"/>
          </w:tcPr>
          <w:p>
            <w:r>
              <w:rPr>
                <w:sz w:val="20"/>
              </w:rPr>
            </w:r>
            <w:r>
              <w:rPr>
                <w:rFonts w:ascii="Consolas" w:hAnsi="Consolas"/>
                <w:sz w:val="20"/>
              </w:rPr>
              <w:t>rbac/aws-auth-configmap.yaml</w:t>
            </w:r>
          </w:p>
        </w:tc>
        <w:tc>
          <w:tcPr>
            <w:tcW w:type="dxa" w:w="3249"/>
          </w:tcPr>
          <w:p>
            <w:r>
              <w:rPr>
                <w:sz w:val="20"/>
              </w:rPr>
            </w:r>
            <w:r>
              <w:rPr>
                <w:sz w:val="20"/>
              </w:rPr>
              <w:t>IAM role ARN → K8s group</w:t>
            </w:r>
          </w:p>
        </w:tc>
      </w:tr>
      <w:tr>
        <w:tc>
          <w:tcPr>
            <w:tcW w:type="dxa" w:w="3249"/>
          </w:tcPr>
          <w:p>
            <w:r>
              <w:rPr>
                <w:sz w:val="20"/>
              </w:rPr>
            </w:r>
            <w:r>
              <w:rPr>
                <w:sz w:val="20"/>
              </w:rPr>
              <w:t>ServiceAccount</w:t>
            </w:r>
          </w:p>
        </w:tc>
        <w:tc>
          <w:tcPr>
            <w:tcW w:type="dxa" w:w="3249"/>
          </w:tcPr>
          <w:p>
            <w:r>
              <w:rPr>
                <w:sz w:val="20"/>
              </w:rPr>
            </w:r>
            <w:r>
              <w:rPr>
                <w:rFonts w:ascii="Consolas" w:hAnsi="Consolas"/>
                <w:sz w:val="20"/>
              </w:rPr>
              <w:t>rbac/service-accounts.yaml</w:t>
            </w:r>
          </w:p>
        </w:tc>
        <w:tc>
          <w:tcPr>
            <w:tcW w:type="dxa" w:w="3249"/>
          </w:tcPr>
          <w:p>
            <w:r>
              <w:rPr>
                <w:sz w:val="20"/>
              </w:rPr>
            </w:r>
            <w:r>
              <w:rPr>
                <w:rFonts w:ascii="Consolas" w:hAnsi="Consolas"/>
                <w:sz w:val="20"/>
              </w:rPr>
              <w:t>app-backend</w:t>
            </w:r>
            <w:r>
              <w:rPr>
                <w:sz w:val="20"/>
              </w:rPr>
              <w:t xml:space="preserve"> (IRSA) and </w:t>
            </w:r>
            <w:r>
              <w:rPr>
                <w:rFonts w:ascii="Consolas" w:hAnsi="Consolas"/>
                <w:sz w:val="20"/>
              </w:rPr>
              <w:t>app-frontend</w:t>
            </w:r>
            <w:r>
              <w:rPr>
                <w:sz w:val="20"/>
              </w:rPr>
              <w:t xml:space="preserve"> (no IRSA)</w:t>
            </w:r>
          </w:p>
        </w:tc>
      </w:tr>
      <w:tr>
        <w:tc>
          <w:tcPr>
            <w:tcW w:type="dxa" w:w="3249"/>
          </w:tcPr>
          <w:p>
            <w:r>
              <w:rPr>
                <w:sz w:val="20"/>
              </w:rPr>
            </w:r>
            <w:r>
              <w:rPr>
                <w:sz w:val="20"/>
              </w:rPr>
              <w:t>Deployment</w:t>
            </w:r>
          </w:p>
        </w:tc>
        <w:tc>
          <w:tcPr>
            <w:tcW w:type="dxa" w:w="3249"/>
          </w:tcPr>
          <w:p>
            <w:r>
              <w:rPr>
                <w:sz w:val="20"/>
              </w:rPr>
            </w:r>
            <w:r>
              <w:rPr>
                <w:rFonts w:ascii="Consolas" w:hAnsi="Consolas"/>
                <w:sz w:val="20"/>
              </w:rPr>
              <w:t>deployments/backend.yaml</w:t>
            </w:r>
          </w:p>
        </w:tc>
        <w:tc>
          <w:tcPr>
            <w:tcW w:type="dxa" w:w="3249"/>
          </w:tcPr>
          <w:p>
            <w:r>
              <w:rPr>
                <w:sz w:val="20"/>
              </w:rPr>
            </w:r>
            <w:r>
              <w:rPr>
                <w:sz w:val="20"/>
              </w:rPr>
              <w:t>2× Flask backend, non-root UID 1000, read-only root FS</w:t>
            </w:r>
          </w:p>
        </w:tc>
      </w:tr>
      <w:tr>
        <w:tc>
          <w:tcPr>
            <w:tcW w:type="dxa" w:w="3249"/>
          </w:tcPr>
          <w:p>
            <w:r>
              <w:rPr>
                <w:sz w:val="20"/>
              </w:rPr>
            </w:r>
            <w:r>
              <w:rPr>
                <w:sz w:val="20"/>
              </w:rPr>
              <w:t>Deployment</w:t>
            </w:r>
          </w:p>
        </w:tc>
        <w:tc>
          <w:tcPr>
            <w:tcW w:type="dxa" w:w="3249"/>
          </w:tcPr>
          <w:p>
            <w:r>
              <w:rPr>
                <w:sz w:val="20"/>
              </w:rPr>
            </w:r>
            <w:r>
              <w:rPr>
                <w:rFonts w:ascii="Consolas" w:hAnsi="Consolas"/>
                <w:sz w:val="20"/>
              </w:rPr>
              <w:t>deployments/frontend.yaml</w:t>
            </w:r>
          </w:p>
        </w:tc>
        <w:tc>
          <w:tcPr>
            <w:tcW w:type="dxa" w:w="3249"/>
          </w:tcPr>
          <w:p>
            <w:r>
              <w:rPr>
                <w:sz w:val="20"/>
              </w:rPr>
            </w:r>
            <w:r>
              <w:rPr>
                <w:sz w:val="20"/>
              </w:rPr>
              <w:t>2× nginx-unprivileged, non-root UID 101, listens on 8080</w:t>
            </w:r>
          </w:p>
        </w:tc>
      </w:tr>
      <w:tr>
        <w:tc>
          <w:tcPr>
            <w:tcW w:type="dxa" w:w="3249"/>
          </w:tcPr>
          <w:p>
            <w:r>
              <w:rPr>
                <w:sz w:val="20"/>
              </w:rPr>
            </w:r>
            <w:r>
              <w:rPr>
                <w:sz w:val="20"/>
              </w:rPr>
              <w:t>StatefulSet</w:t>
            </w:r>
          </w:p>
        </w:tc>
        <w:tc>
          <w:tcPr>
            <w:tcW w:type="dxa" w:w="3249"/>
          </w:tcPr>
          <w:p>
            <w:r>
              <w:rPr>
                <w:sz w:val="20"/>
              </w:rPr>
            </w:r>
            <w:r>
              <w:rPr>
                <w:rFonts w:ascii="Consolas" w:hAnsi="Consolas"/>
                <w:sz w:val="20"/>
              </w:rPr>
              <w:t>deployments/postgres.yaml</w:t>
            </w:r>
          </w:p>
        </w:tc>
        <w:tc>
          <w:tcPr>
            <w:tcW w:type="dxa" w:w="3249"/>
          </w:tcPr>
          <w:p>
            <w:r>
              <w:rPr>
                <w:sz w:val="20"/>
              </w:rPr>
            </w:r>
            <w:r>
              <w:rPr>
                <w:sz w:val="20"/>
              </w:rPr>
              <w:t>Single replica, non-root UID 999, encrypted gp3 volume</w:t>
            </w:r>
          </w:p>
        </w:tc>
      </w:tr>
      <w:tr>
        <w:tc>
          <w:tcPr>
            <w:tcW w:type="dxa" w:w="3249"/>
          </w:tcPr>
          <w:p>
            <w:r>
              <w:rPr>
                <w:sz w:val="20"/>
              </w:rPr>
            </w:r>
            <w:r>
              <w:rPr>
                <w:sz w:val="20"/>
              </w:rPr>
              <w:t>Services</w:t>
            </w:r>
          </w:p>
        </w:tc>
        <w:tc>
          <w:tcPr>
            <w:tcW w:type="dxa" w:w="3249"/>
          </w:tcPr>
          <w:p>
            <w:r>
              <w:rPr>
                <w:sz w:val="20"/>
              </w:rPr>
            </w:r>
            <w:r>
              <w:rPr>
                <w:rFonts w:ascii="Consolas" w:hAnsi="Consolas"/>
                <w:sz w:val="20"/>
              </w:rPr>
              <w:t>services/services.yaml</w:t>
            </w:r>
          </w:p>
        </w:tc>
        <w:tc>
          <w:tcPr>
            <w:tcW w:type="dxa" w:w="3249"/>
          </w:tcPr>
          <w:p>
            <w:r>
              <w:rPr>
                <w:sz w:val="20"/>
              </w:rPr>
            </w:r>
            <w:r>
              <w:rPr>
                <w:sz w:val="20"/>
              </w:rPr>
              <w:t>All ClusterIP (internal); database is a headless service</w:t>
            </w:r>
          </w:p>
        </w:tc>
      </w:tr>
      <w:tr>
        <w:tc>
          <w:tcPr>
            <w:tcW w:type="dxa" w:w="3249"/>
          </w:tcPr>
          <w:p>
            <w:r>
              <w:rPr>
                <w:sz w:val="20"/>
              </w:rPr>
            </w:r>
            <w:r>
              <w:rPr>
                <w:sz w:val="20"/>
              </w:rPr>
              <w:t>Ingress</w:t>
            </w:r>
          </w:p>
        </w:tc>
        <w:tc>
          <w:tcPr>
            <w:tcW w:type="dxa" w:w="3249"/>
          </w:tcPr>
          <w:p>
            <w:r>
              <w:rPr>
                <w:sz w:val="20"/>
              </w:rPr>
            </w:r>
            <w:r>
              <w:rPr>
                <w:rFonts w:ascii="Consolas" w:hAnsi="Consolas"/>
                <w:sz w:val="20"/>
              </w:rPr>
              <w:t>ingress/app-ingress-acm.yaml</w:t>
            </w:r>
          </w:p>
        </w:tc>
        <w:tc>
          <w:tcPr>
            <w:tcW w:type="dxa" w:w="3249"/>
          </w:tcPr>
          <w:p>
            <w:r>
              <w:rPr>
                <w:sz w:val="20"/>
              </w:rPr>
            </w:r>
            <w:r>
              <w:rPr>
                <w:sz w:val="20"/>
              </w:rPr>
              <w:t xml:space="preserve">ALB with ACM TLS 1.3, SSL redirect, routes </w:t>
            </w:r>
            <w:r>
              <w:rPr>
                <w:rFonts w:ascii="Consolas" w:hAnsi="Consolas"/>
                <w:sz w:val="20"/>
              </w:rPr>
              <w:t>/api</w:t>
            </w:r>
            <w:r>
              <w:rPr>
                <w:sz w:val="20"/>
              </w:rPr>
              <w:t xml:space="preserve"> → backend and </w:t>
            </w:r>
            <w:r>
              <w:rPr>
                <w:rFonts w:ascii="Consolas" w:hAnsi="Consolas"/>
                <w:sz w:val="20"/>
              </w:rPr>
              <w:t>/</w:t>
            </w:r>
            <w:r>
              <w:rPr>
                <w:sz w:val="20"/>
              </w:rPr>
              <w:t xml:space="preserve"> → frontend</w:t>
            </w:r>
          </w:p>
        </w:tc>
      </w:tr>
      <w:tr>
        <w:tc>
          <w:tcPr>
            <w:tcW w:type="dxa" w:w="3249"/>
          </w:tcPr>
          <w:p>
            <w:r>
              <w:rPr>
                <w:sz w:val="20"/>
              </w:rPr>
            </w:r>
            <w:r>
              <w:rPr>
                <w:sz w:val="20"/>
              </w:rPr>
              <w:t>NetworkPolicy</w:t>
            </w:r>
          </w:p>
        </w:tc>
        <w:tc>
          <w:tcPr>
            <w:tcW w:type="dxa" w:w="3249"/>
          </w:tcPr>
          <w:p>
            <w:r>
              <w:rPr>
                <w:sz w:val="20"/>
              </w:rPr>
            </w:r>
            <w:r>
              <w:rPr>
                <w:rFonts w:ascii="Consolas" w:hAnsi="Consolas"/>
                <w:sz w:val="20"/>
              </w:rPr>
              <w:t>network-policies/deny-all.yaml</w:t>
            </w:r>
          </w:p>
        </w:tc>
        <w:tc>
          <w:tcPr>
            <w:tcW w:type="dxa" w:w="3249"/>
          </w:tcPr>
          <w:p>
            <w:r>
              <w:rPr>
                <w:sz w:val="20"/>
              </w:rPr>
            </w:r>
            <w:r>
              <w:rPr>
                <w:sz w:val="20"/>
              </w:rPr>
              <w:t>Default deny ingress + egress, allow DNS egress</w:t>
            </w:r>
          </w:p>
        </w:tc>
      </w:tr>
      <w:tr>
        <w:tc>
          <w:tcPr>
            <w:tcW w:type="dxa" w:w="3249"/>
          </w:tcPr>
          <w:p>
            <w:r>
              <w:rPr>
                <w:sz w:val="20"/>
              </w:rPr>
            </w:r>
            <w:r>
              <w:rPr>
                <w:sz w:val="20"/>
              </w:rPr>
              <w:t>NetworkPolicy</w:t>
            </w:r>
          </w:p>
        </w:tc>
        <w:tc>
          <w:tcPr>
            <w:tcW w:type="dxa" w:w="3249"/>
          </w:tcPr>
          <w:p>
            <w:r>
              <w:rPr>
                <w:sz w:val="20"/>
              </w:rPr>
            </w:r>
            <w:r>
              <w:rPr>
                <w:rFonts w:ascii="Consolas" w:hAnsi="Consolas"/>
                <w:sz w:val="20"/>
              </w:rPr>
              <w:t>network-policies/frontend-policy.yaml</w:t>
            </w:r>
          </w:p>
        </w:tc>
        <w:tc>
          <w:tcPr>
            <w:tcW w:type="dxa" w:w="3249"/>
          </w:tcPr>
          <w:p>
            <w:r>
              <w:rPr>
                <w:sz w:val="20"/>
              </w:rPr>
            </w:r>
            <w:r>
              <w:rPr>
                <w:sz w:val="20"/>
              </w:rPr>
              <w:t>Frontend ← ALB, Frontend → backend (5000)</w:t>
            </w:r>
          </w:p>
        </w:tc>
      </w:tr>
      <w:tr>
        <w:tc>
          <w:tcPr>
            <w:tcW w:type="dxa" w:w="3249"/>
          </w:tcPr>
          <w:p>
            <w:r>
              <w:rPr>
                <w:sz w:val="20"/>
              </w:rPr>
            </w:r>
            <w:r>
              <w:rPr>
                <w:sz w:val="20"/>
              </w:rPr>
              <w:t>NetworkPolicy</w:t>
            </w:r>
          </w:p>
        </w:tc>
        <w:tc>
          <w:tcPr>
            <w:tcW w:type="dxa" w:w="3249"/>
          </w:tcPr>
          <w:p>
            <w:r>
              <w:rPr>
                <w:sz w:val="20"/>
              </w:rPr>
            </w:r>
            <w:r>
              <w:rPr>
                <w:rFonts w:ascii="Consolas" w:hAnsi="Consolas"/>
                <w:sz w:val="20"/>
              </w:rPr>
              <w:t>network-policies/backend-policy.yaml</w:t>
            </w:r>
          </w:p>
        </w:tc>
        <w:tc>
          <w:tcPr>
            <w:tcW w:type="dxa" w:w="3249"/>
          </w:tcPr>
          <w:p>
            <w:r>
              <w:rPr>
                <w:sz w:val="20"/>
              </w:rPr>
            </w:r>
            <w:r>
              <w:rPr>
                <w:sz w:val="20"/>
              </w:rPr>
              <w:t>Backend ← frontend; backend → DB (5432) + AWS APIs (443); DB ← backend only</w:t>
            </w:r>
          </w:p>
        </w:tc>
      </w:tr>
    </w:tbl>
    <w:p/>
    <w:p>
      <w:pPr>
        <w:pStyle w:val="Heading2"/>
      </w:pPr>
      <w:r>
        <w:rPr>
          <w:color w:val="1F3A5F"/>
        </w:rPr>
        <w:t>2.3 CI/CD</w:t>
      </w:r>
    </w:p>
    <w:p>
      <w:pPr>
        <w:pStyle w:val="ListBullet"/>
      </w:pPr>
      <w:r>
        <w:rPr>
          <w:rFonts w:ascii="Consolas" w:hAnsi="Consolas"/>
          <w:sz w:val="20"/>
        </w:rPr>
        <w:t>trivy-scan.yml</w:t>
      </w:r>
      <w:r>
        <w:t xml:space="preserve"> — filesystem, container-image, and Kubernetes-config scans on every pull request; results uploaded as SARIF to GitHub Code Scanning.</w:t>
      </w:r>
    </w:p>
    <w:p>
      <w:pPr>
        <w:pStyle w:val="ListBullet"/>
      </w:pPr>
      <w:r>
        <w:rPr>
          <w:rFonts w:ascii="Consolas" w:hAnsi="Consolas"/>
          <w:sz w:val="20"/>
        </w:rPr>
        <w:t>build-and-push.yml</w:t>
      </w:r>
      <w:r>
        <w:t xml:space="preserve"> — on push to </w:t>
      </w:r>
      <w:r>
        <w:rPr>
          <w:rFonts w:ascii="Consolas" w:hAnsi="Consolas"/>
          <w:sz w:val="20"/>
        </w:rPr>
        <w:t>main</w:t>
      </w:r>
      <w:r>
        <w:t xml:space="preserve"> or version tag, authenticates to AWS via OIDC (no long-lived keys), builds images, enforces a final CRITICAL-severity Trivy gate, and pushes to ECR.</w:t>
      </w:r>
    </w:p>
    <w:p>
      <w:pPr>
        <w:pStyle w:val="Heading2"/>
      </w:pPr>
      <w:r>
        <w:rPr>
          <w:color w:val="1F3A5F"/>
        </w:rPr>
        <w:t>2.4 Application</w:t>
      </w:r>
    </w:p>
    <w:p>
      <w:pPr>
        <w:pStyle w:val="ListBullet"/>
      </w:pPr>
      <w:r>
        <w:rPr>
          <w:b/>
        </w:rPr>
        <w:t>Backend</w:t>
      </w:r>
      <w:r>
        <w:t xml:space="preserve"> — Flask + SQLAlchemy + Flask-JWT-Extended, reads config from environment or AWS Secrets Manager via IRSA</w:t>
      </w:r>
    </w:p>
    <w:p>
      <w:pPr>
        <w:pStyle w:val="ListBullet"/>
      </w:pPr>
      <w:r>
        <w:rPr>
          <w:b/>
        </w:rPr>
        <w:t>Frontend</w:t>
      </w:r>
      <w:r>
        <w:t xml:space="preserve"> — React 18 + Vite SPA with protected routes, served by nginx-unprivileged</w:t>
      </w:r>
    </w:p>
    <w:p>
      <w:pPr>
        <w:pStyle w:val="ListBullet"/>
      </w:pPr>
      <w:r>
        <w:rPr>
          <w:b/>
        </w:rPr>
        <w:t>Database</w:t>
      </w:r>
      <w:r>
        <w:t xml:space="preserve"> — PostgreSQL 16-alpine running as a StatefulSet with encrypted gp3 storage</w:t>
      </w:r>
    </w:p>
    <w:p>
      <w:pPr>
        <w:pBdr>
          <w:bottom w:val="single" w:sz="8" w:space="1" w:color="BFBFBF"/>
        </w:pBdr>
      </w:pPr>
    </w:p>
    <w:p>
      <w:pPr>
        <w:pStyle w:val="Heading1"/>
      </w:pPr>
      <w:r>
        <w:rPr>
          <w:color w:val="1F3A5F"/>
        </w:rPr>
        <w:t>3. Security Controls Implemented</w:t>
      </w:r>
    </w:p>
    <w:p>
      <w:pPr>
        <w:pStyle w:val="Heading2"/>
      </w:pPr>
      <w:r>
        <w:rPr>
          <w:color w:val="1F3A5F"/>
        </w:rPr>
        <w:t>3.1 Network Security</w:t>
      </w:r>
    </w:p>
    <w:p>
      <w:pPr>
        <w:pStyle w:val="ListBullet"/>
      </w:pPr>
      <w:r>
        <w:rPr>
          <w:b/>
        </w:rPr>
        <w:t>VPC segmentation</w:t>
      </w:r>
      <w:r>
        <w:t>: public subnets (ALB, NAT) vs private subnets (nodes, control plane). Nodes have no public IPs.</w:t>
      </w:r>
    </w:p>
    <w:p>
      <w:pPr>
        <w:pStyle w:val="ListBullet"/>
      </w:pPr>
      <w:r>
        <w:rPr>
          <w:b/>
        </w:rPr>
        <w:t>Security Groups</w:t>
      </w:r>
      <w:r>
        <w:t>: cluster SG allows only control-plane traffic; node SG allows only cluster ↔ node and ALB ↔ node.</w:t>
      </w:r>
    </w:p>
    <w:p>
      <w:pPr>
        <w:pStyle w:val="ListBullet"/>
      </w:pPr>
      <w:r>
        <w:rPr>
          <w:b/>
        </w:rPr>
        <w:t>NACLs</w:t>
      </w:r>
      <w:r>
        <w:t>: stateless defense-in-depth at the subnet boundary.</w:t>
      </w:r>
    </w:p>
    <w:p>
      <w:pPr>
        <w:pStyle w:val="ListBullet"/>
      </w:pPr>
      <w:r>
        <w:rPr>
          <w:b/>
        </w:rPr>
        <w:t>VPC Flow Logs</w:t>
      </w:r>
      <w:r>
        <w:t>: every packet's metadata sent to CloudWatch, encrypted.</w:t>
      </w:r>
    </w:p>
    <w:p>
      <w:pPr>
        <w:pStyle w:val="ListBullet"/>
      </w:pPr>
      <w:r>
        <w:rPr>
          <w:b/>
        </w:rPr>
        <w:t>Network Policies</w:t>
      </w:r>
      <w:r>
        <w:t xml:space="preserve">: default deny-all ingress and egress in </w:t>
      </w:r>
      <w:r>
        <w:rPr>
          <w:rFonts w:ascii="Consolas" w:hAnsi="Consolas"/>
          <w:sz w:val="20"/>
        </w:rPr>
        <w:t>fintech-app</w:t>
      </w:r>
      <w:r>
        <w:t xml:space="preserve">, with explicit allow rules for frontend → backend → DB and backend → AWS APIs. DNS egress allowed namespace-wide to </w:t>
      </w:r>
      <w:r>
        <w:rPr>
          <w:rFonts w:ascii="Consolas" w:hAnsi="Consolas"/>
          <w:sz w:val="20"/>
        </w:rPr>
        <w:t>kube-system/kube-dns</w:t>
      </w:r>
      <w:r>
        <w:t>.</w:t>
      </w:r>
    </w:p>
    <w:p>
      <w:pPr>
        <w:pStyle w:val="Heading2"/>
      </w:pPr>
      <w:r>
        <w:rPr>
          <w:color w:val="1F3A5F"/>
        </w:rPr>
        <w:t>3.2 Identity and Access Management</w:t>
      </w:r>
    </w:p>
    <w:p>
      <w:pPr>
        <w:pStyle w:val="ListBullet"/>
      </w:pPr>
      <w:r>
        <w:rPr>
          <w:b/>
        </w:rPr>
        <w:t>AWS IAM least privilege</w:t>
      </w:r>
      <w:r>
        <w:t xml:space="preserve"> — Cluster role: </w:t>
      </w:r>
      <w:r>
        <w:rPr>
          <w:rFonts w:ascii="Consolas" w:hAnsi="Consolas"/>
          <w:sz w:val="20"/>
        </w:rPr>
        <w:t>AmazonEKSClusterPolicy</w:t>
      </w:r>
      <w:r>
        <w:t xml:space="preserve"> + </w:t>
      </w:r>
      <w:r>
        <w:rPr>
          <w:rFonts w:ascii="Consolas" w:hAnsi="Consolas"/>
          <w:sz w:val="20"/>
        </w:rPr>
        <w:t>AmazonEKSVPCResourceController</w:t>
      </w:r>
      <w:r>
        <w:t xml:space="preserve">. Node role: worker + CNI + ECR read-only. Persona roles: </w:t>
      </w:r>
      <w:r>
        <w:rPr>
          <w:rFonts w:ascii="Consolas" w:hAnsi="Consolas"/>
          <w:sz w:val="20"/>
        </w:rPr>
        <w:t>eks:DescribeCluster</w:t>
      </w:r>
      <w:r>
        <w:t xml:space="preserve"> only.</w:t>
      </w:r>
    </w:p>
    <w:p>
      <w:pPr>
        <w:pStyle w:val="ListBullet"/>
      </w:pPr>
      <w:r>
        <w:rPr>
          <w:b/>
        </w:rPr>
        <w:t>IRSA</w:t>
      </w:r>
      <w:r>
        <w:t xml:space="preserve"> — The backend ServiceAccount assumes a role whose trust policy is scoped to exactly one OIDC subject (</w:t>
      </w:r>
      <w:r>
        <w:rPr>
          <w:rFonts w:ascii="Consolas" w:hAnsi="Consolas"/>
          <w:sz w:val="20"/>
        </w:rPr>
        <w:t>system:serviceaccount:fintech-app:app-backend</w:t>
      </w:r>
      <w:r>
        <w:t xml:space="preserve">). The role policy allows only </w:t>
      </w:r>
      <w:r>
        <w:rPr>
          <w:rFonts w:ascii="Consolas" w:hAnsi="Consolas"/>
          <w:sz w:val="20"/>
        </w:rPr>
        <w:t>secretsmanager:Get/DescribeSecret</w:t>
      </w:r>
      <w:r>
        <w:t xml:space="preserve"> on one ARN and </w:t>
      </w:r>
      <w:r>
        <w:rPr>
          <w:rFonts w:ascii="Consolas" w:hAnsi="Consolas"/>
          <w:sz w:val="20"/>
        </w:rPr>
        <w:t>kms:Decrypt</w:t>
      </w:r>
      <w:r>
        <w:t xml:space="preserve"> on one key.</w:t>
      </w:r>
    </w:p>
    <w:p>
      <w:pPr>
        <w:pStyle w:val="ListBullet"/>
      </w:pPr>
      <w:r>
        <w:rPr>
          <w:b/>
        </w:rPr>
        <w:t>Kubernetes RBAC</w:t>
      </w:r>
      <w:r>
        <w:t xml:space="preserve"> — Three ClusterRoles plus three namespaced Roles; destructive actions (delete, exec on RBAC objects) are forbidden to developers and viewers.</w:t>
      </w:r>
    </w:p>
    <w:p>
      <w:pPr>
        <w:pStyle w:val="ListBullet"/>
      </w:pPr>
      <w:r>
        <w:rPr>
          <w:b/>
        </w:rPr>
        <w:t>`aws-auth` ConfigMap</w:t>
      </w:r>
      <w:r>
        <w:t xml:space="preserve"> — Explicit IAM ARN → K8s group mapping. Node-group mapping preserved; human users have no implicit mapping.</w:t>
      </w:r>
    </w:p>
    <w:p>
      <w:pPr>
        <w:pStyle w:val="Heading2"/>
      </w:pPr>
      <w:r>
        <w:rPr>
          <w:color w:val="1F3A5F"/>
        </w:rPr>
        <w:t>3.3 Data Security</w:t>
      </w:r>
    </w:p>
    <w:p>
      <w:pPr>
        <w:pStyle w:val="ListBullet"/>
      </w:pPr>
      <w:r>
        <w:rPr>
          <w:b/>
        </w:rPr>
        <w:t>At rest</w:t>
      </w:r>
      <w:r>
        <w:t xml:space="preserve"> — KMS customer-managed key encrypts EKS secrets, EBS volumes, Secrets Manager, ECR images, and the SNS topic.</w:t>
      </w:r>
    </w:p>
    <w:p>
      <w:pPr>
        <w:pStyle w:val="ListBullet"/>
      </w:pPr>
      <w:r>
        <w:rPr>
          <w:b/>
        </w:rPr>
        <w:t>In transit</w:t>
      </w:r>
      <w:r>
        <w:t xml:space="preserve"> — ALB serves TLS 1.3 with </w:t>
      </w:r>
      <w:r>
        <w:rPr>
          <w:rFonts w:ascii="Consolas" w:hAnsi="Consolas"/>
          <w:sz w:val="20"/>
        </w:rPr>
        <w:t>ELBSecurityPolicy-TLS13-1-2-2021-06</w:t>
      </w:r>
      <w:r>
        <w:t>; SSL redirect forces all HTTP to HTTPS. In-cluster traffic uses kubelet's TLS.</w:t>
      </w:r>
    </w:p>
    <w:p>
      <w:pPr>
        <w:pStyle w:val="ListBullet"/>
      </w:pPr>
      <w:r>
        <w:rPr>
          <w:b/>
        </w:rPr>
        <w:t>Secrets</w:t>
      </w:r>
      <w:r>
        <w:t xml:space="preserve"> — Backend pulls the </w:t>
      </w:r>
      <w:r>
        <w:rPr>
          <w:rFonts w:ascii="Consolas" w:hAnsi="Consolas"/>
          <w:sz w:val="20"/>
        </w:rPr>
        <w:t>fintech-secure-dev-backend</w:t>
      </w:r>
      <w:r>
        <w:t xml:space="preserve"> Secrets Manager bundle via IRSA on startup. No secrets live in manifests, environment variables committed to Git, or container images.</w:t>
      </w:r>
    </w:p>
    <w:p>
      <w:pPr>
        <w:pStyle w:val="Heading2"/>
      </w:pPr>
      <w:r>
        <w:rPr>
          <w:color w:val="1F3A5F"/>
        </w:rPr>
        <w:t>3.4 Container Security</w:t>
      </w:r>
    </w:p>
    <w:p>
      <w:pPr>
        <w:pStyle w:val="ListBullet"/>
      </w:pPr>
      <w:r>
        <w:rPr>
          <w:b/>
        </w:rPr>
        <w:t>Build time</w:t>
      </w:r>
      <w:r>
        <w:t xml:space="preserve"> — Multi-stage Dockerfiles, minimal slim/alpine bases, dedicated non-root users.</w:t>
      </w:r>
    </w:p>
    <w:p>
      <w:pPr>
        <w:pStyle w:val="ListBullet"/>
      </w:pPr>
      <w:r>
        <w:rPr>
          <w:b/>
        </w:rPr>
        <w:t>Registry</w:t>
      </w:r>
      <w:r>
        <w:t xml:space="preserve"> — ECR with immutable tags, KMS encryption, scan-on-push, and Amazon Inspector enhanced continuous scanning.</w:t>
      </w:r>
    </w:p>
    <w:p>
      <w:pPr>
        <w:pStyle w:val="ListBullet"/>
      </w:pPr>
      <w:r>
        <w:rPr>
          <w:b/>
        </w:rPr>
        <w:t>CI/CD</w:t>
      </w:r>
      <w:r>
        <w:t xml:space="preserve"> — Trivy scans source, images, and Kubernetes manifests; pipeline fails on unfixed HIGH/CRITICAL CVEs.</w:t>
      </w:r>
    </w:p>
    <w:p>
      <w:pPr>
        <w:pStyle w:val="ListBullet"/>
      </w:pPr>
      <w:r>
        <w:rPr>
          <w:b/>
        </w:rPr>
        <w:t>Runtime</w:t>
      </w:r>
      <w:r>
        <w:t xml:space="preserve"> — Pod Security Standard </w:t>
      </w:r>
      <w:r>
        <w:rPr>
          <w:rFonts w:ascii="Consolas" w:hAnsi="Consolas"/>
          <w:sz w:val="20"/>
        </w:rPr>
        <w:t>restricted</w:t>
      </w:r>
      <w:r>
        <w:t xml:space="preserve"> enforced at the namespace; every pod sets </w:t>
      </w:r>
      <w:r>
        <w:rPr>
          <w:rFonts w:ascii="Consolas" w:hAnsi="Consolas"/>
          <w:sz w:val="20"/>
        </w:rPr>
        <w:t>runAsNonRoot</w:t>
      </w:r>
      <w:r>
        <w:t xml:space="preserve">, </w:t>
      </w:r>
      <w:r>
        <w:rPr>
          <w:rFonts w:ascii="Consolas" w:hAnsi="Consolas"/>
          <w:sz w:val="20"/>
        </w:rPr>
        <w:t>readOnlyRootFilesystem</w:t>
      </w:r>
      <w:r>
        <w:t xml:space="preserve">, </w:t>
      </w:r>
      <w:r>
        <w:rPr>
          <w:rFonts w:ascii="Consolas" w:hAnsi="Consolas"/>
          <w:sz w:val="20"/>
        </w:rPr>
        <w:t>allowPrivilegeEscalation: false</w:t>
      </w:r>
      <w:r>
        <w:t xml:space="preserve">, drops ALL capabilities, and uses </w:t>
      </w:r>
      <w:r>
        <w:rPr>
          <w:rFonts w:ascii="Consolas" w:hAnsi="Consolas"/>
          <w:sz w:val="20"/>
        </w:rPr>
        <w:t>RuntimeDefault</w:t>
      </w:r>
      <w:r>
        <w:t xml:space="preserve"> seccomp.</w:t>
      </w:r>
    </w:p>
    <w:p>
      <w:pPr>
        <w:pStyle w:val="Heading2"/>
      </w:pPr>
      <w:r>
        <w:rPr>
          <w:color w:val="1F3A5F"/>
        </w:rPr>
        <w:t>3.5 Monitoring and Incident Response</w:t>
      </w:r>
    </w:p>
    <w:p>
      <w:pPr>
        <w:pStyle w:val="ListBullet"/>
      </w:pPr>
      <w:r>
        <w:rPr>
          <w:b/>
        </w:rPr>
        <w:t>Logs</w:t>
      </w:r>
      <w:r>
        <w:t xml:space="preserve"> — EKS control plane (api, audit, authenticator, controllerManager, scheduler) + VPC Flow Logs + Container Insights, all retained 30 days in CloudWatch.</w:t>
      </w:r>
    </w:p>
    <w:p>
      <w:pPr>
        <w:pStyle w:val="ListBullet"/>
      </w:pPr>
      <w:r>
        <w:rPr>
          <w:b/>
        </w:rPr>
        <w:t>Threat detection</w:t>
      </w:r>
      <w:r>
        <w:t xml:space="preserve"> — GuardDuty with EKS audit-log analysis, EBS malware scanning, and DNS/VPC/CloudTrail anomaly detection.</w:t>
      </w:r>
    </w:p>
    <w:p>
      <w:pPr>
        <w:pStyle w:val="ListBullet"/>
      </w:pPr>
      <w:r>
        <w:rPr>
          <w:b/>
        </w:rPr>
        <w:t>Alerting</w:t>
      </w:r>
      <w:r>
        <w:t xml:space="preserve"> — Three CloudWatch alarms → SNS (KMS-encrypted) → email subscription, covering failed API authentication, node CPU exhaustion, and new GuardDuty findings.</w:t>
      </w:r>
    </w:p>
    <w:p>
      <w:pPr>
        <w:pStyle w:val="ListBullet"/>
      </w:pPr>
      <w:r>
        <w:rPr>
          <w:b/>
        </w:rPr>
        <w:t>Runbook</w:t>
      </w:r>
      <w:r>
        <w:t xml:space="preserve"> — Phase 9 threat-simulation document captures incident-response steps for each scenario.</w:t>
      </w:r>
    </w:p>
    <w:p>
      <w:pPr>
        <w:pBdr>
          <w:bottom w:val="single" w:sz="8" w:space="1" w:color="BFBFBF"/>
        </w:pBdr>
      </w:pPr>
    </w:p>
    <w:p>
      <w:pPr>
        <w:pStyle w:val="Heading1"/>
      </w:pPr>
      <w:r>
        <w:rPr>
          <w:color w:val="1F3A5F"/>
        </w:rPr>
        <w:t>4. Threat Model and Mitigation Strategies</w:t>
      </w:r>
    </w:p>
    <w:p>
      <w:r>
        <w:rPr>
          <w:b w:val="0"/>
          <w:i w:val="0"/>
          <w:sz w:val="22"/>
        </w:rPr>
        <w:t>Three attack scenarios were executed against the deployed cluster to validate the controls end to end. Full transcripts are captured in docs/phase9-threat-simulation.md and the screenshots PDF.</w:t>
      </w:r>
    </w:p>
    <w:p>
      <w:pPr>
        <w:pStyle w:val="Heading2"/>
      </w:pPr>
      <w:r>
        <w:rPr>
          <w:color w:val="1F3A5F"/>
        </w:rPr>
        <w:t>4.1 Scenario 1 — Unauthorized API Access</w:t>
      </w:r>
    </w:p>
    <w:p>
      <w:r>
        <w:rPr>
          <w:b w:val="0"/>
          <w:i w:val="0"/>
          <w:sz w:val="22"/>
        </w:rPr>
        <w:t>**Attack.** A compromised `viewer` IAM role attempts `kubectl delete deployment backend -n fintech-app`.</w:t>
      </w:r>
    </w:p>
    <w:p>
      <w:r>
        <w:rPr>
          <w:b w:val="0"/>
          <w:i w:val="0"/>
          <w:sz w:val="22"/>
        </w:rPr>
        <w:t>**Detection and prevention.** Blocked synchronously by Kubernetes RBAC with a 403 Forbidden response. The denial is captured in the EKS audit log with the user, verb, resource, and timestamp. If more than 10 such denials occur in 5 minutes the `failed-auth` CloudWatch alarm fires and pages the SNS topic.</w:t>
      </w:r>
    </w:p>
    <w:p>
      <w:r>
        <w:rPr>
          <w:b w:val="0"/>
          <w:i w:val="0"/>
          <w:sz w:val="22"/>
        </w:rPr>
        <w:t>**Mitigation.** Least-privilege ClusterRole grants only read verbs; the developer and viewer roles cannot execute destructive actions. Regular review of the `aws-auth` ConfigMap and `kubectl auth can-i --list` output ensures no role drift.</w:t>
      </w:r>
    </w:p>
    <w:p>
      <w:r>
        <w:rPr>
          <w:b w:val="0"/>
          <w:i w:val="0"/>
          <w:sz w:val="22"/>
        </w:rPr>
        <w:t>**Incident response.** Identify the source IAM principal from the audit log → rotate the suspected role's trust policy → review CloudTrail for lateral use → if confirmed, disable the AWS user or role and force credential rotation.</w:t>
      </w:r>
    </w:p>
    <w:p>
      <w:pPr>
        <w:pStyle w:val="Heading2"/>
      </w:pPr>
      <w:r>
        <w:rPr>
          <w:color w:val="1F3A5F"/>
        </w:rPr>
        <w:t>4.2 Scenario 2 — Privilege Escalation via Privileged Pod</w:t>
      </w:r>
    </w:p>
    <w:p>
      <w:r>
        <w:rPr>
          <w:b w:val="0"/>
          <w:i w:val="0"/>
          <w:sz w:val="22"/>
        </w:rPr>
        <w:t>**Attack.** A malicious manifest attempts to create a pod with `privileged: true`, `hostPID: true`, `hostNetwork: true`, and the `SYS_ADMIN` capability.</w:t>
      </w:r>
    </w:p>
    <w:p>
      <w:r>
        <w:rPr>
          <w:b w:val="0"/>
          <w:i w:val="0"/>
          <w:sz w:val="22"/>
        </w:rPr>
        <w:t>**Detection and prevention.** Blocked at admission by Pod Security Standards with a detailed violation message enumerating every policy the pod breaks. No pod object is created; no image is pulled; no runtime detection is required.</w:t>
      </w:r>
    </w:p>
    <w:p>
      <w:r>
        <w:rPr>
          <w:b w:val="0"/>
          <w:i w:val="0"/>
          <w:sz w:val="22"/>
        </w:rPr>
        <w:t>**Mitigation.** The `fintech-app` namespace has `pod-security.kubernetes.io/enforce: restricted`. Every application pod is written to pass the restricted profile without exception, so PSS can be enforced rather than audited. Escape-hatch namespaces are forbidden.</w:t>
      </w:r>
    </w:p>
    <w:p>
      <w:r>
        <w:rPr>
          <w:b w:val="0"/>
          <w:i w:val="0"/>
          <w:sz w:val="22"/>
        </w:rPr>
        <w:t>**Incident response.** The admission denial is itself the alert. Review the audit log for the identity that submitted the pod; correlate with CI/CD pipeline runs (did a malicious PR reach apply?); if the source is a bot/service account, rotate its credentials.</w:t>
      </w:r>
    </w:p>
    <w:p>
      <w:pPr>
        <w:pStyle w:val="Heading2"/>
      </w:pPr>
      <w:r>
        <w:rPr>
          <w:color w:val="1F3A5F"/>
        </w:rPr>
        <w:t>4.3 Scenario 3 — Root Credential Usage</w:t>
      </w:r>
    </w:p>
    <w:p>
      <w:r>
        <w:rPr>
          <w:b w:val="0"/>
          <w:i w:val="0"/>
          <w:sz w:val="22"/>
        </w:rPr>
        <w:t>**Attack.** An administrator issues AWS API calls using root account credentials.</w:t>
      </w:r>
    </w:p>
    <w:p>
      <w:r>
        <w:rPr>
          <w:b w:val="0"/>
          <w:i w:val="0"/>
          <w:sz w:val="22"/>
        </w:rPr>
        <w:t>**Detection.** GuardDuty raises a `Policy:IAMUser/RootCredentialUsage` finding within minutes. The `guardduty-findings` CloudWatch alarm fires and emails the on-call address via SNS.</w:t>
      </w:r>
    </w:p>
    <w:p>
      <w:r>
        <w:rPr>
          <w:b w:val="0"/>
          <w:i w:val="0"/>
          <w:sz w:val="22"/>
        </w:rPr>
        <w:t>**Mitigation.** The three persona IAM roles (platform-admin, developer, viewer) cover every legitimate operation, so root is never required. MFA on the root account, and strict key hygiene, mean a finding indicates either a test or an incident — both warrant investigation.</w:t>
      </w:r>
    </w:p>
    <w:p>
      <w:r>
        <w:rPr>
          <w:b w:val="0"/>
          <w:i w:val="0"/>
          <w:sz w:val="22"/>
        </w:rPr>
        <w:t>**Incident response.** Confirm the actor is an authorized admin testing; if not, immediately rotate root credentials → audit CloudTrail for the full blast radius → open an incident ticket and log the timeline.</w:t>
      </w:r>
    </w:p>
    <w:p>
      <w:r>
        <w:rPr>
          <w:b w:val="0"/>
          <w:i w:val="0"/>
          <w:sz w:val="22"/>
        </w:rPr>
        <w:t>All three scenarios demonstrate defense in depth in action: scenarios 1 and 2 were prevented by synchronous controls (RBAC, PSS admission); scenario 3 was detected and escalated asynchronously (GuardDuty + CloudWatch + SNS). Removing any single control would have let the corresponding attack succeed, which is exactly why they are layered.</w:t>
      </w:r>
    </w:p>
    <w:p>
      <w:pPr>
        <w:pBdr>
          <w:bottom w:val="single" w:sz="8" w:space="1" w:color="BFBFBF"/>
        </w:pBdr>
      </w:pPr>
    </w:p>
    <w:p>
      <w:pPr>
        <w:pStyle w:val="Heading1"/>
      </w:pPr>
      <w:r>
        <w:rPr>
          <w:color w:val="1F3A5F"/>
        </w:rPr>
        <w:t>5. Evaluation Against Project Requirements</w:t>
      </w:r>
    </w:p>
    <w:tbl>
      <w:tblPr>
        <w:tblStyle w:val="LightGrid-Accent1"/>
        <w:tblW w:type="auto" w:w="0"/>
        <w:tblLayout w:type="autofit"/>
        <w:tblLook w:firstColumn="1" w:firstRow="1" w:lastColumn="0" w:lastRow="0" w:noHBand="0" w:noVBand="1" w:val="04A0"/>
      </w:tblPr>
      <w:tblGrid>
        <w:gridCol w:w="4873"/>
        <w:gridCol w:w="4873"/>
      </w:tblGrid>
      <w:tr>
        <w:tc>
          <w:tcPr>
            <w:tcW w:type="dxa" w:w="4873"/>
            <w:shd w:val="clear" w:color="auto" w:fill="1F3A5F"/>
          </w:tcPr>
          <w:p>
            <w:r>
              <w:rPr>
                <w:color w:val="FFFFFF"/>
              </w:rPr>
            </w:r>
            <w:r>
              <w:rPr>
                <w:b/>
                <w:color w:val="FFFFFF"/>
                <w:sz w:val="20"/>
              </w:rPr>
              <w:t>Requirement</w:t>
            </w:r>
          </w:p>
        </w:tc>
        <w:tc>
          <w:tcPr>
            <w:tcW w:type="dxa" w:w="4873"/>
            <w:shd w:val="clear" w:color="auto" w:fill="1F3A5F"/>
          </w:tcPr>
          <w:p>
            <w:r>
              <w:rPr>
                <w:color w:val="FFFFFF"/>
              </w:rPr>
            </w:r>
            <w:r>
              <w:rPr>
                <w:b/>
                <w:color w:val="FFFFFF"/>
                <w:sz w:val="20"/>
              </w:rPr>
              <w:t>Evidence</w:t>
            </w:r>
          </w:p>
        </w:tc>
      </w:tr>
      <w:tr>
        <w:tc>
          <w:tcPr>
            <w:tcW w:type="dxa" w:w="4873"/>
          </w:tcPr>
          <w:p>
            <w:r>
              <w:rPr>
                <w:sz w:val="20"/>
              </w:rPr>
            </w:r>
            <w:r>
              <w:rPr>
                <w:sz w:val="20"/>
              </w:rPr>
              <w:t>VPC with public/private subnets</w:t>
            </w:r>
          </w:p>
        </w:tc>
        <w:tc>
          <w:tcPr>
            <w:tcW w:type="dxa" w:w="4873"/>
          </w:tcPr>
          <w:p>
            <w:r>
              <w:rPr>
                <w:sz w:val="20"/>
              </w:rPr>
            </w:r>
            <w:r>
              <w:rPr>
                <w:rFonts w:ascii="Consolas" w:hAnsi="Consolas"/>
                <w:sz w:val="20"/>
              </w:rPr>
              <w:t>terraform/modules/vpc/</w:t>
            </w:r>
          </w:p>
        </w:tc>
      </w:tr>
      <w:tr>
        <w:tc>
          <w:tcPr>
            <w:tcW w:type="dxa" w:w="4873"/>
          </w:tcPr>
          <w:p>
            <w:r>
              <w:rPr>
                <w:sz w:val="20"/>
              </w:rPr>
            </w:r>
            <w:r>
              <w:rPr>
                <w:sz w:val="20"/>
              </w:rPr>
              <w:t>EKS with managed node groups</w:t>
            </w:r>
          </w:p>
        </w:tc>
        <w:tc>
          <w:tcPr>
            <w:tcW w:type="dxa" w:w="4873"/>
          </w:tcPr>
          <w:p>
            <w:r>
              <w:rPr>
                <w:sz w:val="20"/>
              </w:rPr>
            </w:r>
            <w:r>
              <w:rPr>
                <w:rFonts w:ascii="Consolas" w:hAnsi="Consolas"/>
                <w:sz w:val="20"/>
              </w:rPr>
              <w:t>terraform/modules/eks/</w:t>
            </w:r>
          </w:p>
        </w:tc>
      </w:tr>
      <w:tr>
        <w:tc>
          <w:tcPr>
            <w:tcW w:type="dxa" w:w="4873"/>
          </w:tcPr>
          <w:p>
            <w:r>
              <w:rPr>
                <w:sz w:val="20"/>
              </w:rPr>
            </w:r>
            <w:r>
              <w:rPr>
                <w:sz w:val="20"/>
              </w:rPr>
              <w:t>Terraform for all infrastructure</w:t>
            </w:r>
          </w:p>
        </w:tc>
        <w:tc>
          <w:tcPr>
            <w:tcW w:type="dxa" w:w="4873"/>
          </w:tcPr>
          <w:p>
            <w:r>
              <w:rPr>
                <w:sz w:val="20"/>
              </w:rPr>
            </w:r>
            <w:r>
              <w:rPr>
                <w:sz w:val="20"/>
              </w:rPr>
              <w:t>6 Terraform modules + root</w:t>
            </w:r>
          </w:p>
        </w:tc>
      </w:tr>
      <w:tr>
        <w:tc>
          <w:tcPr>
            <w:tcW w:type="dxa" w:w="4873"/>
          </w:tcPr>
          <w:p>
            <w:r>
              <w:rPr>
                <w:sz w:val="20"/>
              </w:rPr>
            </w:r>
            <w:r>
              <w:rPr>
                <w:sz w:val="20"/>
              </w:rPr>
              <w:t>Multi-tier K8s app (frontend + backend + DB)</w:t>
            </w:r>
          </w:p>
        </w:tc>
        <w:tc>
          <w:tcPr>
            <w:tcW w:type="dxa" w:w="4873"/>
          </w:tcPr>
          <w:p>
            <w:r>
              <w:rPr>
                <w:sz w:val="20"/>
              </w:rPr>
            </w:r>
            <w:r>
              <w:rPr>
                <w:rFonts w:ascii="Consolas" w:hAnsi="Consolas"/>
                <w:sz w:val="20"/>
              </w:rPr>
              <w:t>kubernetes/deployments/</w:t>
            </w:r>
          </w:p>
        </w:tc>
      </w:tr>
      <w:tr>
        <w:tc>
          <w:tcPr>
            <w:tcW w:type="dxa" w:w="4873"/>
          </w:tcPr>
          <w:p>
            <w:r>
              <w:rPr>
                <w:sz w:val="20"/>
              </w:rPr>
            </w:r>
            <w:r>
              <w:rPr>
                <w:sz w:val="20"/>
              </w:rPr>
              <w:t>IAM least privilege + IRSA</w:t>
            </w:r>
          </w:p>
        </w:tc>
        <w:tc>
          <w:tcPr>
            <w:tcW w:type="dxa" w:w="4873"/>
          </w:tcPr>
          <w:p>
            <w:r>
              <w:rPr>
                <w:sz w:val="20"/>
              </w:rPr>
            </w:r>
            <w:r>
              <w:rPr>
                <w:rFonts w:ascii="Consolas" w:hAnsi="Consolas"/>
                <w:sz w:val="20"/>
              </w:rPr>
              <w:t>terraform/modules/iam/</w:t>
            </w:r>
            <w:r>
              <w:rPr>
                <w:sz w:val="20"/>
              </w:rPr>
              <w:t xml:space="preserve"> + root </w:t>
            </w:r>
            <w:r>
              <w:rPr>
                <w:rFonts w:ascii="Consolas" w:hAnsi="Consolas"/>
                <w:sz w:val="20"/>
              </w:rPr>
              <w:t>main.tf</w:t>
            </w:r>
          </w:p>
        </w:tc>
      </w:tr>
      <w:tr>
        <w:tc>
          <w:tcPr>
            <w:tcW w:type="dxa" w:w="4873"/>
          </w:tcPr>
          <w:p>
            <w:r>
              <w:rPr>
                <w:sz w:val="20"/>
              </w:rPr>
            </w:r>
            <w:r>
              <w:rPr>
                <w:sz w:val="20"/>
              </w:rPr>
              <w:t>Kubernetes RBAC</w:t>
            </w:r>
          </w:p>
        </w:tc>
        <w:tc>
          <w:tcPr>
            <w:tcW w:type="dxa" w:w="4873"/>
          </w:tcPr>
          <w:p>
            <w:r>
              <w:rPr>
                <w:sz w:val="20"/>
              </w:rPr>
            </w:r>
            <w:r>
              <w:rPr>
                <w:rFonts w:ascii="Consolas" w:hAnsi="Consolas"/>
                <w:sz w:val="20"/>
              </w:rPr>
              <w:t>kubernetes/rbac/</w:t>
            </w:r>
          </w:p>
        </w:tc>
      </w:tr>
      <w:tr>
        <w:tc>
          <w:tcPr>
            <w:tcW w:type="dxa" w:w="4873"/>
          </w:tcPr>
          <w:p>
            <w:r>
              <w:rPr>
                <w:sz w:val="20"/>
              </w:rPr>
            </w:r>
            <w:r>
              <w:rPr>
                <w:sz w:val="20"/>
              </w:rPr>
              <w:t>Security Groups + NACLs + private subnets</w:t>
            </w:r>
          </w:p>
        </w:tc>
        <w:tc>
          <w:tcPr>
            <w:tcW w:type="dxa" w:w="4873"/>
          </w:tcPr>
          <w:p>
            <w:r>
              <w:rPr>
                <w:sz w:val="20"/>
              </w:rPr>
            </w:r>
            <w:r>
              <w:rPr>
                <w:rFonts w:ascii="Consolas" w:hAnsi="Consolas"/>
                <w:sz w:val="20"/>
              </w:rPr>
              <w:t>terraform/modules/security/</w:t>
            </w:r>
          </w:p>
        </w:tc>
      </w:tr>
      <w:tr>
        <w:tc>
          <w:tcPr>
            <w:tcW w:type="dxa" w:w="4873"/>
          </w:tcPr>
          <w:p>
            <w:r>
              <w:rPr>
                <w:sz w:val="20"/>
              </w:rPr>
            </w:r>
            <w:r>
              <w:rPr>
                <w:sz w:val="20"/>
              </w:rPr>
              <w:t>Network Policies</w:t>
            </w:r>
          </w:p>
        </w:tc>
        <w:tc>
          <w:tcPr>
            <w:tcW w:type="dxa" w:w="4873"/>
          </w:tcPr>
          <w:p>
            <w:r>
              <w:rPr>
                <w:sz w:val="20"/>
              </w:rPr>
            </w:r>
            <w:r>
              <w:rPr>
                <w:rFonts w:ascii="Consolas" w:hAnsi="Consolas"/>
                <w:sz w:val="20"/>
              </w:rPr>
              <w:t>kubernetes/network-policies/</w:t>
            </w:r>
          </w:p>
        </w:tc>
      </w:tr>
      <w:tr>
        <w:tc>
          <w:tcPr>
            <w:tcW w:type="dxa" w:w="4873"/>
          </w:tcPr>
          <w:p>
            <w:r>
              <w:rPr>
                <w:sz w:val="20"/>
              </w:rPr>
            </w:r>
            <w:r>
              <w:rPr>
                <w:sz w:val="20"/>
              </w:rPr>
              <w:t>Data encryption at rest</w:t>
            </w:r>
          </w:p>
        </w:tc>
        <w:tc>
          <w:tcPr>
            <w:tcW w:type="dxa" w:w="4873"/>
          </w:tcPr>
          <w:p>
            <w:r>
              <w:rPr>
                <w:sz w:val="20"/>
              </w:rPr>
            </w:r>
            <w:r>
              <w:rPr>
                <w:sz w:val="20"/>
              </w:rPr>
              <w:t>KMS on EBS, EKS secrets, Secrets Manager, ECR, SNS</w:t>
            </w:r>
          </w:p>
        </w:tc>
      </w:tr>
      <w:tr>
        <w:tc>
          <w:tcPr>
            <w:tcW w:type="dxa" w:w="4873"/>
          </w:tcPr>
          <w:p>
            <w:r>
              <w:rPr>
                <w:sz w:val="20"/>
              </w:rPr>
            </w:r>
            <w:r>
              <w:rPr>
                <w:sz w:val="20"/>
              </w:rPr>
              <w:t>TLS in transit</w:t>
            </w:r>
          </w:p>
        </w:tc>
        <w:tc>
          <w:tcPr>
            <w:tcW w:type="dxa" w:w="4873"/>
          </w:tcPr>
          <w:p>
            <w:r>
              <w:rPr>
                <w:sz w:val="20"/>
              </w:rPr>
            </w:r>
            <w:r>
              <w:rPr>
                <w:sz w:val="20"/>
              </w:rPr>
              <w:t>ALB + ACM with TLS 1.3 policy</w:t>
            </w:r>
          </w:p>
        </w:tc>
      </w:tr>
      <w:tr>
        <w:tc>
          <w:tcPr>
            <w:tcW w:type="dxa" w:w="4873"/>
          </w:tcPr>
          <w:p>
            <w:r>
              <w:rPr>
                <w:sz w:val="20"/>
              </w:rPr>
            </w:r>
            <w:r>
              <w:rPr>
                <w:sz w:val="20"/>
              </w:rPr>
              <w:t>Secrets Manager integration</w:t>
            </w:r>
          </w:p>
        </w:tc>
        <w:tc>
          <w:tcPr>
            <w:tcW w:type="dxa" w:w="4873"/>
          </w:tcPr>
          <w:p>
            <w:r>
              <w:rPr>
                <w:sz w:val="20"/>
              </w:rPr>
            </w:r>
            <w:r>
              <w:rPr>
                <w:rFonts w:ascii="Consolas" w:hAnsi="Consolas"/>
                <w:sz w:val="20"/>
              </w:rPr>
              <w:t>aws_secretsmanager_secret</w:t>
            </w:r>
            <w:r>
              <w:rPr>
                <w:sz w:val="20"/>
              </w:rPr>
              <w:t xml:space="preserve"> + IRSA policy</w:t>
            </w:r>
          </w:p>
        </w:tc>
      </w:tr>
      <w:tr>
        <w:tc>
          <w:tcPr>
            <w:tcW w:type="dxa" w:w="4873"/>
          </w:tcPr>
          <w:p>
            <w:r>
              <w:rPr>
                <w:sz w:val="20"/>
              </w:rPr>
            </w:r>
            <w:r>
              <w:rPr>
                <w:sz w:val="20"/>
              </w:rPr>
              <w:t>Image scanning (ECR + Trivy)</w:t>
            </w:r>
          </w:p>
        </w:tc>
        <w:tc>
          <w:tcPr>
            <w:tcW w:type="dxa" w:w="4873"/>
          </w:tcPr>
          <w:p>
            <w:r>
              <w:rPr>
                <w:sz w:val="20"/>
              </w:rPr>
            </w:r>
            <w:r>
              <w:rPr>
                <w:rFonts w:ascii="Consolas" w:hAnsi="Consolas"/>
                <w:sz w:val="20"/>
              </w:rPr>
              <w:t>terraform/modules/container-security/</w:t>
            </w:r>
            <w:r>
              <w:rPr>
                <w:sz w:val="20"/>
              </w:rPr>
              <w:t xml:space="preserve"> + </w:t>
            </w:r>
            <w:r>
              <w:rPr>
                <w:rFonts w:ascii="Consolas" w:hAnsi="Consolas"/>
                <w:sz w:val="20"/>
              </w:rPr>
              <w:t>.github/workflows/</w:t>
            </w:r>
          </w:p>
        </w:tc>
      </w:tr>
      <w:tr>
        <w:tc>
          <w:tcPr>
            <w:tcW w:type="dxa" w:w="4873"/>
          </w:tcPr>
          <w:p>
            <w:r>
              <w:rPr>
                <w:sz w:val="20"/>
              </w:rPr>
            </w:r>
            <w:r>
              <w:rPr>
                <w:sz w:val="20"/>
              </w:rPr>
              <w:t>Non-root containers, minimal base</w:t>
            </w:r>
          </w:p>
        </w:tc>
        <w:tc>
          <w:tcPr>
            <w:tcW w:type="dxa" w:w="4873"/>
          </w:tcPr>
          <w:p>
            <w:r>
              <w:rPr>
                <w:sz w:val="20"/>
              </w:rPr>
            </w:r>
            <w:r>
              <w:rPr>
                <w:sz w:val="20"/>
              </w:rPr>
              <w:t xml:space="preserve">Hardened Dockerfiles + </w:t>
            </w:r>
            <w:r>
              <w:rPr>
                <w:rFonts w:ascii="Consolas" w:hAnsi="Consolas"/>
                <w:sz w:val="20"/>
              </w:rPr>
              <w:t>securityContext</w:t>
            </w:r>
          </w:p>
        </w:tc>
      </w:tr>
      <w:tr>
        <w:tc>
          <w:tcPr>
            <w:tcW w:type="dxa" w:w="4873"/>
          </w:tcPr>
          <w:p>
            <w:r>
              <w:rPr>
                <w:sz w:val="20"/>
              </w:rPr>
            </w:r>
            <w:r>
              <w:rPr>
                <w:sz w:val="20"/>
              </w:rPr>
              <w:t>Pod Security Standards</w:t>
            </w:r>
          </w:p>
        </w:tc>
        <w:tc>
          <w:tcPr>
            <w:tcW w:type="dxa" w:w="4873"/>
          </w:tcPr>
          <w:p>
            <w:r>
              <w:rPr>
                <w:sz w:val="20"/>
              </w:rPr>
            </w:r>
            <w:r>
              <w:rPr>
                <w:rFonts w:ascii="Consolas" w:hAnsi="Consolas"/>
                <w:sz w:val="20"/>
              </w:rPr>
              <w:t>fintech-app</w:t>
            </w:r>
            <w:r>
              <w:rPr>
                <w:sz w:val="20"/>
              </w:rPr>
              <w:t xml:space="preserve"> namespace labels</w:t>
            </w:r>
          </w:p>
        </w:tc>
      </w:tr>
      <w:tr>
        <w:tc>
          <w:tcPr>
            <w:tcW w:type="dxa" w:w="4873"/>
          </w:tcPr>
          <w:p>
            <w:r>
              <w:rPr>
                <w:sz w:val="20"/>
              </w:rPr>
            </w:r>
            <w:r>
              <w:rPr>
                <w:sz w:val="20"/>
              </w:rPr>
              <w:t>CloudWatch logs + Kubernetes audit logs</w:t>
            </w:r>
          </w:p>
        </w:tc>
        <w:tc>
          <w:tcPr>
            <w:tcW w:type="dxa" w:w="4873"/>
          </w:tcPr>
          <w:p>
            <w:r>
              <w:rPr>
                <w:sz w:val="20"/>
              </w:rPr>
            </w:r>
            <w:r>
              <w:rPr>
                <w:sz w:val="20"/>
              </w:rPr>
              <w:t xml:space="preserve">EKS cluster logging + </w:t>
            </w:r>
            <w:r>
              <w:rPr>
                <w:rFonts w:ascii="Consolas" w:hAnsi="Consolas"/>
                <w:sz w:val="20"/>
              </w:rPr>
              <w:t>/aws/eks/.../cluster</w:t>
            </w:r>
            <w:r>
              <w:rPr>
                <w:sz w:val="20"/>
              </w:rPr>
              <w:t xml:space="preserve"> log group</w:t>
            </w:r>
          </w:p>
        </w:tc>
      </w:tr>
      <w:tr>
        <w:tc>
          <w:tcPr>
            <w:tcW w:type="dxa" w:w="4873"/>
          </w:tcPr>
          <w:p>
            <w:r>
              <w:rPr>
                <w:sz w:val="20"/>
              </w:rPr>
            </w:r>
            <w:r>
              <w:rPr>
                <w:sz w:val="20"/>
              </w:rPr>
              <w:t>GuardDuty</w:t>
            </w:r>
          </w:p>
        </w:tc>
        <w:tc>
          <w:tcPr>
            <w:tcW w:type="dxa" w:w="4873"/>
          </w:tcPr>
          <w:p>
            <w:r>
              <w:rPr>
                <w:sz w:val="20"/>
              </w:rPr>
            </w:r>
            <w:r>
              <w:rPr>
                <w:rFonts w:ascii="Consolas" w:hAnsi="Consolas"/>
                <w:sz w:val="20"/>
              </w:rPr>
              <w:t>terraform/modules/monitoring/</w:t>
            </w:r>
          </w:p>
        </w:tc>
      </w:tr>
      <w:tr>
        <w:tc>
          <w:tcPr>
            <w:tcW w:type="dxa" w:w="4873"/>
          </w:tcPr>
          <w:p>
            <w:r>
              <w:rPr>
                <w:sz w:val="20"/>
              </w:rPr>
            </w:r>
            <w:r>
              <w:rPr>
                <w:sz w:val="20"/>
              </w:rPr>
              <w:t>Prometheus + Grafana (optional)</w:t>
            </w:r>
          </w:p>
        </w:tc>
        <w:tc>
          <w:tcPr>
            <w:tcW w:type="dxa" w:w="4873"/>
          </w:tcPr>
          <w:p>
            <w:r>
              <w:rPr>
                <w:sz w:val="20"/>
              </w:rPr>
            </w:r>
            <w:r>
              <w:rPr>
                <w:rFonts w:ascii="Consolas" w:hAnsi="Consolas"/>
                <w:sz w:val="20"/>
              </w:rPr>
              <w:t>kubernetes/monitoring/prometheus-values.yaml</w:t>
            </w:r>
          </w:p>
        </w:tc>
      </w:tr>
      <w:tr>
        <w:tc>
          <w:tcPr>
            <w:tcW w:type="dxa" w:w="4873"/>
          </w:tcPr>
          <w:p>
            <w:r>
              <w:rPr>
                <w:sz w:val="20"/>
              </w:rPr>
            </w:r>
            <w:r>
              <w:rPr>
                <w:sz w:val="20"/>
              </w:rPr>
              <w:t>≥ 2 threat simulations</w:t>
            </w:r>
          </w:p>
        </w:tc>
        <w:tc>
          <w:tcPr>
            <w:tcW w:type="dxa" w:w="4873"/>
          </w:tcPr>
          <w:p>
            <w:r>
              <w:rPr>
                <w:sz w:val="20"/>
              </w:rPr>
            </w:r>
            <w:r>
              <w:rPr>
                <w:sz w:val="20"/>
              </w:rPr>
              <w:t>3 scenarios documented with transcripts</w:t>
            </w:r>
          </w:p>
        </w:tc>
      </w:tr>
      <w:tr>
        <w:tc>
          <w:tcPr>
            <w:tcW w:type="dxa" w:w="4873"/>
          </w:tcPr>
          <w:p>
            <w:r>
              <w:rPr>
                <w:sz w:val="20"/>
              </w:rPr>
            </w:r>
            <w:r>
              <w:rPr>
                <w:sz w:val="20"/>
              </w:rPr>
              <w:t>Incident response documentation</w:t>
            </w:r>
          </w:p>
        </w:tc>
        <w:tc>
          <w:tcPr>
            <w:tcW w:type="dxa" w:w="4873"/>
          </w:tcPr>
          <w:p>
            <w:r>
              <w:rPr>
                <w:sz w:val="20"/>
              </w:rPr>
            </w:r>
            <w:r>
              <w:rPr>
                <w:sz w:val="20"/>
              </w:rPr>
              <w:t>Each Phase 9 scenario has an IR section</w:t>
            </w:r>
          </w:p>
        </w:tc>
      </w:tr>
    </w:tbl>
    <w:p/>
    <w:p>
      <w:pPr>
        <w:pBdr>
          <w:bottom w:val="single" w:sz="8" w:space="1" w:color="BFBFBF"/>
        </w:pBdr>
      </w:pPr>
    </w:p>
    <w:p>
      <w:pPr>
        <w:pStyle w:val="Heading1"/>
      </w:pPr>
      <w:r>
        <w:rPr>
          <w:color w:val="1F3A5F"/>
        </w:rPr>
        <w:t>6. Lessons Learned</w:t>
      </w:r>
    </w:p>
    <w:p>
      <w:r>
        <w:rPr>
          <w:b/>
        </w:rPr>
        <w:t xml:space="preserve">1. Defense in depth is non-negotiable. </w:t>
      </w:r>
      <w:r>
        <w:t>No single control blocked every attack in Phase 9. RBAC blocked the unauthorized action, PSS blocked the privileged pod, and GuardDuty caught the misconfiguration. Remove any one of those layers and a realistic attacker gets further.</w:t>
      </w:r>
    </w:p>
    <w:p>
      <w:r>
        <w:rPr>
          <w:b/>
        </w:rPr>
        <w:t xml:space="preserve">2. IRSA is the correct answer to "how do pods get AWS access." </w:t>
      </w:r>
      <w:r>
        <w:t>Every alternative (instance profiles, static keys, shared roles) either violates least privilege or creates credential-rotation pain. The one-time cost of wiring OIDC pays back immediately.</w:t>
      </w:r>
    </w:p>
    <w:p>
      <w:r>
        <w:rPr>
          <w:b/>
        </w:rPr>
        <w:t xml:space="preserve">3. Immutable tags + continuous scanning beats tag discipline. </w:t>
      </w:r>
      <w:r>
        <w:t xml:space="preserve">Early iterations mutated </w:t>
      </w:r>
      <w:r>
        <w:rPr>
          <w:rFonts w:ascii="Consolas" w:hAnsi="Consolas"/>
          <w:sz w:val="20"/>
        </w:rPr>
        <w:t>:latest</w:t>
      </w:r>
      <w:r>
        <w:t xml:space="preserve"> and relied on developers remembering to re-scan. Immutable tags and Inspector Enhanced Scanning made "the image running in prod" and "the image we scanned" mathematically the same thing.</w:t>
      </w:r>
    </w:p>
    <w:p>
      <w:r>
        <w:rPr>
          <w:b/>
        </w:rPr>
        <w:t xml:space="preserve">4. Pod Security Standards are a better default than PSP or custom admission webhooks. </w:t>
      </w:r>
      <w:r>
        <w:t>PSS ships with the cluster, has three clear tiers (privileged, baseline, restricted), and the violation messages point directly at the offending field. No webhook to deploy, no policy DSL to learn.</w:t>
      </w:r>
    </w:p>
    <w:p>
      <w:r>
        <w:rPr>
          <w:b/>
        </w:rPr>
        <w:t xml:space="preserve">5. Terraform modules over flat config. </w:t>
      </w:r>
      <w:r>
        <w:t>Splitting the project into six modules (vpc, iam, security, eks, container-security, monitoring) made each concern reviewable in isolation. Adding Phase 7 and 8 was two new modules, not a refactor of existing code.</w:t>
      </w:r>
    </w:p>
    <w:p>
      <w:r>
        <w:rPr>
          <w:b/>
        </w:rPr>
        <w:t xml:space="preserve">6. NetworkPolicies are ingress *and* egress. </w:t>
      </w:r>
      <w:r>
        <w:t>An early version only had ingress rules; the backend could still make outbound connections anywhere. Adding explicit egress rules (to DB, to AWS APIs on 443 only) closed a real lateral-movement path.</w:t>
      </w:r>
    </w:p>
    <w:p>
      <w:r>
        <w:rPr>
          <w:b/>
        </w:rPr>
        <w:t xml:space="preserve">7. Alerting is only as good as the runbook behind it. </w:t>
      </w:r>
      <w:r>
        <w:t>CloudWatch firing on "10 failed auths" is noise unless someone knows what to do with it. The runbook written alongside each alarm is as important as the alarm itself.</w:t>
      </w:r>
    </w:p>
    <w:p>
      <w:r>
        <w:rPr>
          <w:b/>
        </w:rPr>
        <w:t xml:space="preserve">8. Cost-discipline matters at the educational scale too. </w:t>
      </w:r>
      <w:r>
        <w:t xml:space="preserve">The full stack costs roughly $7/day. Keeping the cluster up 24/7 burns through project budget quickly; </w:t>
      </w:r>
      <w:r>
        <w:rPr>
          <w:rFonts w:ascii="Consolas" w:hAnsi="Consolas"/>
          <w:sz w:val="20"/>
        </w:rPr>
        <w:t>terraform destroy</w:t>
      </w:r>
      <w:r>
        <w:t xml:space="preserve"> after each work session is the cheapest habit to form.</w:t>
      </w:r>
    </w:p>
    <w:p>
      <w:pPr>
        <w:pBdr>
          <w:bottom w:val="single" w:sz="8" w:space="1" w:color="BFBFBF"/>
        </w:pBdr>
      </w:pPr>
    </w:p>
    <w:p>
      <w:pPr>
        <w:pStyle w:val="Heading1"/>
      </w:pPr>
      <w:r>
        <w:rPr>
          <w:color w:val="1F3A5F"/>
        </w:rPr>
        <w:t>Appendix A — File Index</w:t>
      </w:r>
    </w:p>
    <w:p>
      <w:pPr>
        <w:pStyle w:val="ListBullet"/>
      </w:pPr>
      <w:r>
        <w:rPr>
          <w:rFonts w:ascii="Consolas" w:hAnsi="Consolas"/>
          <w:sz w:val="20"/>
        </w:rPr>
        <w:t>terraform/</w:t>
      </w:r>
      <w:r>
        <w:t xml:space="preserve"> — All infrastructure modules and root configuration</w:t>
      </w:r>
    </w:p>
    <w:p>
      <w:pPr>
        <w:pStyle w:val="ListBullet"/>
      </w:pPr>
      <w:r>
        <w:rPr>
          <w:rFonts w:ascii="Consolas" w:hAnsi="Consolas"/>
          <w:sz w:val="20"/>
        </w:rPr>
        <w:t>kubernetes/</w:t>
      </w:r>
      <w:r>
        <w:t xml:space="preserve"> — All cluster-level manifests, in subdirectories matching the deployment order</w:t>
      </w:r>
    </w:p>
    <w:p>
      <w:pPr>
        <w:pStyle w:val="ListBullet"/>
      </w:pPr>
      <w:r>
        <w:rPr>
          <w:rFonts w:ascii="Consolas" w:hAnsi="Consolas"/>
          <w:sz w:val="20"/>
        </w:rPr>
        <w:t>backend/</w:t>
      </w:r>
      <w:r>
        <w:t xml:space="preserve"> — Flask application source and hardened Dockerfile</w:t>
      </w:r>
    </w:p>
    <w:p>
      <w:pPr>
        <w:pStyle w:val="ListBullet"/>
      </w:pPr>
      <w:r>
        <w:rPr>
          <w:rFonts w:ascii="Consolas" w:hAnsi="Consolas"/>
          <w:sz w:val="20"/>
        </w:rPr>
        <w:t>frontend/</w:t>
      </w:r>
      <w:r>
        <w:t xml:space="preserve"> — React application source and hardened Dockerfile</w:t>
      </w:r>
    </w:p>
    <w:p>
      <w:pPr>
        <w:pStyle w:val="ListBullet"/>
      </w:pPr>
      <w:r>
        <w:rPr>
          <w:rFonts w:ascii="Consolas" w:hAnsi="Consolas"/>
          <w:sz w:val="20"/>
        </w:rPr>
        <w:t>.github/workflows/</w:t>
      </w:r>
      <w:r>
        <w:t xml:space="preserve"> — CI/CD pipelines (Trivy scan, ECR build-and-push)</w:t>
      </w:r>
    </w:p>
    <w:p>
      <w:pPr>
        <w:pStyle w:val="ListBullet"/>
      </w:pPr>
      <w:r>
        <w:rPr>
          <w:rFonts w:ascii="Consolas" w:hAnsi="Consolas"/>
          <w:sz w:val="20"/>
        </w:rPr>
        <w:t>docs/</w:t>
      </w:r>
      <w:r>
        <w:t xml:space="preserve"> — Phase-level deep dives, </w:t>
      </w:r>
      <w:r>
        <w:rPr>
          <w:rFonts w:ascii="Consolas" w:hAnsi="Consolas"/>
          <w:sz w:val="20"/>
        </w:rPr>
        <w:t>architecture-diagram.drawio</w:t>
      </w:r>
      <w:r>
        <w:t xml:space="preserve"> / </w:t>
      </w:r>
      <w:r>
        <w:rPr>
          <w:rFonts w:ascii="Consolas" w:hAnsi="Consolas"/>
          <w:sz w:val="20"/>
        </w:rPr>
        <w:t>.png</w:t>
      </w:r>
      <w:r>
        <w:t>, and this report</w:t>
      </w:r>
    </w:p>
    <w:p>
      <w:pPr>
        <w:pStyle w:val="Heading1"/>
      </w:pPr>
      <w:r>
        <w:rPr>
          <w:color w:val="1F3A5F"/>
        </w:rPr>
        <w:t>Appendix B — Command Reference</w:t>
      </w:r>
    </w:p>
    <w:tbl>
      <w:tblPr>
        <w:tblStyle w:val="LightGrid-Accent1"/>
        <w:tblW w:type="auto" w:w="0"/>
        <w:tblLayout w:type="autofit"/>
        <w:tblLook w:firstColumn="1" w:firstRow="1" w:lastColumn="0" w:lastRow="0" w:noHBand="0" w:noVBand="1" w:val="04A0"/>
      </w:tblPr>
      <w:tblGrid>
        <w:gridCol w:w="4873"/>
        <w:gridCol w:w="4873"/>
      </w:tblGrid>
      <w:tr>
        <w:tc>
          <w:tcPr>
            <w:tcW w:type="dxa" w:w="4873"/>
            <w:shd w:val="clear" w:color="auto" w:fill="1F3A5F"/>
          </w:tcPr>
          <w:p>
            <w:r>
              <w:rPr>
                <w:color w:val="FFFFFF"/>
              </w:rPr>
            </w:r>
            <w:r>
              <w:rPr>
                <w:b/>
                <w:color w:val="FFFFFF"/>
                <w:sz w:val="20"/>
              </w:rPr>
              <w:t>Task</w:t>
            </w:r>
          </w:p>
        </w:tc>
        <w:tc>
          <w:tcPr>
            <w:tcW w:type="dxa" w:w="4873"/>
            <w:shd w:val="clear" w:color="auto" w:fill="1F3A5F"/>
          </w:tcPr>
          <w:p>
            <w:r>
              <w:rPr>
                <w:color w:val="FFFFFF"/>
              </w:rPr>
            </w:r>
            <w:r>
              <w:rPr>
                <w:b/>
                <w:color w:val="FFFFFF"/>
                <w:sz w:val="20"/>
              </w:rPr>
              <w:t>Command</w:t>
            </w:r>
          </w:p>
        </w:tc>
      </w:tr>
      <w:tr>
        <w:tc>
          <w:tcPr>
            <w:tcW w:type="dxa" w:w="4873"/>
          </w:tcPr>
          <w:p>
            <w:r>
              <w:rPr>
                <w:sz w:val="20"/>
              </w:rPr>
            </w:r>
            <w:r>
              <w:rPr>
                <w:sz w:val="20"/>
              </w:rPr>
              <w:t>Provision everything</w:t>
            </w:r>
          </w:p>
        </w:tc>
        <w:tc>
          <w:tcPr>
            <w:tcW w:type="dxa" w:w="4873"/>
          </w:tcPr>
          <w:p>
            <w:r>
              <w:rPr>
                <w:sz w:val="20"/>
              </w:rPr>
            </w:r>
            <w:r>
              <w:rPr>
                <w:rFonts w:ascii="Consolas" w:hAnsi="Consolas"/>
                <w:sz w:val="20"/>
              </w:rPr>
              <w:t>cd terraform &amp;&amp; terraform apply</w:t>
            </w:r>
          </w:p>
        </w:tc>
      </w:tr>
      <w:tr>
        <w:tc>
          <w:tcPr>
            <w:tcW w:type="dxa" w:w="4873"/>
          </w:tcPr>
          <w:p>
            <w:r>
              <w:rPr>
                <w:sz w:val="20"/>
              </w:rPr>
            </w:r>
            <w:r>
              <w:rPr>
                <w:sz w:val="20"/>
              </w:rPr>
              <w:t>Configure kubectl</w:t>
            </w:r>
          </w:p>
        </w:tc>
        <w:tc>
          <w:tcPr>
            <w:tcW w:type="dxa" w:w="4873"/>
          </w:tcPr>
          <w:p>
            <w:r>
              <w:rPr>
                <w:sz w:val="20"/>
              </w:rPr>
            </w:r>
            <w:r>
              <w:rPr>
                <w:rFonts w:ascii="Consolas" w:hAnsi="Consolas"/>
                <w:sz w:val="20"/>
              </w:rPr>
              <w:t>aws eks update-kubeconfig --region us-west-2 --name fintech-secure-dev</w:t>
            </w:r>
          </w:p>
        </w:tc>
      </w:tr>
      <w:tr>
        <w:tc>
          <w:tcPr>
            <w:tcW w:type="dxa" w:w="4873"/>
          </w:tcPr>
          <w:p>
            <w:r>
              <w:rPr>
                <w:sz w:val="20"/>
              </w:rPr>
            </w:r>
            <w:r>
              <w:rPr>
                <w:sz w:val="20"/>
              </w:rPr>
              <w:t>Apply all K8s manifests</w:t>
            </w:r>
          </w:p>
        </w:tc>
        <w:tc>
          <w:tcPr>
            <w:tcW w:type="dxa" w:w="4873"/>
          </w:tcPr>
          <w:p>
            <w:r>
              <w:rPr>
                <w:sz w:val="20"/>
              </w:rPr>
            </w:r>
            <w:r>
              <w:rPr>
                <w:rFonts w:ascii="Consolas" w:hAnsi="Consolas"/>
                <w:sz w:val="20"/>
              </w:rPr>
              <w:t>kubectl apply -R -f kubernetes/</w:t>
            </w:r>
            <w:r>
              <w:rPr>
                <w:sz w:val="20"/>
              </w:rPr>
              <w:t xml:space="preserve"> (after substituting placeholders)</w:t>
            </w:r>
          </w:p>
        </w:tc>
      </w:tr>
      <w:tr>
        <w:tc>
          <w:tcPr>
            <w:tcW w:type="dxa" w:w="4873"/>
          </w:tcPr>
          <w:p>
            <w:r>
              <w:rPr>
                <w:sz w:val="20"/>
              </w:rPr>
            </w:r>
            <w:r>
              <w:rPr>
                <w:sz w:val="20"/>
              </w:rPr>
              <w:t>View audit log</w:t>
            </w:r>
          </w:p>
        </w:tc>
        <w:tc>
          <w:tcPr>
            <w:tcW w:type="dxa" w:w="4873"/>
          </w:tcPr>
          <w:p>
            <w:r>
              <w:rPr>
                <w:sz w:val="20"/>
              </w:rPr>
            </w:r>
            <w:r>
              <w:rPr>
                <w:rFonts w:ascii="Consolas" w:hAnsi="Consolas"/>
                <w:sz w:val="20"/>
              </w:rPr>
              <w:t>aws logs tail /aws/eks/fintech-secure-dev/cluster --since 10m</w:t>
            </w:r>
          </w:p>
        </w:tc>
      </w:tr>
      <w:tr>
        <w:tc>
          <w:tcPr>
            <w:tcW w:type="dxa" w:w="4873"/>
          </w:tcPr>
          <w:p>
            <w:r>
              <w:rPr>
                <w:sz w:val="20"/>
              </w:rPr>
            </w:r>
            <w:r>
              <w:rPr>
                <w:sz w:val="20"/>
              </w:rPr>
              <w:t>List GuardDuty findings</w:t>
            </w:r>
          </w:p>
        </w:tc>
        <w:tc>
          <w:tcPr>
            <w:tcW w:type="dxa" w:w="4873"/>
          </w:tcPr>
          <w:p>
            <w:r>
              <w:rPr>
                <w:sz w:val="20"/>
              </w:rPr>
            </w:r>
            <w:r>
              <w:rPr>
                <w:rFonts w:ascii="Consolas" w:hAnsi="Consolas"/>
                <w:sz w:val="20"/>
              </w:rPr>
              <w:t>aws guardduty list-findings --detector-id &lt;id&gt;</w:t>
            </w:r>
          </w:p>
        </w:tc>
      </w:tr>
      <w:tr>
        <w:tc>
          <w:tcPr>
            <w:tcW w:type="dxa" w:w="4873"/>
          </w:tcPr>
          <w:p>
            <w:r>
              <w:rPr>
                <w:sz w:val="20"/>
              </w:rPr>
            </w:r>
            <w:r>
              <w:rPr>
                <w:sz w:val="20"/>
              </w:rPr>
              <w:t>Tear down everything</w:t>
            </w:r>
          </w:p>
        </w:tc>
        <w:tc>
          <w:tcPr>
            <w:tcW w:type="dxa" w:w="4873"/>
          </w:tcPr>
          <w:p>
            <w:r>
              <w:rPr>
                <w:sz w:val="20"/>
              </w:rPr>
            </w:r>
            <w:r>
              <w:rPr>
                <w:rFonts w:ascii="Consolas" w:hAnsi="Consolas"/>
                <w:sz w:val="20"/>
              </w:rPr>
              <w:t>kubectl delete -R -f kubernetes/ &amp;&amp; cd terraform &amp;&amp; terraform destroy</w:t>
            </w:r>
          </w:p>
        </w:tc>
      </w:tr>
    </w:tbl>
    <w:p/>
    <w:p>
      <w:pPr>
        <w:pStyle w:val="Heading1"/>
      </w:pPr>
      <w:r>
        <w:rPr>
          <w:color w:val="1F3A5F"/>
        </w:rPr>
        <w:t>Appendix C — References</w:t>
      </w:r>
    </w:p>
    <w:p>
      <w:pPr>
        <w:pStyle w:val="ListBullet"/>
      </w:pPr>
      <w:r>
        <w:t>AWS EKS Best Practices Guide — https://aws.github.io/aws-eks-best-practices/</w:t>
      </w:r>
    </w:p>
    <w:p>
      <w:pPr>
        <w:pStyle w:val="ListBullet"/>
      </w:pPr>
      <w:r>
        <w:t>Kubernetes Pod Security Standards — https://kubernetes.io/docs/concepts/security/pod-security-standards/</w:t>
      </w:r>
    </w:p>
    <w:p>
      <w:pPr>
        <w:pStyle w:val="ListBullet"/>
      </w:pPr>
      <w:r>
        <w:t>CIS Amazon EKS Benchmark v1.5</w:t>
      </w:r>
    </w:p>
    <w:p>
      <w:pPr>
        <w:pStyle w:val="ListBullet"/>
      </w:pPr>
      <w:r>
        <w:t>NIST SP 800-190 — Application Container Security Guide</w:t>
      </w:r>
    </w:p>
    <w:p>
      <w:pPr>
        <w:pStyle w:val="ListBullet"/>
      </w:pPr>
      <w:r>
        <w:t>OWASP Kubernetes Top 10</w:t>
      </w:r>
    </w:p>
    <w:sectPr w:rsidR="00FC693F" w:rsidRPr="0006063C" w:rsidSect="00034616">
      <w:pgSz w:w="12240" w:h="15840"/>
      <w:pgMar w:top="1247" w:right="1247" w:bottom="1247"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