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color w:val="666666"/>
          <w:sz w:val="20"/>
          <w:szCs w:val="20"/>
        </w:rPr>
        <w:t xml:space="preserve">CS587 — Individual Research Project</w:t>
      </w:r>
    </w:p>
    <w:p>
      <w:pPr>
        <w:pBdr>
          <w:bottom w:val="single" w:color="2E75B6" w:sz="6" w:space="4"/>
        </w:pBdr>
        <w:spacing w:after="60"/>
        <w:jc w:val="center"/>
      </w:pPr>
      <w:r>
        <w:rPr>
          <w:b/>
          <w:bCs/>
          <w:color w:val="1F3864"/>
          <w:sz w:val="34"/>
          <w:szCs w:val="34"/>
        </w:rPr>
        <w:t xml:space="preserve">Data Analysis Report</w:t>
      </w:r>
    </w:p>
    <w:p>
      <w:pPr>
        <w:spacing w:after="40" w:before="120"/>
        <w:jc w:val="center"/>
      </w:pPr>
      <w:r>
        <w:rPr>
          <w:b/>
          <w:bCs/>
          <w:sz w:val="24"/>
          <w:szCs w:val="24"/>
        </w:rPr>
        <w:t xml:space="preserve">Relational Reasoning in Vision-Language Models Across a Compute Spectrum:</w:t>
      </w:r>
    </w:p>
    <w:p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 xml:space="preserve">A Preliminary Evaluation of Scale-Dependent Degradation</w:t>
      </w:r>
    </w:p>
    <w:p>
      <w:pPr>
        <w:spacing w:after="30"/>
        <w:jc w:val="center"/>
      </w:pPr>
      <w:r>
        <w:rPr>
          <w:b/>
          <w:bCs/>
          <w:sz w:val="22"/>
          <w:szCs w:val="22"/>
        </w:rPr>
        <w:t xml:space="preserve">Tabeen Raoof</w:t>
      </w:r>
      <w:r>
        <w:rPr>
          <w:sz w:val="22"/>
          <w:szCs w:val="22"/>
        </w:rPr>
        <w:t xml:space="preserve">      </w:t>
      </w:r>
      <w:r>
        <w:rPr>
          <w:i/>
          <w:iCs/>
          <w:color w:val="C00000"/>
          <w:sz w:val="20"/>
          <w:szCs w:val="20"/>
        </w:rPr>
        <w:t xml:space="preserve">[CONFIRM: student ID]</w:t>
      </w:r>
      <w:r>
        <w:rPr>
          <w:sz w:val="22"/>
          <w:szCs w:val="22"/>
        </w:rPr>
        <w:t xml:space="preserve">      </w:t>
      </w:r>
      <w:r>
        <w:rPr>
          <w:i/>
          <w:iCs/>
          <w:color w:val="C00000"/>
          <w:sz w:val="20"/>
          <w:szCs w:val="20"/>
        </w:rPr>
        <w:t xml:space="preserve">[CONFIRM: date]</w:t>
      </w:r>
    </w:p>
    <w:p>
      <w:pPr>
        <w:spacing w:after="260"/>
        <w:jc w:val="center"/>
      </w:pPr>
      <w:r>
        <w:rPr>
          <w:color w:val="666666"/>
          <w:sz w:val="20"/>
          <w:szCs w:val="20"/>
        </w:rPr>
        <w:t xml:space="preserve">M.S. Computer Science (AI/ML) — San Francisco Bay University</w:t>
      </w:r>
    </w:p>
    <w:p>
      <w:pPr>
        <w:pStyle w:val="Heading1"/>
        <w:spacing w:after="120" w:before="280"/>
      </w:pPr>
      <w:r>
        <w:t xml:space="preserve">1. Introduction and Research Question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Vision-language models (VLMs) are increasingly deployed as the perception layer of robotic and embodied systems, where a model must reason about the </w:t>
      </w:r>
      <w:r>
        <w:rPr>
          <w:i/>
          <w:iCs/>
          <w:sz w:val="22"/>
          <w:szCs w:val="22"/>
        </w:rPr>
        <w:t xml:space="preserve">relationships</w:t>
      </w:r>
      <w:r>
        <w:rPr>
          <w:sz w:val="22"/>
          <w:szCs w:val="22"/>
        </w:rPr>
        <w:t xml:space="preserve"> between objects in a scene, not merely recognize the objects themselves. Deployment on such systems, however, pushes toward smaller and more heavily quantized models that fit on power- and memory-constrained edge hardware. This study measures how reliably relational reasoning survives reductions in model scale.</w:t>
      </w:r>
    </w:p>
    <w:p>
      <w:pPr>
        <w:spacing w:after="140" w:line="276"/>
        <w:jc w:val="both"/>
      </w:pPr>
      <w:r>
        <w:rPr>
          <w:b/>
          <w:bCs/>
          <w:sz w:val="22"/>
          <w:szCs w:val="22"/>
        </w:rPr>
        <w:t xml:space="preserve">Research question. </w:t>
      </w:r>
      <w:r>
        <w:rPr>
          <w:sz w:val="22"/>
          <w:szCs w:val="22"/>
        </w:rPr>
        <w:t xml:space="preserve">Across a spectrum of model compute, which classes of visual relational reasoning degrade, and do they degrade uniformly or differentially? This report presents a preliminary analysis across three model scales; on-device evaluation on quantized edge hardware (NVIDIA Jetson Orin Nano) is in progress and will be incorporated into the final paper.</w:t>
      </w:r>
    </w:p>
    <w:p>
      <w:pPr>
        <w:spacing w:after="140" w:line="276"/>
        <w:jc w:val="both"/>
      </w:pPr>
      <w:r>
        <w:rPr>
          <w:b/>
          <w:bCs/>
          <w:sz w:val="22"/>
          <w:szCs w:val="22"/>
        </w:rPr>
        <w:t xml:space="preserve">Hypotheses. </w:t>
      </w:r>
      <w:r>
        <w:rPr>
          <w:sz w:val="22"/>
          <w:szCs w:val="22"/>
        </w:rPr>
        <w:t xml:space="preserve">H1: degradation is non-uniform across relation types. H2 (deferred to on-device work): precision reduction affects smaller models disproportionately. This report primarily addresses H1 along the model-scale axis.</w:t>
      </w:r>
    </w:p>
    <w:p>
      <w:pPr>
        <w:pStyle w:val="Heading1"/>
        <w:spacing w:after="120" w:before="280"/>
      </w:pPr>
      <w:r>
        <w:t xml:space="preserve">2. Data and Preparation</w:t>
      </w:r>
    </w:p>
    <w:p>
      <w:pPr>
        <w:pStyle w:val="Heading2"/>
        <w:spacing w:after="80" w:before="180"/>
      </w:pPr>
      <w:r>
        <w:t xml:space="preserve">2.1 Data source and evaluation set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Evaluation items were drawn from the Visual Spatial Reasoning (VSR) dataset (Liu, Emerson &amp; Collier, TACL 2023), a benchmark of true/false judgments about spatial relations in real images (licensed CC-BY-4.0). This is </w:t>
      </w:r>
      <w:r>
        <w:rPr>
          <w:b/>
          <w:bCs/>
          <w:sz w:val="22"/>
          <w:szCs w:val="22"/>
        </w:rPr>
        <w:t xml:space="preserve">secondary data</w:t>
      </w:r>
      <w:r>
        <w:rPr>
          <w:sz w:val="22"/>
          <w:szCs w:val="22"/>
        </w:rPr>
        <w:t xml:space="preserve"> — curated, not collected firsthand. Items were filtered into two relation categories and sampled into a balanced evaluation set.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E75B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Design element</w:t>
            </w:r>
          </w:p>
        </w:tc>
        <w:tc>
          <w:tcPr>
            <w:tcW w:type="dxa" w:w="6360"/>
            <w:shd w:fill="2E75B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36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Projective spatial (e.g. left of, above, behind); topological containment (e.g. inside, contains, at the edge of)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Sample size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300 items — 150 per category, balanced 75 True / 75 False within each</w:t>
            </w:r>
          </w:p>
        </w:tc>
      </w:tr>
      <w:tr>
        <w:tc>
          <w:tcPr>
            <w:tcW w:type="dxa" w:w="300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Sampling</w:t>
            </w:r>
          </w:p>
        </w:tc>
        <w:tc>
          <w:tcPr>
            <w:tcW w:type="dxa" w:w="636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Deterministic hash-ranked, label-stratified, fixed seed (reproducible; nesting-safe)</w:t>
            </w:r>
          </w:p>
        </w:tc>
      </w:tr>
      <w:t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Item identity</w:t>
            </w:r>
          </w:p>
        </w:tc>
        <w:tc>
          <w:tcPr>
            <w:tcW w:type="dxa" w:w="6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Content-derived SHA-256 hash, enabling item-level pairing across model runs</w:t>
            </w:r>
          </w:p>
        </w:tc>
      </w:tr>
      <w:tr>
        <w:tc>
          <w:tcPr>
            <w:tcW w:type="dxa" w:w="300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Excluded</w:t>
            </w:r>
          </w:p>
        </w:tc>
        <w:tc>
          <w:tcPr>
            <w:tcW w:type="dxa" w:w="636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Proximity relations (near, next to) and ambiguous contact relations, as out of scope</w:t>
            </w:r>
          </w:p>
        </w:tc>
      </w:tr>
    </w:tbl>
    <w:p>
      <w:pPr>
        <w:spacing w:after="60" w:line="276"/>
        <w:jc w:val="both"/>
      </w:pPr>
    </w:p>
    <w:p>
      <w:pPr>
        <w:pStyle w:val="Heading2"/>
        <w:spacing w:after="80" w:before="180"/>
      </w:pPr>
      <w:r>
        <w:t xml:space="preserve">2.2 Models evaluated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Three models spanning a compute spectrum, all evaluated on the identical 300-item set: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sz w:val="22"/>
          <w:szCs w:val="22"/>
        </w:rPr>
        <w:t xml:space="preserve">Qwen2.5-VL-3B </w:t>
      </w:r>
      <w:r>
        <w:rPr>
          <w:sz w:val="22"/>
          <w:szCs w:val="22"/>
        </w:rPr>
        <w:t xml:space="preserve">— small open model, run locally (Ollama), representing the edge-deployable tier.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sz w:val="22"/>
          <w:szCs w:val="22"/>
        </w:rPr>
        <w:t xml:space="preserve">Qwen2.5-VL-7B </w:t>
      </w:r>
      <w:r>
        <w:rPr>
          <w:sz w:val="22"/>
          <w:szCs w:val="22"/>
        </w:rPr>
        <w:t xml:space="preserve">— larger open model of the same architecture family, run locally. Same-family scaling isolates the effect of size.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sz w:val="22"/>
          <w:szCs w:val="22"/>
        </w:rPr>
        <w:t xml:space="preserve">Gemini 2.5 Flash </w:t>
      </w:r>
      <w:r>
        <w:rPr>
          <w:sz w:val="22"/>
          <w:szCs w:val="22"/>
        </w:rPr>
        <w:t xml:space="preserve">— frontier API model, serving as the least-constrained ceiling reference.</w:t>
      </w:r>
    </w:p>
    <w:p>
      <w:pPr>
        <w:pStyle w:val="Heading2"/>
        <w:spacing w:after="80" w:before="180"/>
      </w:pPr>
      <w:r>
        <w:t xml:space="preserve">2.3 Procedure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Each item presented the image and its caption; the model judged the caption True or False via a fixed single-word prompt (identical across all three models, so the only variable is the model). Responses were parsed to yes/no and scored against ground truth. The pipeline recorded, per item: raw response, parsed label, correctness, and latency. Runs were crash-safe and resumable.</w:t>
      </w:r>
    </w:p>
    <w:p>
      <w:pPr>
        <w:pStyle w:val="Heading2"/>
        <w:spacing w:after="80" w:before="180"/>
      </w:pPr>
      <w:r>
        <w:t xml:space="preserve">2.4 Data Preparation and Quality Control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Two data-integrity bugs were identified and fixed before analysis. First, item identifiers were originally positional, which would have silently mis-paired items across model runs; they were made content-derived (hash-based) so identical items align across runs. Second, a resume routine skipped previously-errored items on rerun, which would have shrunk the effective sample; it was corrected to retry them. A label-balance and taxonomy-coverage check confirmed all relations were accounted for.</w:t>
      </w:r>
    </w:p>
    <w:p>
      <w:pPr>
        <w:spacing w:after="140" w:line="276"/>
        <w:jc w:val="both"/>
      </w:pPr>
      <w:r>
        <w:rPr>
          <w:b/>
          <w:bCs/>
          <w:sz w:val="22"/>
          <w:szCs w:val="22"/>
        </w:rPr>
        <w:t xml:space="preserve">Output quality was high across all three runs: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3120"/>
            <w:shd w:fill="2E75B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60"/>
            <w:shd w:fill="2E75B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Items</w:t>
            </w:r>
          </w:p>
        </w:tc>
        <w:tc>
          <w:tcPr>
            <w:tcW w:type="dxa" w:w="1560"/>
            <w:shd w:fill="2E75B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Errors</w:t>
            </w:r>
          </w:p>
        </w:tc>
        <w:tc>
          <w:tcPr>
            <w:tcW w:type="dxa" w:w="1560"/>
            <w:shd w:fill="2E75B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Unparseable</w:t>
            </w:r>
          </w:p>
        </w:tc>
        <w:tc>
          <w:tcPr>
            <w:tcW w:type="dxa" w:w="1560"/>
            <w:shd w:fill="2E75B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Unique IDs</w:t>
            </w:r>
          </w:p>
        </w:tc>
      </w:tr>
      <w:tr>
        <w:tc>
          <w:tcPr>
            <w:tcW w:type="dxa" w:w="312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156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156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Qwen2.5-VL-7B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312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Qwen2.5-VL-3B</w:t>
            </w:r>
          </w:p>
        </w:tc>
        <w:tc>
          <w:tcPr>
            <w:tcW w:type="dxa" w:w="156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156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</w:tr>
    </w:tbl>
    <w:p>
      <w:pPr>
        <w:spacing w:after="60" w:line="276"/>
        <w:jc w:val="both"/>
      </w:pPr>
      <w:r>
        <w:rPr>
          <w:i/>
          <w:iCs/>
          <w:sz w:val="22"/>
          <w:szCs w:val="22"/>
        </w:rPr>
        <w:t xml:space="preserve">All three runs completed with zero errors and zero unparseable responses; item identifiers were verified identical across models, enabling paired analysis.</w:t>
      </w:r>
    </w:p>
    <w:p>
      <w:pPr>
        <w:pStyle w:val="Heading1"/>
        <w:spacing w:after="120" w:before="280"/>
      </w:pPr>
      <w:r>
        <w:t xml:space="preserve">3. Analysis Methods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Quantitative, with the following tests: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sz w:val="22"/>
          <w:szCs w:val="22"/>
        </w:rPr>
        <w:t xml:space="preserve">Two-proportion z-tests </w:t>
      </w:r>
      <w:r>
        <w:rPr>
          <w:sz w:val="22"/>
          <w:szCs w:val="22"/>
        </w:rPr>
        <w:t xml:space="preserve">as an unpaired cross-check on overall model accuracy differences.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sz w:val="22"/>
          <w:szCs w:val="22"/>
        </w:rPr>
        <w:t xml:space="preserve">McNemar's paired test </w:t>
      </w:r>
      <w:r>
        <w:rPr>
          <w:sz w:val="22"/>
          <w:szCs w:val="22"/>
        </w:rPr>
        <w:t xml:space="preserve">for model comparisons on identical items (higher power; controls for item difficulty).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sz w:val="22"/>
          <w:szCs w:val="22"/>
        </w:rPr>
        <w:t xml:space="preserve">Fisher's exact test </w:t>
      </w:r>
      <w:r>
        <w:rPr>
          <w:sz w:val="22"/>
          <w:szCs w:val="22"/>
        </w:rPr>
        <w:t xml:space="preserve">for the association between model errors and human-contested items (exact, appropriate at small cell counts).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sz w:val="22"/>
          <w:szCs w:val="22"/>
        </w:rPr>
        <w:t xml:space="preserve">Spearman rank correlation </w:t>
      </w:r>
      <w:r>
        <w:rPr>
          <w:sz w:val="22"/>
          <w:szCs w:val="22"/>
        </w:rPr>
        <w:t xml:space="preserve">of per-relation accuracy across models, to test whether the difficulty ranking is shared (rank-based; on relations with at least 5 evaluation items).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sz w:val="22"/>
          <w:szCs w:val="22"/>
        </w:rPr>
        <w:t xml:space="preserve">Signal detection </w:t>
      </w:r>
      <w:r>
        <w:rPr>
          <w:sz w:val="22"/>
          <w:szCs w:val="22"/>
        </w:rPr>
        <w:t xml:space="preserve">(hit rate vs. false-alarm rate) to separate genuine discrimination from response bias.</w:t>
      </w:r>
    </w:p>
    <w:p>
      <w:pPr>
        <w:pStyle w:val="Heading1"/>
        <w:spacing w:after="120" w:before="280"/>
      </w:pPr>
      <w:r>
        <w:t xml:space="preserve">4. Results</w:t>
      </w:r>
    </w:p>
    <w:p>
      <w:pPr>
        <w:pStyle w:val="Heading2"/>
        <w:spacing w:after="80" w:before="180"/>
      </w:pPr>
      <w:r>
        <w:t xml:space="preserve">4.1 Overall accuracy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Aggregate accuracy was 81.7% (Gemini), 82.3% (7B), and 76.7% (3B). Notably, the frontier model and the 7B open model were statistically indistinguishable (0.7pp, p = 0.8317): scaling from 7B to a frontier model bought no measurable aggregate accuracy on this task. The 3B model was lower, but the unpaired difference from 7B did not reach significance (p = 0.0848).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760"/>
        <w:gridCol w:w="2200"/>
        <w:gridCol w:w="2200"/>
        <w:gridCol w:w="2200"/>
      </w:tblGrid>
      <w:tr>
        <w:trPr>
          <w:tblHeader/>
        </w:trPr>
        <w:tc>
          <w:tcPr>
            <w:tcW w:type="dxa" w:w="2760"/>
            <w:shd w:fill="2E75B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shd w:fill="2E75B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Overall</w:t>
            </w:r>
          </w:p>
        </w:tc>
        <w:tc>
          <w:tcPr>
            <w:tcW w:type="dxa" w:w="2200"/>
            <w:shd w:fill="2E75B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Projective</w:t>
            </w:r>
          </w:p>
        </w:tc>
        <w:tc>
          <w:tcPr>
            <w:tcW w:type="dxa" w:w="2200"/>
            <w:shd w:fill="2E75B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Containment</w:t>
            </w:r>
          </w:p>
        </w:tc>
      </w:tr>
      <w:tr>
        <w:tc>
          <w:tcPr>
            <w:tcW w:type="dxa" w:w="276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220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81.7%</w:t>
            </w:r>
          </w:p>
        </w:tc>
        <w:tc>
          <w:tcPr>
            <w:tcW w:type="dxa" w:w="220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77.3%</w:t>
            </w:r>
          </w:p>
        </w:tc>
        <w:tc>
          <w:tcPr>
            <w:tcW w:type="dxa" w:w="220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86%</w:t>
            </w:r>
          </w:p>
        </w:tc>
      </w:tr>
      <w:tr>
        <w:tc>
          <w:tcPr>
            <w:tcW w:type="dxa" w:w="27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Qwen2.5-VL-7B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82.3%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82%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82.7%</w:t>
            </w:r>
          </w:p>
        </w:tc>
      </w:tr>
      <w:tr>
        <w:tc>
          <w:tcPr>
            <w:tcW w:type="dxa" w:w="276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Qwen2.5-VL-3B</w:t>
            </w:r>
          </w:p>
        </w:tc>
        <w:tc>
          <w:tcPr>
            <w:tcW w:type="dxa" w:w="220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76.7%</w:t>
            </w:r>
          </w:p>
        </w:tc>
        <w:tc>
          <w:tcPr>
            <w:tcW w:type="dxa" w:w="220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70.7%</w:t>
            </w:r>
          </w:p>
        </w:tc>
        <w:tc>
          <w:tcPr>
            <w:tcW w:type="dxa" w:w="220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82.7%</w:t>
            </w:r>
          </w:p>
        </w:tc>
      </w:tr>
    </w:tbl>
    <w:p>
      <w:pPr>
        <w:spacing w:after="140"/>
      </w:pPr>
      <w:r>
        <w:rPr>
          <w:i/>
          <w:iCs/>
          <w:color w:val="666666"/>
          <w:sz w:val="18"/>
          <w:szCs w:val="18"/>
        </w:rPr>
        <w:t>Table 3. Accuracy overall and by relation category. The containment column is flat across all three scales; the projective column is not.</w:t>
      </w:r>
    </w:p>
    <w:p>
      <w:pPr>
        <w:pStyle w:val="Heading2"/>
        <w:spacing w:after="80" w:before="180"/>
      </w:pPr>
      <w:r>
        <w:t xml:space="preserve">4.2 The key finding: degradation is concentrated in one category</w:t>
      </w:r>
    </w:p>
    <w:p>
      <w:pPr>
        <w:spacing w:after="140" w:line="276"/>
        <w:jc w:val="both"/>
      </w:pPr>
      <w:r>
        <w:rPr>
          <w:b/>
          <w:bCs/>
          <w:sz w:val="22"/>
          <w:szCs w:val="22"/>
        </w:rPr>
        <w:t xml:space="preserve">The aggregate hides the important result. </w:t>
      </w:r>
      <w:r>
        <w:rPr>
          <w:sz w:val="22"/>
          <w:szCs w:val="22"/>
        </w:rPr>
        <w:t xml:space="preserve">A paired McNemar test confirms the 3B model is genuinely worse than the 7B model (5.7pp, 95% CI [1.4, 9.9], p = 0.01372). But that deficit is not spread evenly. Reducing scale from 7B to 3B produced a significant 11.3pp drop in projective-spatial accuracy (82% → 70.7%, paired McNemar p = 0.003) and essentially no change in topological containment (82.7% → 82.7%, McNemar p = 0.79).</w:t>
      </w:r>
    </w:p>
    <w:p>
      <w:pPr>
        <w:spacing w:after="40" w:before="120"/>
        <w:jc w:val="center"/>
      </w:pPr>
      <w:r>
        <w:drawing>
          <wp:inline distT="0" distB="0" distL="0" distR="0">
            <wp:extent cx="3810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66666"/>
          <w:sz w:val="18"/>
          <w:szCs w:val="18"/>
        </w:rPr>
        <w:t xml:space="preserve">Figure 1. Category-level accuracy across three model scales. All degradation from 7B to 3B is concentrated in projective-spatial relations; containment is unaffected.</w:t>
      </w:r>
    </w:p>
    <w:p>
      <w:pPr>
        <w:pStyle w:val="Heading2"/>
        <w:spacing w:after="80" w:before="180"/>
      </w:pPr>
      <w:r>
        <w:t xml:space="preserve">4.3 Relation difficulty is substantially shared across scale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Because per-relation accuracy is noisy when a relation has few items, the difficulty ranking is compared with Spearman rank correlation over the 20 relations that have at least 5 evaluation items. Which relations are hard is strongly and similarly shared across all three models (Gemini–7B ρ = 0.71; Gemini–3B ρ = 0.65; 7B–3B ρ = 0.65; all p &lt; 0.01), and the association stays significant when the threshold is relaxed to ≥3 items (ρ = 0.45–0.56, all p &lt; 0.03). Which specific relations are hard is therefore substantially a property of the task rather than of any one model. This is reported with a rank-based statistic deliberately: a Pearson correlation on the same data is sensitive to the item-count threshold (it is weak and non-significant if every low-count relation is pooled in), so the rank measure is the more robust summary.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66666"/>
          <w:sz w:val="18"/>
          <w:szCs w:val="18"/>
        </w:rPr>
        <w:t xml:space="preserve">Figure 2. Per-relation accuracy across three scales, sorted by Gemini accuracy. Label color indicates category. Most relations track together; several projective relations (e.g. “left of”, “above”) break sharply downward only at 3B.</w:t>
      </w:r>
    </w:p>
    <w:p>
      <w:pPr>
        <w:pStyle w:val="Heading2"/>
        <w:spacing w:after="80" w:before="180"/>
      </w:pPr>
      <w:r>
        <w:t xml:space="preserve">4.4 Errors concentrate on human-contested items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VSR ships validator votes; 52 of 300 items (17.3%) had at least one validator disagree with the gold label, implying a human ceiling of 94.3% rather than 100%. Model errors concentrate on exactly these contested items. For the 3B model the effect is strong (80.6% accuracy on unanimous items vs. 57.7% on contested; 2.19× error rate, Fisher p &lt; 0.001); for Gemini it is present but weaker (1.79×, p = 0.0468); for the 7B model it is not significant (1.25×, p = 0.5481). Crucially, on the 248 items where all human validators agreed, all three models still leave roughly 16–19 points on the table — so the accuracy plateau reflects genuine capability failure, not annotation noise.</w:t>
      </w:r>
    </w:p>
    <w:p>
      <w:pPr>
        <w:pStyle w:val="Heading2"/>
        <w:spacing w:after="80" w:before="180"/>
      </w:pPr>
      <w:r>
        <w:t xml:space="preserve">4.5 The response bias is a prompt-framing artifact, not a capability gap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All three models answered False more readily than True: true-recall was 64.7% (3B), 72.7% (7B) and 70.0% (Gemini), against false-specificity of 88.7%, 92.0% and 93.3% respectively (signal-detection criterion c between 0.39 and 0.48, all positive). Because the evaluation set is balanced 50/50, this conservative criterion lowers accuracy without reflecting a discrimination failure. Sensitivity (d′) confirms this: it is high for every model, and the 3B model’s projective deficit appears as a genuine drop in sensitivity on that category (d′ = 1.18 versus 1.99 for the 7B), not merely a shift in response criterion — so the category effect is perceptual, not a bias artifact.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A direct control confirms the bias is driven by question wording. Re-running Gemini on 100 items with the question polarity reversed (asking whether the caption is false) raised true-recall from 72% to 84% (McNemar p = 0.031) and equalised recall and specificity, with no change in overall accuracy (p = 1.0). The response bias is therefore a property of the yes/no framing rather than of any one model; it is reported here but not corrected in the accuracy figures. This control was run on Gemini only, so its generalisation to the Qwen tiers is assumed rather than demonstrated.</w:t>
      </w:r>
    </w:p>
    <w:p>
      <w:pPr>
        <w:pStyle w:val="Heading1"/>
        <w:spacing w:after="120" w:before="280"/>
      </w:pPr>
      <w:r>
        <w:t xml:space="preserve">5. Interpretation</w:t>
      </w:r>
    </w:p>
    <w:p>
      <w:pPr>
        <w:pStyle w:val="Heading2"/>
        <w:spacing w:after="80" w:before="180"/>
      </w:pPr>
      <w:r>
        <w:t xml:space="preserve">5.1 Revised H1: non-uniform, and inverted from the prediction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H1 predicted non-uniform degradation across categories, with containment expected to be the </w:t>
      </w:r>
      <w:r>
        <w:rPr>
          <w:i/>
          <w:iCs/>
          <w:sz w:val="22"/>
          <w:szCs w:val="22"/>
        </w:rPr>
        <w:t xml:space="preserve">more</w:t>
      </w:r>
      <w:r>
        <w:rPr>
          <w:sz w:val="22"/>
          <w:szCs w:val="22"/>
        </w:rPr>
        <w:t xml:space="preserve"> fragile category. The data support the non-uniformity but reverse the direction: topological containment is </w:t>
      </w:r>
      <w:r>
        <w:rPr>
          <w:b/>
          <w:bCs/>
          <w:sz w:val="22"/>
          <w:szCs w:val="22"/>
        </w:rPr>
        <w:t xml:space="preserve">compute-robust</w:t>
      </w:r>
      <w:r>
        <w:rPr>
          <w:sz w:val="22"/>
          <w:szCs w:val="22"/>
        </w:rPr>
        <w:t xml:space="preserve"> (no measurable degradation from 7B to 3B), while projective-spatial reasoning is </w:t>
      </w:r>
      <w:r>
        <w:rPr>
          <w:b/>
          <w:bCs/>
          <w:sz w:val="22"/>
          <w:szCs w:val="22"/>
        </w:rPr>
        <w:t xml:space="preserve">compute-sensitive</w:t>
      </w:r>
      <w:r>
        <w:rPr>
          <w:sz w:val="22"/>
          <w:szCs w:val="22"/>
        </w:rPr>
        <w:t xml:space="preserve"> (an 11.3pp drop). A plausible account is that containment may be solvable from local, low-level visual cues (enclosure and boundary detection) that survive at reduced scale, whereas projective relations (left/right, above/below) depend on viewpoint-relative reasoning that is more capacity-sensitive. We treat this as a refinement of H1, not a refutation: the central claim — that relational reasoning degrades non-uniformly across category — holds; the predicted direction was wrong.</w:t>
      </w:r>
    </w:p>
    <w:p>
      <w:pPr>
        <w:pStyle w:val="Heading2"/>
        <w:spacing w:after="80" w:before="180"/>
      </w:pPr>
      <w:r>
        <w:t xml:space="preserve">5.2 Scale saturates at the aggregate but not at the relation level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That the 7B and frontier models are indistinguishable in aggregate, yet a specific subset of relations still fails at every scale, indicates the remaining errors are structural rather than capacity-limited. More parameters do not fix which relations are hard; they only shift the overall level modestly. This is itself an argument for relation-stratified evaluation: an aggregate accuracy number would have hidden both the category-specific degradation and the shared difficulty structure.</w:t>
      </w:r>
    </w:p>
    <w:p>
      <w:pPr>
        <w:pStyle w:val="Heading2"/>
        <w:spacing w:after="80" w:before="180"/>
      </w:pPr>
      <w:r>
        <w:t xml:space="preserve">5.3 Limitations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sz w:val="22"/>
          <w:szCs w:val="22"/>
        </w:rPr>
        <w:t xml:space="preserve">Two scales, one architecture. </w:t>
      </w:r>
      <w:r>
        <w:rPr>
          <w:sz w:val="22"/>
          <w:szCs w:val="22"/>
        </w:rPr>
        <w:t xml:space="preserve">The open-model tiers are one family (Qwen2.5-VL); cross-architecture generalization is untested here.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sz w:val="22"/>
          <w:szCs w:val="22"/>
        </w:rPr>
        <w:t xml:space="preserve">Per-relation cell sizes. </w:t>
      </w:r>
      <w:r>
        <w:rPr>
          <w:sz w:val="22"/>
          <w:szCs w:val="22"/>
        </w:rPr>
        <w:t xml:space="preserve">Individual relations have as few as 8–10 items; single-relation figures are indicative, not conclusive. Category-level results (n=150/category) carry the statistical weight.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sz w:val="22"/>
          <w:szCs w:val="22"/>
        </w:rPr>
        <w:t xml:space="preserve">Response format. </w:t>
      </w:r>
      <w:r>
        <w:rPr>
          <w:sz w:val="22"/>
          <w:szCs w:val="22"/>
        </w:rPr>
        <w:t xml:space="preserve">A binary true/false protocol was used; all three models showed a mild bias toward answering “No” (e.g. true-recall ~65–73% vs. false-specificity ~89–93%), which Section 4.5 shows is largely a prompt-framing artifact (diagnosed with a polarity-reversed control), reported but not corrected for in the headline accuracy.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  <w:sz w:val="22"/>
          <w:szCs w:val="22"/>
        </w:rPr>
        <w:t xml:space="preserve">Edge hardware not yet included. </w:t>
      </w:r>
      <w:r>
        <w:rPr>
          <w:sz w:val="22"/>
          <w:szCs w:val="22"/>
        </w:rPr>
        <w:t xml:space="preserve">The on-device, quantized tier (Jetson Orin Nano) central to the study’s deployment framing is in progress; H2 (precision sensitivity) is deferred to the final paper.</w:t>
      </w:r>
    </w:p>
    <w:p>
      <w:pPr>
        <w:pStyle w:val="Heading2"/>
        <w:spacing w:after="80" w:before="180"/>
      </w:pPr>
      <w:r>
        <w:t xml:space="preserve">5.4 Next steps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The immediate next step is on-device evaluation of the 3B model quantized to INT4/INT8 on the Jetson Orin Nano, to test whether quantization independently widens the projective-spatial gap identified here or introduces new failure modes (H2). A second open-model family would test architectural generality of the containment-robust / projective-fragile pattern.</w:t>
      </w:r>
    </w:p>
    <w:p>
      <w:pPr>
        <w:pStyle w:val="Heading1"/>
        <w:pageBreakBefore/>
      </w:pPr>
      <w:r>
        <w:t xml:space="preserve">Appendix A. Statistical Detail</w:t>
      </w:r>
    </w:p>
    <w:p>
      <w:pPr>
        <w:pStyle w:val="Heading2"/>
        <w:spacing w:after="80" w:before="180"/>
      </w:pPr>
      <w:r>
        <w:t xml:space="preserve">A.1 Paired model comparisons (McNemar)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400"/>
        <w:gridCol w:w="1400"/>
        <w:gridCol w:w="1600"/>
        <w:gridCol w:w="1980"/>
        <w:gridCol w:w="1980"/>
      </w:tblGrid>
      <w:tr>
        <w:trPr>
          <w:tblHeader/>
        </w:trPr>
        <w:tc>
          <w:tcPr>
            <w:tcW w:type="dxa" w:w="2400"/>
            <w:shd w:fill="2E75B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Comparison</w:t>
            </w:r>
          </w:p>
        </w:tc>
        <w:tc>
          <w:tcPr>
            <w:tcW w:type="dxa" w:w="1400"/>
            <w:shd w:fill="2E75B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Discordant</w:t>
            </w:r>
          </w:p>
        </w:tc>
        <w:tc>
          <w:tcPr>
            <w:tcW w:type="dxa" w:w="1600"/>
            <w:shd w:fill="2E75B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Diff (pp)</w:t>
            </w:r>
          </w:p>
        </w:tc>
        <w:tc>
          <w:tcPr>
            <w:tcW w:type="dxa" w:w="1980"/>
            <w:shd w:fill="2E75B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95% CI</w:t>
            </w:r>
          </w:p>
        </w:tc>
        <w:tc>
          <w:tcPr>
            <w:tcW w:type="dxa" w:w="1980"/>
            <w:shd w:fill="2E75B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</w:tr>
      <w:tr>
        <w:tc>
          <w:tcPr>
            <w:tcW w:type="dxa" w:w="240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Gemini vs 7B</w:t>
            </w:r>
          </w:p>
        </w:tc>
        <w:tc>
          <w:tcPr>
            <w:tcW w:type="dxa" w:w="140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160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-0.7</w:t>
            </w:r>
          </w:p>
        </w:tc>
        <w:tc>
          <w:tcPr>
            <w:tcW w:type="dxa" w:w="198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[-5.2, 3.9]</w:t>
            </w:r>
          </w:p>
        </w:tc>
        <w:tc>
          <w:tcPr>
            <w:tcW w:type="dxa" w:w="198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0.88543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7B vs 3B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5.7</w:t>
            </w:r>
          </w:p>
        </w:tc>
        <w:tc>
          <w:tcPr>
            <w:tcW w:type="dxa" w:w="19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[1.4, 9.9]</w:t>
            </w:r>
          </w:p>
        </w:tc>
        <w:tc>
          <w:tcPr>
            <w:tcW w:type="dxa" w:w="19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0.01372</w:t>
            </w:r>
          </w:p>
        </w:tc>
      </w:tr>
    </w:tbl>
    <w:p>
      <w:pPr>
        <w:spacing w:after="40" w:line="276"/>
        <w:jc w:val="both"/>
      </w:pPr>
    </w:p>
    <w:p>
      <w:pPr>
        <w:pStyle w:val="Heading2"/>
        <w:spacing w:after="80" w:before="180"/>
      </w:pPr>
      <w:r>
        <w:t xml:space="preserve">A.2 Response latency (seconds per item)</w:t>
      </w:r>
    </w:p>
    <w:tbl>
      <w:tblPr>
        <w:tblW w:type="dxa" w:w="936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shd w:fill="2E75B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740"/>
            <w:shd w:fill="2E75B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Median</w:t>
            </w:r>
          </w:p>
        </w:tc>
        <w:tc>
          <w:tcPr>
            <w:tcW w:type="dxa" w:w="1740"/>
            <w:shd w:fill="2E75B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W w:type="dxa" w:w="1740"/>
            <w:shd w:fill="2E75B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Trimmed mean</w:t>
            </w:r>
          </w:p>
        </w:tc>
        <w:tc>
          <w:tcPr>
            <w:tcW w:type="dxa" w:w="1740"/>
            <w:shd w:fill="2E75B6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Outliers (&gt;10s)</w:t>
            </w:r>
          </w:p>
        </w:tc>
      </w:tr>
      <w:tr>
        <w:tc>
          <w:tcPr>
            <w:tcW w:type="dxa" w:w="240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174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1.15</w:t>
            </w:r>
          </w:p>
        </w:tc>
        <w:tc>
          <w:tcPr>
            <w:tcW w:type="dxa" w:w="174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4.21</w:t>
            </w:r>
          </w:p>
        </w:tc>
        <w:tc>
          <w:tcPr>
            <w:tcW w:type="dxa" w:w="174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174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Qwen2.5-VL-7B</w:t>
            </w:r>
          </w:p>
        </w:tc>
        <w:tc>
          <w:tcPr>
            <w:tcW w:type="dxa" w:w="17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3.35</w:t>
            </w:r>
          </w:p>
        </w:tc>
        <w:tc>
          <w:tcPr>
            <w:tcW w:type="dxa" w:w="17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5.07</w:t>
            </w:r>
          </w:p>
        </w:tc>
        <w:tc>
          <w:tcPr>
            <w:tcW w:type="dxa" w:w="17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3.34</w:t>
            </w:r>
          </w:p>
        </w:tc>
        <w:tc>
          <w:tcPr>
            <w:tcW w:type="dxa" w:w="17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Qwen2.5-VL-3B</w:t>
            </w:r>
          </w:p>
        </w:tc>
        <w:tc>
          <w:tcPr>
            <w:tcW w:type="dxa" w:w="174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2.34</w:t>
            </w:r>
          </w:p>
        </w:tc>
        <w:tc>
          <w:tcPr>
            <w:tcW w:type="dxa" w:w="174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2.3</w:t>
            </w:r>
          </w:p>
        </w:tc>
        <w:tc>
          <w:tcPr>
            <w:tcW w:type="dxa" w:w="174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2.3</w:t>
            </w:r>
          </w:p>
        </w:tc>
        <w:tc>
          <w:tcPr>
            <w:tcW w:type="dxa" w:w="1740"/>
            <w:shd w:fill="EEF4FA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40" w:line="276"/>
        <w:jc w:val="both"/>
      </w:pPr>
      <w:r>
        <w:rPr>
          <w:i/>
          <w:iCs/>
          <w:sz w:val="22"/>
          <w:szCs w:val="22"/>
        </w:rPr>
        <w:t xml:space="preserve">Medians reported as primary; means are inflated by timeout-retry outliers (e.g. Gemini had 14 items exceeding 10s). Latency is a full-system measure, not a clean compute metric, since two runs used different local/remote infrastructure.</w:t>
      </w:r>
    </w:p>
    <w:p>
      <w:pPr>
        <w:pStyle w:val="Heading2"/>
        <w:spacing w:after="80" w:before="180"/>
      </w:pPr>
      <w:r>
        <w:t xml:space="preserve">A.3 Reproducibility</w:t>
      </w:r>
    </w:p>
    <w:p>
      <w:pPr>
        <w:spacing w:after="140" w:line="276"/>
        <w:jc w:val="both"/>
      </w:pPr>
      <w:r>
        <w:rPr>
          <w:sz w:val="22"/>
          <w:szCs w:val="22"/>
        </w:rPr>
        <w:t xml:space="preserve">Evaluation set: VSR (CC-BY-4.0), 300 items, seed 42, deterministic hash-ranked sampling. Models: qwen2.5vl:3b, qwen2.5vl:7b (Ollama), gemini-2.5-flash (API). Identical prompt across models; temperature 0. All raw per-item outputs retained in result CSVs.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360"/>
      </w:tabs>
    </w:pPr>
    <w:r>
      <w:rPr>
        <w:color w:val="666666"/>
        <w:sz w:val="16"/>
        <w:szCs w:val="16"/>
      </w:rPr>
      <w:t xml:space="preserve">CS587 Data Analysis Report — Tabeen Raoof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20" w:before="28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21aa7454829c22ee8f5e8e8b18fc720c6b8c2cc.png"/><Relationship Id="rId9" Type="http://schemas.openxmlformats.org/officeDocument/2006/relationships/image" Target="media/f80bf5954ed45ca3ed257826790a5df78b20bfe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CS587 Data Analysis Report</dc:title>
  <dc:creator>Tabeen Raoof</dc:creator>
  <cp:lastModifiedBy>Un-named</cp:lastModifiedBy>
  <cp:revision>1</cp:revision>
  <dcterms:created xsi:type="dcterms:W3CDTF">2026-07-09T08:54:37.591Z</dcterms:created>
  <dcterms:modified xsi:type="dcterms:W3CDTF">2026-07-09T08:54:37.592Z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