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t>This Agreement is made between Acme Corp and Beta LLC, effective January 1, 2026.</w:t>
      </w:r>
    </w:p>
    <w:p>
      <w:r>
        <w:t>The Contractor shall provide consulting services for a period of twelve months.</w:t>
      </w:r>
    </w:p>
    <w:p>
      <w:r>
        <w:t>Payment shall be made monthly in the amount of $6,500.</w:t>
      </w:r>
    </w:p>
    <w:p>
      <w:r>
        <w:t>Either party may terminate this Agreement with 30 days written notice.</w:t>
      </w:r>
    </w:p>
    <w:p>
      <w:r>
        <w:t>The Contractor agrees to indemnify and hold harmless Acme Corp against any claims arising from the Contractor's negligence.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Due Date</w:t>
            </w:r>
          </w:p>
        </w:tc>
      </w:tr>
      <w:tr>
        <w:tc>
          <w:tcPr>
            <w:tcW w:type="dxa" w:w="4320"/>
          </w:tcPr>
          <w:p>
            <w:r>
              <w:t>Phase 1 Delivery</w:t>
            </w:r>
          </w:p>
        </w:tc>
        <w:tc>
          <w:tcPr>
            <w:tcW w:type="dxa" w:w="4320"/>
          </w:tcPr>
          <w:p>
            <w:r>
              <w:t>April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