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made between Acme Corp and Beta LLC, effective January 1, 2026.</w:t>
      </w:r>
    </w:p>
    <w:p>
      <w:r>
        <w:t>The Contractor shall provide consulting services for a period of eighteen months.</w:t>
      </w:r>
    </w:p>
    <w:p>
      <w:r>
        <w:t>Payment shall be made monthly in the amount of $6,500.</w:t>
      </w:r>
    </w:p>
    <w:p>
      <w:r>
        <w:t>The Contractor agrees to indemnify and hold harmless Acme Corp against any claims arising from the Contractor's negligence or willful misconduct.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Due Date</w:t>
            </w:r>
          </w:p>
        </w:tc>
      </w:tr>
      <w:tr>
        <w:tc>
          <w:tcPr>
            <w:tcW w:type="dxa" w:w="4320"/>
          </w:tcPr>
          <w:p>
            <w:r>
              <w:t>Phase 1 Delivery</w:t>
            </w:r>
          </w:p>
        </w:tc>
        <w:tc>
          <w:tcPr>
            <w:tcW w:type="dxa" w:w="4320"/>
          </w:tcPr>
          <w:p>
            <w:r>
              <w:t>April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