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Manuel d'utilisation Tibus</w:t>
      </w:r>
    </w:p>
    <w:p>
      <w:pPr>
        <w:jc w:val="center"/>
      </w:pPr>
      <w:r>
        <w:rPr>
          <w:color w:val="2563EB"/>
          <w:sz w:val="26"/>
        </w:rPr>
        <w:t>Guide compagnie de transport — 4 rôles principaux</w:t>
      </w:r>
    </w:p>
    <w:p/>
    <w:p>
      <w:r>
        <w:rPr>
          <w:b w:val="0"/>
          <w:color w:val="334155"/>
          <w:sz w:val="22"/>
        </w:rPr>
        <w:t>Ce document décrit les menus et les actions de chaque profil utilisateur sur la plateforme Tibus. Il s'adresse aux gérants, vendeurs guichet, comptables, contrôleurs et, en annexe, aux voyageurs clients de votre compagnie.</w:t>
      </w:r>
    </w:p>
    <w:p>
      <w:pPr>
        <w:pStyle w:val="Heading1"/>
      </w:pPr>
      <w:r>
        <w:rPr>
          <w:color w:val="0F172A"/>
        </w:rPr>
        <w:t>1. Les quatre rôles principaux</w:t>
      </w:r>
    </w:p>
    <w:p>
      <w:pPr>
        <w:pStyle w:val="ListBullet"/>
      </w:pPr>
      <w:r>
        <w:rPr>
          <w:sz w:val="21"/>
        </w:rPr>
        <w:t>Owner (gérant) — Configuration complète de la compagnie, flotte, voyages, équipe et pilotage.</w:t>
      </w:r>
    </w:p>
    <w:p>
      <w:pPr>
        <w:pStyle w:val="ListBullet"/>
      </w:pPr>
      <w:r>
        <w:rPr>
          <w:sz w:val="21"/>
        </w:rPr>
        <w:t>Vendeur (guichet) — Vente de billets cash, caisse journalière, scan embarquement, colis.</w:t>
      </w:r>
    </w:p>
    <w:p>
      <w:pPr>
        <w:pStyle w:val="ListBullet"/>
      </w:pPr>
      <w:r>
        <w:rPr>
          <w:sz w:val="21"/>
        </w:rPr>
        <w:t>Équipe compagnie (comptable / contrôleur) — Suivi des ventes, rapports voyages, validation des reversements caisse.</w:t>
      </w:r>
    </w:p>
    <w:p>
      <w:pPr>
        <w:pStyle w:val="ListBullet"/>
      </w:pPr>
      <w:r>
        <w:rPr>
          <w:sz w:val="21"/>
        </w:rPr>
        <w:t>Voyageur — Recherche, réservation en ligne, paiement Mobile Money, billet QR.</w:t>
      </w:r>
    </w:p>
    <w:p>
      <w:pPr>
        <w:pStyle w:val="Heading1"/>
      </w:pPr>
      <w:r>
        <w:rPr>
          <w:color w:val="0F172A"/>
        </w:rPr>
        <w:t>2. Owner — Gérant de la compagnie</w:t>
      </w:r>
    </w:p>
    <w:p>
      <w:r>
        <w:rPr>
          <w:b w:val="0"/>
          <w:color w:val="334155"/>
          <w:sz w:val="22"/>
        </w:rPr>
        <w:t>Accès : menu latéral sur /fr/owner (desktop) ou menu hamburger (mobile).</w:t>
      </w:r>
    </w:p>
    <w:p>
      <w:r>
        <w:drawing>
          <wp:inline xmlns:a="http://schemas.openxmlformats.org/drawingml/2006/main" xmlns:pic="http://schemas.openxmlformats.org/drawingml/2006/picture">
            <wp:extent cx="5760000" cy="3968000"/>
            <wp:docPr id="1" name="Picture 1"/>
            <wp:cNvGraphicFramePr>
              <a:graphicFrameLocks noChangeAspect="1"/>
            </wp:cNvGraphicFramePr>
            <a:graphic>
              <a:graphicData uri="http://schemas.openxmlformats.org/drawingml/2006/picture">
                <pic:pic>
                  <pic:nvPicPr>
                    <pic:cNvPr id="0" name="fig-owner.png"/>
                    <pic:cNvPicPr/>
                  </pic:nvPicPr>
                  <pic:blipFill>
                    <a:blip r:embed="rId9"/>
                    <a:stretch>
                      <a:fillRect/>
                    </a:stretch>
                  </pic:blipFill>
                  <pic:spPr>
                    <a:xfrm>
                      <a:off x="0" y="0"/>
                      <a:ext cx="5760000" cy="3968000"/>
                    </a:xfrm>
                    <a:prstGeom prst="rect"/>
                  </pic:spPr>
                </pic:pic>
              </a:graphicData>
            </a:graphic>
          </wp:inline>
        </w:drawing>
      </w:r>
    </w:p>
    <w:p>
      <w:pPr>
        <w:jc w:val="center"/>
      </w:pPr>
      <w:r>
        <w:rPr>
          <w:i/>
          <w:color w:val="64748B"/>
          <w:sz w:val="18"/>
        </w:rPr>
        <w:t>Figure 1 — Navigation Owner et tableau de bord</w:t>
      </w:r>
    </w:p>
    <w:p/>
    <w:p>
      <w:r>
        <w:rPr>
          <w:b/>
          <w:color w:val="334155"/>
          <w:sz w:val="22"/>
        </w:rPr>
        <w:t>Aperçu</w:t>
      </w:r>
    </w:p>
    <w:p>
      <w:r>
        <w:rPr>
          <w:b w:val="0"/>
          <w:color w:val="334155"/>
          <w:sz w:val="22"/>
        </w:rPr>
        <w:t>Tableau de bord : indicateurs ventes, réservations, occupation. Point de départ chaque journée.</w:t>
      </w:r>
    </w:p>
    <w:p>
      <w:r>
        <w:rPr>
          <w:b/>
          <w:color w:val="334155"/>
          <w:sz w:val="22"/>
        </w:rPr>
        <w:t>Mon entreprise</w:t>
      </w:r>
    </w:p>
    <w:p>
      <w:r>
        <w:rPr>
          <w:b w:val="0"/>
          <w:color w:val="334155"/>
          <w:sz w:val="22"/>
        </w:rPr>
        <w:t>Profil public : nom, logo, description, téléphone, e-mail, site web.</w:t>
      </w:r>
    </w:p>
    <w:p>
      <w:r>
        <w:rPr>
          <w:b/>
          <w:color w:val="334155"/>
          <w:sz w:val="22"/>
        </w:rPr>
        <w:t>Avis</w:t>
      </w:r>
    </w:p>
    <w:p>
      <w:r>
        <w:rPr>
          <w:b w:val="0"/>
          <w:color w:val="334155"/>
          <w:sz w:val="22"/>
        </w:rPr>
        <w:t>Lire et répondre aux avis laissés par les voyageurs.</w:t>
      </w:r>
    </w:p>
    <w:p>
      <w:r>
        <w:rPr>
          <w:b/>
          <w:color w:val="334155"/>
          <w:sz w:val="22"/>
        </w:rPr>
        <w:t>Codes promo</w:t>
      </w:r>
    </w:p>
    <w:p>
      <w:r>
        <w:rPr>
          <w:b w:val="0"/>
          <w:color w:val="334155"/>
          <w:sz w:val="22"/>
        </w:rPr>
        <w:t>Créer des codes de réduction (% ou montant fixe), dates de validité, limite d'usage.</w:t>
      </w:r>
    </w:p>
    <w:p>
      <w:r>
        <w:rPr>
          <w:b/>
          <w:color w:val="334155"/>
          <w:sz w:val="22"/>
        </w:rPr>
        <w:t>Abonnement</w:t>
      </w:r>
    </w:p>
    <w:p>
      <w:r>
        <w:rPr>
          <w:b w:val="0"/>
          <w:color w:val="334155"/>
          <w:sz w:val="22"/>
        </w:rPr>
        <w:t>Formule Tibus active, renouvellement et statut.</w:t>
      </w:r>
    </w:p>
    <w:p>
      <w:r>
        <w:rPr>
          <w:b/>
          <w:color w:val="334155"/>
          <w:sz w:val="22"/>
        </w:rPr>
        <w:t>Analyses</w:t>
      </w:r>
    </w:p>
    <w:p>
      <w:r>
        <w:rPr>
          <w:b w:val="0"/>
          <w:color w:val="334155"/>
          <w:sz w:val="22"/>
        </w:rPr>
        <w:t>Vue synthétique revenus, réservations et tendances.</w:t>
      </w:r>
    </w:p>
    <w:p>
      <w:r>
        <w:rPr>
          <w:b/>
          <w:color w:val="334155"/>
          <w:sz w:val="22"/>
        </w:rPr>
        <w:t>Rapports Billets</w:t>
      </w:r>
    </w:p>
    <w:p>
      <w:r>
        <w:rPr>
          <w:b w:val="0"/>
          <w:color w:val="334155"/>
          <w:sz w:val="22"/>
        </w:rPr>
        <w:t>Détail des ventes par période, trajet et canal (guichet / en ligne).</w:t>
      </w:r>
    </w:p>
    <w:p>
      <w:r>
        <w:rPr>
          <w:b/>
          <w:color w:val="334155"/>
          <w:sz w:val="22"/>
        </w:rPr>
        <w:t>Rapports Voyages</w:t>
      </w:r>
    </w:p>
    <w:p>
      <w:r>
        <w:rPr>
          <w:b w:val="0"/>
          <w:color w:val="334155"/>
          <w:sz w:val="22"/>
        </w:rPr>
        <w:t>Occupation et performance de chaque départ programmé.</w:t>
      </w:r>
    </w:p>
    <w:p>
      <w:r>
        <w:rPr>
          <w:b/>
          <w:color w:val="334155"/>
          <w:sz w:val="22"/>
        </w:rPr>
        <w:t>Voyageurs</w:t>
      </w:r>
    </w:p>
    <w:p>
      <w:r>
        <w:rPr>
          <w:b w:val="0"/>
          <w:color w:val="334155"/>
          <w:sz w:val="22"/>
        </w:rPr>
        <w:t>Clients récurrents et historique d'achats.</w:t>
      </w:r>
    </w:p>
    <w:p>
      <w:r>
        <w:rPr>
          <w:b/>
          <w:color w:val="334155"/>
          <w:sz w:val="22"/>
        </w:rPr>
        <w:t>Journal des ventes</w:t>
      </w:r>
    </w:p>
    <w:p>
      <w:r>
        <w:rPr>
          <w:b w:val="0"/>
          <w:color w:val="334155"/>
          <w:sz w:val="22"/>
        </w:rPr>
        <w:t>Liste complète des transactions avec filtres et annulations.</w:t>
      </w:r>
    </w:p>
    <w:p>
      <w:r>
        <w:rPr>
          <w:b/>
          <w:color w:val="334155"/>
          <w:sz w:val="22"/>
        </w:rPr>
        <w:t>Caisse guichet</w:t>
      </w:r>
    </w:p>
    <w:p>
      <w:r>
        <w:rPr>
          <w:b w:val="0"/>
          <w:color w:val="334155"/>
          <w:sz w:val="22"/>
        </w:rPr>
        <w:t>Suivi des sessions caisse vendeurs et reversements.</w:t>
      </w:r>
    </w:p>
    <w:p>
      <w:r>
        <w:rPr>
          <w:b/>
          <w:color w:val="334155"/>
          <w:sz w:val="22"/>
        </w:rPr>
        <w:t>Contact</w:t>
      </w:r>
    </w:p>
    <w:p>
      <w:r>
        <w:rPr>
          <w:b w:val="0"/>
          <w:color w:val="334155"/>
          <w:sz w:val="22"/>
        </w:rPr>
        <w:t>Numéros WhatsApp et canaux visibles par les voyageurs.</w:t>
      </w:r>
    </w:p>
    <w:p>
      <w:r>
        <w:rPr>
          <w:b/>
          <w:color w:val="334155"/>
          <w:sz w:val="22"/>
        </w:rPr>
        <w:t>Fidélité</w:t>
      </w:r>
    </w:p>
    <w:p>
      <w:r>
        <w:rPr>
          <w:b w:val="0"/>
          <w:color w:val="334155"/>
          <w:sz w:val="22"/>
        </w:rPr>
        <w:t>Programme points compagnie : règles, activation, suivi.</w:t>
      </w:r>
    </w:p>
    <w:p>
      <w:r>
        <w:rPr>
          <w:b/>
          <w:color w:val="334155"/>
          <w:sz w:val="22"/>
        </w:rPr>
        <w:t>Colis autonomes</w:t>
      </w:r>
    </w:p>
    <w:p>
      <w:r>
        <w:rPr>
          <w:b w:val="0"/>
          <w:color w:val="334155"/>
          <w:sz w:val="22"/>
        </w:rPr>
        <w:t>Module colis sans billet : enregistrement et suivi.</w:t>
      </w:r>
    </w:p>
    <w:p>
      <w:r>
        <w:rPr>
          <w:b/>
          <w:color w:val="334155"/>
          <w:sz w:val="22"/>
        </w:rPr>
        <w:t>Fond de garantie</w:t>
      </w:r>
    </w:p>
    <w:p>
      <w:r>
        <w:rPr>
          <w:b w:val="0"/>
          <w:color w:val="334155"/>
          <w:sz w:val="22"/>
        </w:rPr>
        <w:t>Solde garantie pour réservations en ligne.</w:t>
      </w:r>
    </w:p>
    <w:p>
      <w:r>
        <w:rPr>
          <w:b/>
          <w:color w:val="334155"/>
          <w:sz w:val="22"/>
        </w:rPr>
        <w:t>Pénalités annulation</w:t>
      </w:r>
    </w:p>
    <w:p>
      <w:r>
        <w:rPr>
          <w:b w:val="0"/>
          <w:color w:val="334155"/>
          <w:sz w:val="22"/>
        </w:rPr>
        <w:t>Règles de remboursement et pénalités.</w:t>
      </w:r>
    </w:p>
    <w:p>
      <w:r>
        <w:rPr>
          <w:b/>
          <w:color w:val="334155"/>
          <w:sz w:val="22"/>
        </w:rPr>
        <w:t>Flotte</w:t>
      </w:r>
    </w:p>
    <w:p>
      <w:r>
        <w:rPr>
          <w:b w:val="0"/>
          <w:color w:val="334155"/>
          <w:sz w:val="22"/>
        </w:rPr>
        <w:t>Bus : immatriculation, capacité, type.</w:t>
      </w:r>
    </w:p>
    <w:p>
      <w:r>
        <w:rPr>
          <w:b/>
          <w:color w:val="334155"/>
          <w:sz w:val="22"/>
        </w:rPr>
        <w:t>Gares</w:t>
      </w:r>
    </w:p>
    <w:p>
      <w:r>
        <w:rPr>
          <w:b w:val="0"/>
          <w:color w:val="334155"/>
          <w:sz w:val="22"/>
        </w:rPr>
        <w:t>Points d'arrêt et villes desservies.</w:t>
      </w:r>
    </w:p>
    <w:p>
      <w:r>
        <w:rPr>
          <w:b/>
          <w:color w:val="334155"/>
          <w:sz w:val="22"/>
        </w:rPr>
        <w:t>Itinéraires</w:t>
      </w:r>
    </w:p>
    <w:p>
      <w:r>
        <w:rPr>
          <w:b w:val="0"/>
          <w:color w:val="334155"/>
          <w:sz w:val="22"/>
        </w:rPr>
        <w:t>Liaisons gare à gare avec tarifs et kilométrage.</w:t>
      </w:r>
    </w:p>
    <w:p>
      <w:r>
        <w:rPr>
          <w:b/>
          <w:color w:val="334155"/>
          <w:sz w:val="22"/>
        </w:rPr>
        <w:t>Voyages</w:t>
      </w:r>
    </w:p>
    <w:p>
      <w:r>
        <w:rPr>
          <w:b w:val="0"/>
          <w:color w:val="334155"/>
          <w:sz w:val="22"/>
        </w:rPr>
        <w:t>Programmation des départs (date, heure, bus, capacité).</w:t>
      </w:r>
    </w:p>
    <w:p>
      <w:r>
        <w:rPr>
          <w:b/>
          <w:color w:val="334155"/>
          <w:sz w:val="22"/>
        </w:rPr>
        <w:t>Scanner billets</w:t>
      </w:r>
    </w:p>
    <w:p>
      <w:r>
        <w:rPr>
          <w:b w:val="0"/>
          <w:color w:val="334155"/>
          <w:sz w:val="22"/>
        </w:rPr>
        <w:t>Contrôle QR à l'embarquement.</w:t>
      </w:r>
    </w:p>
    <w:p>
      <w:r>
        <w:rPr>
          <w:b/>
          <w:color w:val="334155"/>
          <w:sz w:val="22"/>
        </w:rPr>
        <w:t>Équipe</w:t>
      </w:r>
    </w:p>
    <w:p>
      <w:r>
        <w:rPr>
          <w:b w:val="0"/>
          <w:color w:val="334155"/>
          <w:sz w:val="22"/>
        </w:rPr>
        <w:t>Inviter vendeurs, comptables, contrôleurs ; attribuer les rôles.</w:t>
      </w:r>
    </w:p>
    <w:p>
      <w:pPr>
        <w:pStyle w:val="Heading1"/>
      </w:pPr>
      <w:r>
        <w:rPr>
          <w:color w:val="0F172A"/>
        </w:rPr>
        <w:t>3. Vendeur — Guichet</w:t>
      </w:r>
    </w:p>
    <w:p>
      <w:r>
        <w:rPr>
          <w:b w:val="0"/>
          <w:color w:val="334155"/>
          <w:sz w:val="22"/>
        </w:rPr>
        <w:t>Accès : /fr/seller · Barre mobile : Accueil · Scanner · Guichet</w:t>
      </w:r>
    </w:p>
    <w:p>
      <w:r>
        <w:drawing>
          <wp:inline xmlns:a="http://schemas.openxmlformats.org/drawingml/2006/main" xmlns:pic="http://schemas.openxmlformats.org/drawingml/2006/picture">
            <wp:extent cx="5760000" cy="3584000"/>
            <wp:docPr id="2" name="Picture 2"/>
            <wp:cNvGraphicFramePr>
              <a:graphicFrameLocks noChangeAspect="1"/>
            </wp:cNvGraphicFramePr>
            <a:graphic>
              <a:graphicData uri="http://schemas.openxmlformats.org/drawingml/2006/picture">
                <pic:pic>
                  <pic:nvPicPr>
                    <pic:cNvPr id="0" name="fig-vendeur.png"/>
                    <pic:cNvPicPr/>
                  </pic:nvPicPr>
                  <pic:blipFill>
                    <a:blip r:embed="rId10"/>
                    <a:stretch>
                      <a:fillRect/>
                    </a:stretch>
                  </pic:blipFill>
                  <pic:spPr>
                    <a:xfrm>
                      <a:off x="0" y="0"/>
                      <a:ext cx="5760000" cy="3584000"/>
                    </a:xfrm>
                    <a:prstGeom prst="rect"/>
                  </pic:spPr>
                </pic:pic>
              </a:graphicData>
            </a:graphic>
          </wp:inline>
        </w:drawing>
      </w:r>
    </w:p>
    <w:p>
      <w:pPr>
        <w:jc w:val="center"/>
      </w:pPr>
      <w:r>
        <w:rPr>
          <w:i/>
          <w:color w:val="64748B"/>
          <w:sz w:val="18"/>
        </w:rPr>
        <w:t>Figure 2 — Espace vendeur : caisse et vente</w:t>
      </w:r>
    </w:p>
    <w:p/>
    <w:p>
      <w:r>
        <w:rPr>
          <w:b/>
          <w:color w:val="334155"/>
          <w:sz w:val="22"/>
        </w:rPr>
        <w:t>Ouvrir la caisse</w:t>
      </w:r>
    </w:p>
    <w:p>
      <w:r>
        <w:rPr>
          <w:b w:val="0"/>
          <w:color w:val="334155"/>
          <w:sz w:val="22"/>
        </w:rPr>
        <w:t>Chaque matin : « Session caisse journalière » avec fond de roulement (souvent 0). Obligatoire avant toute vente cash.</w:t>
      </w:r>
    </w:p>
    <w:p>
      <w:r>
        <w:rPr>
          <w:b/>
          <w:color w:val="334155"/>
          <w:sz w:val="22"/>
        </w:rPr>
        <w:t>Choisir un départ</w:t>
      </w:r>
    </w:p>
    <w:p>
      <w:r>
        <w:rPr>
          <w:b w:val="0"/>
          <w:color w:val="334155"/>
          <w:sz w:val="22"/>
        </w:rPr>
        <w:t>Liste des voyages avec places disponibles. Cliquer « Vente guichet ».</w:t>
      </w:r>
    </w:p>
    <w:p>
      <w:r>
        <w:rPr>
          <w:b/>
          <w:color w:val="334155"/>
          <w:sz w:val="22"/>
        </w:rPr>
        <w:t>Émettre le billet</w:t>
      </w:r>
    </w:p>
    <w:p>
      <w:r>
        <w:rPr>
          <w:b w:val="0"/>
          <w:color w:val="334155"/>
          <w:sz w:val="22"/>
        </w:rPr>
        <w:t>Saisir nom, téléphone (fidélité), choisir le siège, colis optionnel. Un ticket = une référence TB- unique + QR.</w:t>
      </w:r>
    </w:p>
    <w:p>
      <w:r>
        <w:rPr>
          <w:b/>
          <w:color w:val="334155"/>
          <w:sz w:val="22"/>
        </w:rPr>
        <w:t>Vente multi-voyageurs</w:t>
      </w:r>
    </w:p>
    <w:p>
      <w:r>
        <w:rPr>
          <w:b w:val="0"/>
          <w:color w:val="334155"/>
          <w:sz w:val="22"/>
        </w:rPr>
        <w:t>Ajouter plusieurs voyageurs : chacun reçoit son propre ticket.</w:t>
      </w:r>
    </w:p>
    <w:p>
      <w:r>
        <w:rPr>
          <w:b/>
          <w:color w:val="334155"/>
          <w:sz w:val="22"/>
        </w:rPr>
        <w:t>Reversement</w:t>
      </w:r>
    </w:p>
    <w:p>
      <w:r>
        <w:rPr>
          <w:b w:val="0"/>
          <w:color w:val="334155"/>
          <w:sz w:val="22"/>
        </w:rPr>
        <w:t>En fin de service : soumettre le montant au comptable. La caisse passe en attente de validation.</w:t>
      </w:r>
    </w:p>
    <w:p>
      <w:r>
        <w:rPr>
          <w:b/>
          <w:color w:val="334155"/>
          <w:sz w:val="22"/>
        </w:rPr>
        <w:t>Scanner</w:t>
      </w:r>
    </w:p>
    <w:p>
      <w:r>
        <w:rPr>
          <w:b w:val="0"/>
          <w:color w:val="334155"/>
          <w:sz w:val="22"/>
        </w:rPr>
        <w:t>À l'embarquement : scanner le QR, marquer le passager à bord, détecter les doublons.</w:t>
      </w:r>
    </w:p>
    <w:p>
      <w:r>
        <w:rPr>
          <w:b/>
          <w:color w:val="334155"/>
          <w:sz w:val="22"/>
        </w:rPr>
        <w:t>Colis</w:t>
      </w:r>
    </w:p>
    <w:p>
      <w:r>
        <w:rPr>
          <w:b w:val="0"/>
          <w:color w:val="334155"/>
          <w:sz w:val="22"/>
        </w:rPr>
        <w:t>Si activé : onglet Colis pour enregistrer des envois autonomes.</w:t>
      </w:r>
    </w:p>
    <w:p>
      <w:r>
        <w:rPr>
          <w:b/>
          <w:color w:val="334155"/>
          <w:sz w:val="22"/>
        </w:rPr>
        <w:t>Ventes compagnie</w:t>
      </w:r>
    </w:p>
    <w:p>
      <w:r>
        <w:rPr>
          <w:b w:val="0"/>
          <w:color w:val="334155"/>
          <w:sz w:val="22"/>
        </w:rPr>
        <w:t>Onglet historique des ventes de la compagnie (lecture + annulation si autorisé).</w:t>
      </w:r>
    </w:p>
    <w:p>
      <w:pPr>
        <w:pStyle w:val="Heading1"/>
      </w:pPr>
      <w:r>
        <w:rPr>
          <w:color w:val="0F172A"/>
        </w:rPr>
        <w:t>4. Équipe compagnie — Comptable &amp; Contrôleur</w:t>
      </w:r>
    </w:p>
    <w:p>
      <w:r>
        <w:rPr>
          <w:b w:val="0"/>
          <w:color w:val="334155"/>
          <w:sz w:val="22"/>
        </w:rPr>
        <w:t>Accès : /fr/company/* · Le comptable valide les caisses ; le contrôleur scanne les billets.</w:t>
      </w:r>
    </w:p>
    <w:p>
      <w:r>
        <w:drawing>
          <wp:inline xmlns:a="http://schemas.openxmlformats.org/drawingml/2006/main" xmlns:pic="http://schemas.openxmlformats.org/drawingml/2006/picture">
            <wp:extent cx="5760000" cy="3328000"/>
            <wp:docPr id="3" name="Picture 3"/>
            <wp:cNvGraphicFramePr>
              <a:graphicFrameLocks noChangeAspect="1"/>
            </wp:cNvGraphicFramePr>
            <a:graphic>
              <a:graphicData uri="http://schemas.openxmlformats.org/drawingml/2006/picture">
                <pic:pic>
                  <pic:nvPicPr>
                    <pic:cNvPr id="0" name="fig-equipe.png"/>
                    <pic:cNvPicPr/>
                  </pic:nvPicPr>
                  <pic:blipFill>
                    <a:blip r:embed="rId11"/>
                    <a:stretch>
                      <a:fillRect/>
                    </a:stretch>
                  </pic:blipFill>
                  <pic:spPr>
                    <a:xfrm>
                      <a:off x="0" y="0"/>
                      <a:ext cx="5760000" cy="3328000"/>
                    </a:xfrm>
                    <a:prstGeom prst="rect"/>
                  </pic:spPr>
                </pic:pic>
              </a:graphicData>
            </a:graphic>
          </wp:inline>
        </w:drawing>
      </w:r>
    </w:p>
    <w:p>
      <w:pPr>
        <w:jc w:val="center"/>
      </w:pPr>
      <w:r>
        <w:rPr>
          <w:i/>
          <w:color w:val="64748B"/>
          <w:sz w:val="18"/>
        </w:rPr>
        <w:t>Figure 3 — Espace comptable / contrôleur</w:t>
      </w:r>
    </w:p>
    <w:p/>
    <w:p>
      <w:r>
        <w:rPr>
          <w:b/>
          <w:color w:val="334155"/>
          <w:sz w:val="22"/>
        </w:rPr>
        <w:t>Journal des ventes (/company/sales)</w:t>
      </w:r>
    </w:p>
    <w:p>
      <w:r>
        <w:rPr>
          <w:b w:val="0"/>
          <w:color w:val="334155"/>
          <w:sz w:val="22"/>
        </w:rPr>
        <w:t>Toutes les ventes de la compagnie. Filtrer, contrôler, exporter.</w:t>
      </w:r>
    </w:p>
    <w:p>
      <w:r>
        <w:rPr>
          <w:b/>
          <w:color w:val="334155"/>
          <w:sz w:val="22"/>
        </w:rPr>
        <w:t>Rapports voyages (/company/trip-reports)</w:t>
      </w:r>
    </w:p>
    <w:p>
      <w:r>
        <w:rPr>
          <w:b w:val="0"/>
          <w:color w:val="334155"/>
          <w:sz w:val="22"/>
        </w:rPr>
        <w:t>Taux de remplissage, départs, performance par ligne.</w:t>
      </w:r>
    </w:p>
    <w:p>
      <w:r>
        <w:rPr>
          <w:b/>
          <w:color w:val="334155"/>
          <w:sz w:val="22"/>
        </w:rPr>
        <w:t>Validation caisse (/company/cash-register)</w:t>
      </w:r>
    </w:p>
    <w:p>
      <w:r>
        <w:rPr>
          <w:b w:val="0"/>
          <w:color w:val="334155"/>
          <w:sz w:val="22"/>
        </w:rPr>
        <w:t>Approuver les reversements vendeurs. Clôture la session guichet du vendeur.</w:t>
      </w:r>
    </w:p>
    <w:p>
      <w:r>
        <w:rPr>
          <w:b/>
          <w:color w:val="334155"/>
          <w:sz w:val="22"/>
        </w:rPr>
        <w:t>Scanner (/verify/scan)</w:t>
      </w:r>
    </w:p>
    <w:p>
      <w:r>
        <w:rPr>
          <w:b w:val="0"/>
          <w:color w:val="334155"/>
          <w:sz w:val="22"/>
        </w:rPr>
        <w:t>Contrôle embarquement : authenticité billet, statut payé, anti-fraude.</w:t>
      </w:r>
    </w:p>
    <w:p>
      <w:r>
        <w:rPr>
          <w:b/>
          <w:color w:val="334155"/>
          <w:sz w:val="22"/>
        </w:rPr>
        <w:t>Fond de garantie (/company/guarantee-fund)</w:t>
      </w:r>
    </w:p>
    <w:p>
      <w:r>
        <w:rPr>
          <w:b w:val="0"/>
          <w:color w:val="334155"/>
          <w:sz w:val="22"/>
        </w:rPr>
        <w:t>Consultation solde garantie (selon droits).</w:t>
      </w:r>
    </w:p>
    <w:p>
      <w:r>
        <w:rPr>
          <w:b/>
          <w:color w:val="334155"/>
          <w:sz w:val="22"/>
        </w:rPr>
        <w:t>Important — Le comptable n'ouvre pas de caisse guichet. Seuls les vendeurs ouvrent leur session journalière.</w:t>
      </w:r>
    </w:p>
    <w:p>
      <w:pPr>
        <w:pStyle w:val="Heading1"/>
      </w:pPr>
      <w:r>
        <w:rPr>
          <w:color w:val="0F172A"/>
        </w:rPr>
        <w:t>5. Voyageur — Client final</w:t>
      </w:r>
    </w:p>
    <w:p>
      <w:r>
        <w:rPr>
          <w:b w:val="0"/>
          <w:color w:val="334155"/>
          <w:sz w:val="22"/>
        </w:rPr>
        <w:t>Accès : site public /fr — recherche sans compte ; réservation avec connexion.</w:t>
      </w:r>
    </w:p>
    <w:p>
      <w:r>
        <w:drawing>
          <wp:inline xmlns:a="http://schemas.openxmlformats.org/drawingml/2006/main" xmlns:pic="http://schemas.openxmlformats.org/drawingml/2006/picture">
            <wp:extent cx="5760000" cy="3200000"/>
            <wp:docPr id="4" name="Picture 4"/>
            <wp:cNvGraphicFramePr>
              <a:graphicFrameLocks noChangeAspect="1"/>
            </wp:cNvGraphicFramePr>
            <a:graphic>
              <a:graphicData uri="http://schemas.openxmlformats.org/drawingml/2006/picture">
                <pic:pic>
                  <pic:nvPicPr>
                    <pic:cNvPr id="0" name="fig-voyageur.png"/>
                    <pic:cNvPicPr/>
                  </pic:nvPicPr>
                  <pic:blipFill>
                    <a:blip r:embed="rId12"/>
                    <a:stretch>
                      <a:fillRect/>
                    </a:stretch>
                  </pic:blipFill>
                  <pic:spPr>
                    <a:xfrm>
                      <a:off x="0" y="0"/>
                      <a:ext cx="5760000" cy="3200000"/>
                    </a:xfrm>
                    <a:prstGeom prst="rect"/>
                  </pic:spPr>
                </pic:pic>
              </a:graphicData>
            </a:graphic>
          </wp:inline>
        </w:drawing>
      </w:r>
    </w:p>
    <w:p>
      <w:pPr>
        <w:jc w:val="center"/>
      </w:pPr>
      <w:r>
        <w:rPr>
          <w:i/>
          <w:color w:val="64748B"/>
          <w:sz w:val="18"/>
        </w:rPr>
        <w:t>Figure 4 — Parcours voyageur</w:t>
      </w:r>
    </w:p>
    <w:p/>
    <w:p>
      <w:r>
        <w:rPr>
          <w:b/>
          <w:color w:val="334155"/>
          <w:sz w:val="22"/>
        </w:rPr>
        <w:t>Rechercher</w:t>
      </w:r>
    </w:p>
    <w:p>
      <w:r>
        <w:rPr>
          <w:b w:val="0"/>
          <w:color w:val="334155"/>
          <w:sz w:val="22"/>
        </w:rPr>
        <w:t>Ville départ, arrivée, date. Comparer les compagnies et horaires.</w:t>
      </w:r>
    </w:p>
    <w:p>
      <w:r>
        <w:rPr>
          <w:b/>
          <w:color w:val="334155"/>
          <w:sz w:val="22"/>
        </w:rPr>
        <w:t>Réserver</w:t>
      </w:r>
    </w:p>
    <w:p>
      <w:r>
        <w:rPr>
          <w:b w:val="0"/>
          <w:color w:val="334155"/>
          <w:sz w:val="22"/>
        </w:rPr>
        <w:t>Choisir un départ → nom, téléphone, siège, réseau Mobile Money.</w:t>
      </w:r>
    </w:p>
    <w:p>
      <w:r>
        <w:rPr>
          <w:b/>
          <w:color w:val="334155"/>
          <w:sz w:val="22"/>
        </w:rPr>
        <w:t>Payer</w:t>
      </w:r>
    </w:p>
    <w:p>
      <w:r>
        <w:rPr>
          <w:b w:val="0"/>
          <w:color w:val="334155"/>
          <w:sz w:val="22"/>
        </w:rPr>
        <w:t>Redirection FedaPay. Le siège n'est confirmé qu'après paiement réussi.</w:t>
      </w:r>
    </w:p>
    <w:p>
      <w:r>
        <w:rPr>
          <w:b/>
          <w:color w:val="334155"/>
          <w:sz w:val="22"/>
        </w:rPr>
        <w:t>Mes réservations</w:t>
      </w:r>
    </w:p>
    <w:p>
      <w:r>
        <w:rPr>
          <w:b w:val="0"/>
          <w:color w:val="334155"/>
          <w:sz w:val="22"/>
        </w:rPr>
        <w:t>Billet avec référence et QR code à présenter à l'embarquement.</w:t>
      </w:r>
    </w:p>
    <w:p>
      <w:r>
        <w:rPr>
          <w:b/>
          <w:color w:val="334155"/>
          <w:sz w:val="22"/>
        </w:rPr>
        <w:t>Fidélité</w:t>
      </w:r>
    </w:p>
    <w:p>
      <w:r>
        <w:rPr>
          <w:b w:val="0"/>
          <w:color w:val="334155"/>
          <w:sz w:val="22"/>
        </w:rPr>
        <w:t>Points compagnie et plateforme, codes promo, parrainage.</w:t>
      </w:r>
    </w:p>
    <w:p>
      <w:pPr>
        <w:pStyle w:val="Heading1"/>
      </w:pPr>
      <w:r>
        <w:rPr>
          <w:color w:val="0F172A"/>
        </w:rPr>
        <w:t>6. Flux quotidien recommandé</w:t>
      </w:r>
    </w:p>
    <w:p>
      <w:pPr>
        <w:pStyle w:val="ListBullet"/>
      </w:pPr>
      <w:r>
        <w:rPr>
          <w:sz w:val="21"/>
        </w:rPr>
        <w:t>Matin — Owner vérifie les départs du jour · Vendeur ouvre sa caisse.</w:t>
      </w:r>
    </w:p>
    <w:p>
      <w:pPr>
        <w:pStyle w:val="ListBullet"/>
      </w:pPr>
      <w:r>
        <w:rPr>
          <w:sz w:val="21"/>
        </w:rPr>
        <w:t>Journée — Ventes guichet + réservations en ligne · Contrôleur scanne à l'embarquement.</w:t>
      </w:r>
    </w:p>
    <w:p>
      <w:pPr>
        <w:pStyle w:val="ListBullet"/>
      </w:pPr>
      <w:r>
        <w:rPr>
          <w:sz w:val="21"/>
        </w:rPr>
        <w:t>Soir — Vendeur soumet reversement · Comptable valide · Owner consulte les rapports.</w:t>
      </w:r>
    </w:p>
    <w:p>
      <w:pPr>
        <w:pStyle w:val="Heading1"/>
      </w:pPr>
      <w:r>
        <w:rPr>
          <w:color w:val="0F172A"/>
        </w:rPr>
        <w:t>7. Aide intégrée</w:t>
      </w:r>
    </w:p>
    <w:p>
      <w:r>
        <w:rPr>
          <w:b w:val="0"/>
          <w:color w:val="334155"/>
          <w:sz w:val="22"/>
        </w:rPr>
        <w:t>Bouton « Explorer les fonctionnalités » (header, sidebar ou menu utilisateur) : guide interactif rejouable à tout moment. Navigation clavier : flèches ← →, Entrée, Échap.</w:t>
      </w:r>
    </w:p>
    <w:p>
      <w:pPr>
        <w:pStyle w:val="Heading1"/>
      </w:pPr>
      <w:r>
        <w:rPr>
          <w:color w:val="0F172A"/>
        </w:rPr>
        <w:t>8. Dépannage rapide</w:t>
      </w:r>
    </w:p>
    <w:p>
      <w:r>
        <w:rPr>
          <w:b w:val="0"/>
          <w:color w:val="334155"/>
          <w:sz w:val="22"/>
        </w:rPr>
        <w:t>Vente guichet impossible — Vérifier que la caisse est ouverte. Message d'erreur affiché en détail dans l'application.</w:t>
      </w:r>
    </w:p>
    <w:p>
      <w:r>
        <w:rPr>
          <w:b w:val="0"/>
          <w:color w:val="334155"/>
          <w:sz w:val="22"/>
        </w:rPr>
        <w:t>Réservation complète — Plus de places sur le départ — choisir un autre horaire.</w:t>
      </w:r>
    </w:p>
    <w:p>
      <w:r>
        <w:rPr>
          <w:b w:val="0"/>
          <w:color w:val="334155"/>
          <w:sz w:val="22"/>
        </w:rPr>
        <w:t>Reversement bloqué — Un reversement est déjà en attente ; attendre validation comptable.</w:t>
      </w:r>
    </w:p>
    <w:p>
      <w:r>
        <w:rPr>
          <w:b w:val="0"/>
          <w:color w:val="334155"/>
          <w:sz w:val="22"/>
        </w:rPr>
        <w:t>Scanner invalide — Billet annulé, non payé ou déjà embarqué — message explicite à l'écran.</w:t>
      </w:r>
    </w:p>
    <w:p>
      <w:pPr>
        <w:jc w:val="center"/>
      </w:pPr>
      <w:r>
        <w:rPr>
          <w:color w:val="94A3B8"/>
          <w:sz w:val="18"/>
        </w:rPr>
        <w:br/>
        <w:t>— Document généré pour Tibus · Compagnie de transport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