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6B7280"/>
          <w:sz w:val="30"/>
          <w:szCs w:val="30"/>
        </w:rPr>
        <w:t xml:space="preserve">ÉTUDE DE FAISABILITÉ</w:t>
      </w:r>
    </w:p>
    <w:p>
      <w:pPr>
        <w:spacing w:after="160" w:before="160"/>
        <w:jc w:val="center"/>
      </w:pPr>
      <w:r>
        <w:rPr>
          <w:b/>
          <w:bCs/>
          <w:color w:val="1B5E20"/>
          <w:sz w:val="56"/>
          <w:szCs w:val="56"/>
        </w:rPr>
        <w:t xml:space="preserve">Projet « Courrier »</w:t>
      </w:r>
    </w:p>
    <w:p>
      <w:pPr>
        <w:spacing w:after="400"/>
        <w:jc w:val="center"/>
      </w:pPr>
      <w:r>
        <w:rPr>
          <w:i/>
          <w:iCs/>
          <w:color w:val="374151"/>
          <w:sz w:val="24"/>
          <w:szCs w:val="24"/>
        </w:rPr>
        <w:t xml:space="preserve">Application mobile autonome de gestion de colis — Flutter / Dart + base Supabase dédiée</w:t>
      </w:r>
    </w:p>
    <w:p>
      <w:pPr>
        <w:spacing w:after="60"/>
        <w:jc w:val="center"/>
      </w:pPr>
      <w:r>
        <w:rPr>
          <w:color w:val="6B7280"/>
          <w:sz w:val="20"/>
          <w:szCs w:val="20"/>
        </w:rPr>
        <w:t xml:space="preserve">Dérivé du module « Colis Autonome » de Tibus</w:t>
      </w:r>
    </w:p>
    <w:p>
      <w:pPr>
        <w:spacing w:before="800"/>
        <w:jc w:val="center"/>
      </w:pPr>
      <w:r>
        <w:rPr>
          <w:color w:val="6B7280"/>
          <w:sz w:val="20"/>
          <w:szCs w:val="20"/>
        </w:rPr>
        <w:t xml:space="preserve">11 juillet 2026</w:t>
      </w:r>
    </w:p>
    <w:p>
      <w:pPr>
        <w:jc w:val="center"/>
      </w:pPr>
      <w:r>
        <w:rPr>
          <w:color w:val="6B7280"/>
          <w:sz w:val="20"/>
          <w:szCs w:val="20"/>
        </w:rPr>
        <w:t xml:space="preserve">Document préparé pour Tabis</w:t>
      </w:r>
    </w:p>
    <w:p>
      <w:pPr>
        <w:pageBreakBefore/>
      </w:pPr>
      <w:r>
        <w:br/>
        <w:t xml:space="preserve"/>
      </w:r>
    </w:p>
    <w:p>
      <w:pPr>
        <w:pStyle w:val="Heading1"/>
        <w:pBdr>
          <w:bottom w:val="single" w:color="2E7D32" w:sz="6" w:space="4"/>
        </w:pBdr>
        <w:spacing w:after="160" w:before="360"/>
      </w:pPr>
      <w:r>
        <w:rPr>
          <w:b/>
          <w:bCs/>
          <w:color w:val="1B5E20"/>
          <w:sz w:val="30"/>
          <w:szCs w:val="30"/>
        </w:rPr>
        <w:t xml:space="preserve">1. Contexte et constat</w:t>
      </w:r>
    </w:p>
    <w:p>
      <w:pPr>
        <w:spacing w:after="160" w:line="300"/>
      </w:pPr>
      <w:r>
        <w:rPr>
          <w:sz w:val="21"/>
          <w:szCs w:val="21"/>
        </w:rPr>
        <w:t xml:space="preserve">Le projet Tibus a été conçu à l'origine comme une plateforme de billetterie de transport routier (vente de billets, réservations, gestion de flotte, gares, commissions multi-niveaux, paiements mobiles via FedaPay et GeniusPay, fidélité, codes promo, contrats propriétaires, etc.). Le module « Colis Autonome » — celui illustré par les captures d'écran de référence (accueil, liste des colis, statistiques) — y a été ajouté par la suite pour répondre au besoin d'un client souhaitant expédier et récupérer des colis indépendamment d'un trajet en bus.</w:t>
      </w:r>
    </w:p>
    <w:p>
      <w:pPr>
        <w:spacing w:after="160" w:line="300"/>
      </w:pPr>
      <w:r>
        <w:rPr>
          <w:sz w:val="21"/>
          <w:szCs w:val="21"/>
        </w:rPr>
        <w:t xml:space="preserve">L'examen du code existant confirme que ce module est déjà relativement bien isolé sur le plan fonctionnel : une table dédiée (colis_autonome), une nomenclature de natures de colis, un cycle de statut propre (enregistré → chargé → arrivé → livré), des fonctions PostgreSQL dédiées (register_colis_autonome, list_colis_autonomes, update_colis_autonome_statut, deliver_colis_autonome, resolve_colis_retrait_code) et une fonction d'envoi de SMS séparée (colis-sms-notify).</w:t>
      </w:r>
    </w:p>
    <w:p>
      <w:pPr>
        <w:spacing w:after="160" w:line="300"/>
      </w:pPr>
      <w:r>
        <w:rPr>
          <w:sz w:val="21"/>
          <w:szCs w:val="21"/>
        </w:rPr>
        <w:t xml:space="preserve">Le problème n'est donc pas l'isolement fonctionnel du module, mais son environnement : il vit dans une base de données unique partagée avec plus de 160 migrations liées à la billetterie (paiements voyageurs, commissions stakeholders, fidélité, cartographie des gares, incidents de trajet, contrats propriétaires…) et dans une application web (React/Vite) packagée en application mobile via Capacitor — une webview, pas une application native. Chaque évolution demandée pour le client colis doit composer avec cet ensemble, ce qui ralentit les livraisons, complexifie les tests de non-régression et alourdit l'application pour un usage qui, lui, est simple : enregistrer un colis, suivre son statut, l'encaisser, le livrer.</w:t>
      </w:r>
    </w:p>
    <w:p>
      <w:pPr>
        <w:pBdr>
          <w:left w:val="single" w:color="2E7D32" w:sz="18" w:space="8"/>
        </w:pBdr>
        <w:shd w:fill="E8F5E9" w:val="clear"/>
        <w:spacing w:after="200" w:before="60"/>
        <w:ind w:left="100"/>
      </w:pPr>
      <w:r>
        <w:rPr>
          <w:i/>
          <w:iCs/>
          <w:color w:val="374151"/>
          <w:sz w:val="21"/>
          <w:szCs w:val="21"/>
        </w:rPr>
        <w:t xml:space="preserve">Constat : le risque n'est pas que le module colis soit mal conçu, mais qu'il continue de porter le poids d'un socle pensé pour un tout autre métier (la billetterie voyageurs).</w:t>
      </w:r>
    </w:p>
    <w:p>
      <w:pPr>
        <w:pStyle w:val="Heading1"/>
        <w:pBdr>
          <w:bottom w:val="single" w:color="2E7D32" w:sz="6" w:space="4"/>
        </w:pBdr>
        <w:spacing w:after="160" w:before="360"/>
      </w:pPr>
      <w:r>
        <w:rPr>
          <w:b/>
          <w:bCs/>
          <w:color w:val="1B5E20"/>
          <w:sz w:val="30"/>
          <w:szCs w:val="30"/>
        </w:rPr>
        <w:t xml:space="preserve">2. Objectif de l'étude</w:t>
      </w:r>
    </w:p>
    <w:p>
      <w:pPr>
        <w:spacing w:after="160" w:line="300"/>
      </w:pPr>
      <w:r>
        <w:rPr>
          <w:sz w:val="21"/>
          <w:szCs w:val="21"/>
        </w:rPr>
        <w:t xml:space="preserve">Évaluer la faisabilité de sortir le périmètre « colis autonome » dans un projet indépendant, baptisé Courrier, avec :</w:t>
      </w:r>
    </w:p>
    <w:p>
      <w:pPr>
        <w:pStyle w:val="ListParagraph"/>
        <w:numPr>
          <w:ilvl w:val="0"/>
          <w:numId w:val="2"/>
        </w:numPr>
        <w:spacing w:after="90"/>
      </w:pPr>
      <w:r>
        <w:rPr>
          <w:sz w:val="21"/>
          <w:szCs w:val="21"/>
        </w:rPr>
        <w:t xml:space="preserve">une base de données Supabase neuve et dédiée, sans aucune des tables/fonctions liées à la billetterie voyageurs ;</w:t>
      </w:r>
    </w:p>
    <w:p>
      <w:pPr>
        <w:pStyle w:val="ListParagraph"/>
        <w:numPr>
          <w:ilvl w:val="0"/>
          <w:numId w:val="2"/>
        </w:numPr>
        <w:spacing w:after="90"/>
      </w:pPr>
      <w:r>
        <w:rPr>
          <w:sz w:val="21"/>
          <w:szCs w:val="21"/>
        </w:rPr>
        <w:t xml:space="preserve">une application mobile native écrite en Flutter/Dart (au lieu d'une webview Capacitor), pour un poids d'application réduit et une expérience mobile plus fluide ;</w:t>
      </w:r>
    </w:p>
    <w:p>
      <w:pPr>
        <w:pStyle w:val="ListParagraph"/>
        <w:numPr>
          <w:ilvl w:val="0"/>
          <w:numId w:val="2"/>
        </w:numPr>
        <w:spacing w:after="90"/>
      </w:pPr>
      <w:r>
        <w:rPr>
          <w:sz w:val="21"/>
          <w:szCs w:val="21"/>
        </w:rPr>
        <w:t xml:space="preserve">un modèle de rôles et de permissions repris à l'identique dans son principe (mêmes rôles, mêmes attributions), mais appliqué à un périmètre fonctionnel réduit ;</w:t>
      </w:r>
    </w:p>
    <w:p>
      <w:pPr>
        <w:pStyle w:val="ListParagraph"/>
        <w:numPr>
          <w:ilvl w:val="0"/>
          <w:numId w:val="2"/>
        </w:numPr>
        <w:spacing w:after="90"/>
      </w:pPr>
      <w:r>
        <w:rPr>
          <w:sz w:val="21"/>
          <w:szCs w:val="21"/>
        </w:rPr>
        <w:t xml:space="preserve">un design fidèle aux captures d'écran fournies (palette verte, cartes de synthèse, navigation basse à 5 entrées).</w:t>
      </w:r>
    </w:p>
    <w:p>
      <w:pPr>
        <w:spacing w:after="160" w:line="300"/>
      </w:pPr>
      <w:r>
        <w:rPr>
          <w:sz w:val="21"/>
          <w:szCs w:val="21"/>
        </w:rPr>
        <w:t xml:space="preserve">Réponse courte : oui, c'est faisable. Le module colis autonome est suffisamment autonome dans sa logique métier pour être extrait et réécrit sans dépendre du reste de Tibus. La section 4 détaille précisément ce qui est repris et ce qui est laissé de côté.</w:t>
      </w:r>
    </w:p>
    <w:p>
      <w:pPr>
        <w:pStyle w:val="Heading1"/>
        <w:pBdr>
          <w:bottom w:val="single" w:color="2E7D32" w:sz="6" w:space="4"/>
        </w:pBdr>
        <w:spacing w:after="160" w:before="360"/>
      </w:pPr>
      <w:r>
        <w:rPr>
          <w:b/>
          <w:bCs/>
          <w:color w:val="1B5E20"/>
          <w:sz w:val="30"/>
          <w:szCs w:val="30"/>
        </w:rPr>
        <w:t xml:space="preserve">3. Périmètre : ce qui est repris, ce qui est écarté</w:t>
      </w:r>
    </w:p>
    <w:p>
      <w:pPr>
        <w:spacing w:after="160" w:line="300"/>
      </w:pPr>
      <w:r>
        <w:rPr>
          <w:sz w:val="21"/>
          <w:szCs w:val="21"/>
        </w:rPr>
        <w:t xml:space="preserve">Le tableau ci-dessous synthétise, domaine par domaine, ce que Courrier conserve du fonctionnement actuel et ce qu'il n'embarque pas — c'est le cœur de la « mise à la diète » recherchée.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2E7D32" w:val="clear"/>
            <w:tcMar>
              <w:top w:type="dxa" w:w="80"/>
              <w:left w:type="dxa" w:w="100"/>
              <w:bottom w:type="dxa" w:w="80"/>
              <w:right w:type="dxa" w:w="100"/>
            </w:tcMar>
          </w:tcPr>
          <w:p>
            <w:pPr>
              <w:jc w:val="left"/>
            </w:pPr>
            <w:r>
              <w:rPr>
                <w:b/>
                <w:bCs/>
                <w:color w:val="FFFFFF"/>
                <w:sz w:val="19"/>
                <w:szCs w:val="19"/>
              </w:rPr>
              <w:t xml:space="preserve">Domaine</w:t>
            </w:r>
          </w:p>
        </w:tc>
        <w:tc>
          <w:tcPr>
            <w:tcW w:type="dxa" w:w="3200"/>
            <w:shd w:fill="2E7D32" w:val="clear"/>
            <w:tcMar>
              <w:top w:type="dxa" w:w="80"/>
              <w:left w:type="dxa" w:w="100"/>
              <w:bottom w:type="dxa" w:w="80"/>
              <w:right w:type="dxa" w:w="100"/>
            </w:tcMar>
          </w:tcPr>
          <w:p>
            <w:pPr>
              <w:jc w:val="left"/>
            </w:pPr>
            <w:r>
              <w:rPr>
                <w:b/>
                <w:bCs/>
                <w:color w:val="FFFFFF"/>
                <w:sz w:val="19"/>
                <w:szCs w:val="19"/>
              </w:rPr>
              <w:t xml:space="preserve">Courrier (conservé)</w:t>
            </w:r>
          </w:p>
        </w:tc>
        <w:tc>
          <w:tcPr>
            <w:tcW w:type="dxa" w:w="3200"/>
            <w:shd w:fill="2E7D32" w:val="clear"/>
            <w:tcMar>
              <w:top w:type="dxa" w:w="80"/>
              <w:left w:type="dxa" w:w="100"/>
              <w:bottom w:type="dxa" w:w="80"/>
              <w:right w:type="dxa" w:w="100"/>
            </w:tcMar>
          </w:tcPr>
          <w:p>
            <w:pPr>
              <w:jc w:val="left"/>
            </w:pPr>
            <w:r>
              <w:rPr>
                <w:b/>
                <w:bCs/>
                <w:color w:val="FFFFFF"/>
                <w:sz w:val="19"/>
                <w:szCs w:val="19"/>
              </w:rPr>
              <w:t xml:space="preserve">Tibus (écarté)</w:t>
            </w:r>
          </w:p>
        </w:tc>
      </w:tr>
      <w:tr>
        <w:tc>
          <w:tcPr>
            <w:tcW w:type="dxa" w:w="3200"/>
            <w:tcMar>
              <w:top w:type="dxa" w:w="80"/>
              <w:left w:type="dxa" w:w="100"/>
              <w:bottom w:type="dxa" w:w="80"/>
              <w:right w:type="dxa" w:w="100"/>
            </w:tcMar>
          </w:tcPr>
          <w:p>
            <w:pPr>
              <w:jc w:val="left"/>
            </w:pPr>
            <w:r>
              <w:rPr>
                <w:b w:val="false"/>
                <w:bCs w:val="false"/>
                <w:color w:val="111827"/>
                <w:sz w:val="19"/>
                <w:szCs w:val="19"/>
              </w:rPr>
              <w:t xml:space="preserve">Cœur métier</w:t>
            </w:r>
          </w:p>
        </w:tc>
        <w:tc>
          <w:tcPr>
            <w:tcW w:type="dxa" w:w="3200"/>
            <w:tcMar>
              <w:top w:type="dxa" w:w="80"/>
              <w:left w:type="dxa" w:w="100"/>
              <w:bottom w:type="dxa" w:w="80"/>
              <w:right w:type="dxa" w:w="100"/>
            </w:tcMar>
          </w:tcPr>
          <w:p>
            <w:pPr>
              <w:jc w:val="left"/>
            </w:pPr>
            <w:r>
              <w:rPr>
                <w:b w:val="false"/>
                <w:bCs w:val="false"/>
                <w:color w:val="111827"/>
                <w:sz w:val="19"/>
                <w:szCs w:val="19"/>
              </w:rPr>
              <w:t xml:space="preserve">Colis autonome : enregistrement, cycle de statut, livraison</w:t>
            </w:r>
          </w:p>
        </w:tc>
        <w:tc>
          <w:tcPr>
            <w:tcW w:type="dxa" w:w="3200"/>
            <w:tcMar>
              <w:top w:type="dxa" w:w="80"/>
              <w:left w:type="dxa" w:w="100"/>
              <w:bottom w:type="dxa" w:w="80"/>
              <w:right w:type="dxa" w:w="100"/>
            </w:tcMar>
          </w:tcPr>
          <w:p>
            <w:pPr>
              <w:jc w:val="left"/>
            </w:pPr>
            <w:r>
              <w:rPr>
                <w:b w:val="false"/>
                <w:bCs w:val="false"/>
                <w:color w:val="111827"/>
                <w:sz w:val="19"/>
                <w:szCs w:val="19"/>
              </w:rPr>
              <w:t xml:space="preserve">Billetterie bus, réservations voyageurs, sièges</w:t>
            </w:r>
          </w:p>
        </w:tc>
      </w:tr>
      <w:tr>
        <w:tc>
          <w:tcPr>
            <w:tcW w:type="dxa" w:w="3200"/>
            <w:shd w:fill="F3F4F6" w:val="clear"/>
            <w:tcMar>
              <w:top w:type="dxa" w:w="80"/>
              <w:left w:type="dxa" w:w="100"/>
              <w:bottom w:type="dxa" w:w="80"/>
              <w:right w:type="dxa" w:w="100"/>
            </w:tcMar>
          </w:tcPr>
          <w:p>
            <w:pPr>
              <w:jc w:val="left"/>
            </w:pPr>
            <w:r>
              <w:rPr>
                <w:b w:val="false"/>
                <w:bCs w:val="false"/>
                <w:color w:val="111827"/>
                <w:sz w:val="19"/>
                <w:szCs w:val="19"/>
              </w:rPr>
              <w:t xml:space="preserve">Paiements</w:t>
            </w:r>
          </w:p>
        </w:tc>
        <w:tc>
          <w:tcPr>
            <w:tcW w:type="dxa" w:w="3200"/>
            <w:shd w:fill="F3F4F6" w:val="clear"/>
            <w:tcMar>
              <w:top w:type="dxa" w:w="80"/>
              <w:left w:type="dxa" w:w="100"/>
              <w:bottom w:type="dxa" w:w="80"/>
              <w:right w:type="dxa" w:w="100"/>
            </w:tcMar>
          </w:tcPr>
          <w:p>
            <w:pPr>
              <w:jc w:val="left"/>
            </w:pPr>
            <w:r>
              <w:rPr>
                <w:b w:val="false"/>
                <w:bCs w:val="false"/>
                <w:color w:val="111827"/>
                <w:sz w:val="19"/>
                <w:szCs w:val="19"/>
              </w:rPr>
              <w:t xml:space="preserve">Montant fret encaissé en espèces au guichet</w:t>
            </w:r>
          </w:p>
        </w:tc>
        <w:tc>
          <w:tcPr>
            <w:tcW w:type="dxa" w:w="3200"/>
            <w:shd w:fill="F3F4F6" w:val="clear"/>
            <w:tcMar>
              <w:top w:type="dxa" w:w="80"/>
              <w:left w:type="dxa" w:w="100"/>
              <w:bottom w:type="dxa" w:w="80"/>
              <w:right w:type="dxa" w:w="100"/>
            </w:tcMar>
          </w:tcPr>
          <w:p>
            <w:pPr>
              <w:jc w:val="left"/>
            </w:pPr>
            <w:r>
              <w:rPr>
                <w:b w:val="false"/>
                <w:bCs w:val="false"/>
                <w:color w:val="111827"/>
                <w:sz w:val="19"/>
                <w:szCs w:val="19"/>
              </w:rPr>
              <w:t xml:space="preserve">FedaPay, GeniusPay, frais de transaction voyageurs</w:t>
            </w:r>
          </w:p>
        </w:tc>
      </w:tr>
      <w:tr>
        <w:tc>
          <w:tcPr>
            <w:tcW w:type="dxa" w:w="3200"/>
            <w:tcMar>
              <w:top w:type="dxa" w:w="80"/>
              <w:left w:type="dxa" w:w="100"/>
              <w:bottom w:type="dxa" w:w="80"/>
              <w:right w:type="dxa" w:w="100"/>
            </w:tcMar>
          </w:tcPr>
          <w:p>
            <w:pPr>
              <w:jc w:val="left"/>
            </w:pPr>
            <w:r>
              <w:rPr>
                <w:b w:val="false"/>
                <w:bCs w:val="false"/>
                <w:color w:val="111827"/>
                <w:sz w:val="19"/>
                <w:szCs w:val="19"/>
              </w:rPr>
              <w:t xml:space="preserve">Comptabilité</w:t>
            </w:r>
          </w:p>
        </w:tc>
        <w:tc>
          <w:tcPr>
            <w:tcW w:type="dxa" w:w="3200"/>
            <w:tcMar>
              <w:top w:type="dxa" w:w="80"/>
              <w:left w:type="dxa" w:w="100"/>
              <w:bottom w:type="dxa" w:w="80"/>
              <w:right w:type="dxa" w:w="100"/>
            </w:tcMar>
          </w:tcPr>
          <w:p>
            <w:pPr>
              <w:jc w:val="left"/>
            </w:pPr>
            <w:r>
              <w:rPr>
                <w:b w:val="false"/>
                <w:bCs w:val="false"/>
                <w:color w:val="111827"/>
                <w:sz w:val="19"/>
                <w:szCs w:val="19"/>
              </w:rPr>
              <w:t xml:space="preserve">Journal de caisse colis (encaissé / à reverser)</w:t>
            </w:r>
          </w:p>
        </w:tc>
        <w:tc>
          <w:tcPr>
            <w:tcW w:type="dxa" w:w="3200"/>
            <w:tcMar>
              <w:top w:type="dxa" w:w="80"/>
              <w:left w:type="dxa" w:w="100"/>
              <w:bottom w:type="dxa" w:w="80"/>
              <w:right w:type="dxa" w:w="100"/>
            </w:tcMar>
          </w:tcPr>
          <w:p>
            <w:pPr>
              <w:jc w:val="left"/>
            </w:pPr>
            <w:r>
              <w:rPr>
                <w:b w:val="false"/>
                <w:bCs w:val="false"/>
                <w:color w:val="111827"/>
                <w:sz w:val="19"/>
                <w:szCs w:val="19"/>
              </w:rPr>
              <w:t xml:space="preserve">Commissions multi-niveaux (stakeholders), OHADA</w:t>
            </w:r>
          </w:p>
        </w:tc>
      </w:tr>
      <w:tr>
        <w:tc>
          <w:tcPr>
            <w:tcW w:type="dxa" w:w="3200"/>
            <w:shd w:fill="F3F4F6" w:val="clear"/>
            <w:tcMar>
              <w:top w:type="dxa" w:w="80"/>
              <w:left w:type="dxa" w:w="100"/>
              <w:bottom w:type="dxa" w:w="80"/>
              <w:right w:type="dxa" w:w="100"/>
            </w:tcMar>
          </w:tcPr>
          <w:p>
            <w:pPr>
              <w:jc w:val="left"/>
            </w:pPr>
            <w:r>
              <w:rPr>
                <w:b w:val="false"/>
                <w:bCs w:val="false"/>
                <w:color w:val="111827"/>
                <w:sz w:val="19"/>
                <w:szCs w:val="19"/>
              </w:rPr>
              <w:t xml:space="preserve">Notifications</w:t>
            </w:r>
          </w:p>
        </w:tc>
        <w:tc>
          <w:tcPr>
            <w:tcW w:type="dxa" w:w="3200"/>
            <w:shd w:fill="F3F4F6" w:val="clear"/>
            <w:tcMar>
              <w:top w:type="dxa" w:w="80"/>
              <w:left w:type="dxa" w:w="100"/>
              <w:bottom w:type="dxa" w:w="80"/>
              <w:right w:type="dxa" w:w="100"/>
            </w:tcMar>
          </w:tcPr>
          <w:p>
            <w:pPr>
              <w:jc w:val="left"/>
            </w:pPr>
            <w:r>
              <w:rPr>
                <w:b w:val="false"/>
                <w:bCs w:val="false"/>
                <w:color w:val="111827"/>
                <w:sz w:val="19"/>
                <w:szCs w:val="19"/>
              </w:rPr>
              <w:t xml:space="preserve">SMS expéditeur / destinataire par étape</w:t>
            </w:r>
          </w:p>
        </w:tc>
        <w:tc>
          <w:tcPr>
            <w:tcW w:type="dxa" w:w="3200"/>
            <w:shd w:fill="F3F4F6" w:val="clear"/>
            <w:tcMar>
              <w:top w:type="dxa" w:w="80"/>
              <w:left w:type="dxa" w:w="100"/>
              <w:bottom w:type="dxa" w:w="80"/>
              <w:right w:type="dxa" w:w="100"/>
            </w:tcMar>
          </w:tcPr>
          <w:p>
            <w:pPr>
              <w:jc w:val="left"/>
            </w:pPr>
            <w:r>
              <w:rPr>
                <w:b w:val="false"/>
                <w:bCs w:val="false"/>
                <w:color w:val="111827"/>
                <w:sz w:val="19"/>
                <w:szCs w:val="19"/>
              </w:rPr>
              <w:t xml:space="preserve">Notifications superadmin, alertes plateforme</w:t>
            </w:r>
          </w:p>
        </w:tc>
      </w:tr>
      <w:tr>
        <w:tc>
          <w:tcPr>
            <w:tcW w:type="dxa" w:w="3200"/>
            <w:tcMar>
              <w:top w:type="dxa" w:w="80"/>
              <w:left w:type="dxa" w:w="100"/>
              <w:bottom w:type="dxa" w:w="80"/>
              <w:right w:type="dxa" w:w="100"/>
            </w:tcMar>
          </w:tcPr>
          <w:p>
            <w:pPr>
              <w:jc w:val="left"/>
            </w:pPr>
            <w:r>
              <w:rPr>
                <w:b w:val="false"/>
                <w:bCs w:val="false"/>
                <w:color w:val="111827"/>
                <w:sz w:val="19"/>
                <w:szCs w:val="19"/>
              </w:rPr>
              <w:t xml:space="preserve">Utilisateurs</w:t>
            </w:r>
          </w:p>
        </w:tc>
        <w:tc>
          <w:tcPr>
            <w:tcW w:type="dxa" w:w="3200"/>
            <w:tcMar>
              <w:top w:type="dxa" w:w="80"/>
              <w:left w:type="dxa" w:w="100"/>
              <w:bottom w:type="dxa" w:w="80"/>
              <w:right w:type="dxa" w:w="100"/>
            </w:tcMar>
          </w:tcPr>
          <w:p>
            <w:pPr>
              <w:jc w:val="left"/>
            </w:pPr>
            <w:r>
              <w:rPr>
                <w:b w:val="false"/>
                <w:bCs w:val="false"/>
                <w:color w:val="111827"/>
                <w:sz w:val="19"/>
                <w:szCs w:val="19"/>
              </w:rPr>
              <w:t xml:space="preserve">Rôles &amp; permissions (modèle conservé, périmètre réduit)</w:t>
            </w:r>
          </w:p>
        </w:tc>
        <w:tc>
          <w:tcPr>
            <w:tcW w:type="dxa" w:w="3200"/>
            <w:tcMar>
              <w:top w:type="dxa" w:w="80"/>
              <w:left w:type="dxa" w:w="100"/>
              <w:bottom w:type="dxa" w:w="80"/>
              <w:right w:type="dxa" w:w="100"/>
            </w:tcMar>
          </w:tcPr>
          <w:p>
            <w:pPr>
              <w:jc w:val="left"/>
            </w:pPr>
            <w:r>
              <w:rPr>
                <w:b w:val="false"/>
                <w:bCs w:val="false"/>
                <w:color w:val="111827"/>
                <w:sz w:val="19"/>
                <w:szCs w:val="19"/>
              </w:rPr>
              <w:t xml:space="preserve">Fidélité, codes promo, offres commerciales, parrainage</w:t>
            </w:r>
          </w:p>
        </w:tc>
      </w:tr>
      <w:tr>
        <w:tc>
          <w:tcPr>
            <w:tcW w:type="dxa" w:w="3200"/>
            <w:shd w:fill="F3F4F6" w:val="clear"/>
            <w:tcMar>
              <w:top w:type="dxa" w:w="80"/>
              <w:left w:type="dxa" w:w="100"/>
              <w:bottom w:type="dxa" w:w="80"/>
              <w:right w:type="dxa" w:w="100"/>
            </w:tcMar>
          </w:tcPr>
          <w:p>
            <w:pPr>
              <w:jc w:val="left"/>
            </w:pPr>
            <w:r>
              <w:rPr>
                <w:b w:val="false"/>
                <w:bCs w:val="false"/>
                <w:color w:val="111827"/>
                <w:sz w:val="19"/>
                <w:szCs w:val="19"/>
              </w:rPr>
              <w:t xml:space="preserve">Réseau</w:t>
            </w:r>
          </w:p>
        </w:tc>
        <w:tc>
          <w:tcPr>
            <w:tcW w:type="dxa" w:w="3200"/>
            <w:shd w:fill="F3F4F6" w:val="clear"/>
            <w:tcMar>
              <w:top w:type="dxa" w:w="80"/>
              <w:left w:type="dxa" w:w="100"/>
              <w:bottom w:type="dxa" w:w="80"/>
              <w:right w:type="dxa" w:w="100"/>
            </w:tcMar>
          </w:tcPr>
          <w:p>
            <w:pPr>
              <w:jc w:val="left"/>
            </w:pPr>
            <w:r>
              <w:rPr>
                <w:b w:val="false"/>
                <w:bCs w:val="false"/>
                <w:color w:val="111827"/>
                <w:sz w:val="19"/>
                <w:szCs w:val="19"/>
              </w:rPr>
              <w:t xml:space="preserve">Gares de départ / destination (référentiel simplifié)</w:t>
            </w:r>
          </w:p>
        </w:tc>
        <w:tc>
          <w:tcPr>
            <w:tcW w:type="dxa" w:w="3200"/>
            <w:shd w:fill="F3F4F6" w:val="clear"/>
            <w:tcMar>
              <w:top w:type="dxa" w:w="80"/>
              <w:left w:type="dxa" w:w="100"/>
              <w:bottom w:type="dxa" w:w="80"/>
              <w:right w:type="dxa" w:w="100"/>
            </w:tcMar>
          </w:tcPr>
          <w:p>
            <w:pPr>
              <w:jc w:val="left"/>
            </w:pPr>
            <w:r>
              <w:rPr>
                <w:b w:val="false"/>
                <w:bCs w:val="false"/>
                <w:color w:val="111827"/>
                <w:sz w:val="19"/>
                <w:szCs w:val="19"/>
              </w:rPr>
              <w:t xml:space="preserve">Cartographie gares, itinéraires, incidents de trajet</w:t>
            </w:r>
          </w:p>
        </w:tc>
      </w:tr>
      <w:tr>
        <w:tc>
          <w:tcPr>
            <w:tcW w:type="dxa" w:w="3200"/>
            <w:tcMar>
              <w:top w:type="dxa" w:w="80"/>
              <w:left w:type="dxa" w:w="100"/>
              <w:bottom w:type="dxa" w:w="80"/>
              <w:right w:type="dxa" w:w="100"/>
            </w:tcMar>
          </w:tcPr>
          <w:p>
            <w:pPr>
              <w:jc w:val="left"/>
            </w:pPr>
            <w:r>
              <w:rPr>
                <w:b w:val="false"/>
                <w:bCs w:val="false"/>
                <w:color w:val="111827"/>
                <w:sz w:val="19"/>
                <w:szCs w:val="19"/>
              </w:rPr>
              <w:t xml:space="preserve">Autres</w:t>
            </w:r>
          </w:p>
        </w:tc>
        <w:tc>
          <w:tcPr>
            <w:tcW w:type="dxa" w:w="3200"/>
            <w:tcMar>
              <w:top w:type="dxa" w:w="80"/>
              <w:left w:type="dxa" w:w="100"/>
              <w:bottom w:type="dxa" w:w="80"/>
              <w:right w:type="dxa" w:w="100"/>
            </w:tcMar>
          </w:tcPr>
          <w:p>
            <w:pPr>
              <w:jc w:val="left"/>
            </w:pPr>
            <w:r>
              <w:rPr>
                <w:b w:val="false"/>
                <w:bCs w:val="false"/>
                <w:color w:val="111827"/>
                <w:sz w:val="19"/>
                <w:szCs w:val="19"/>
              </w:rPr>
              <w:t xml:space="preserve">—</w:t>
            </w:r>
          </w:p>
        </w:tc>
        <w:tc>
          <w:tcPr>
            <w:tcW w:type="dxa" w:w="3200"/>
            <w:tcMar>
              <w:top w:type="dxa" w:w="80"/>
              <w:left w:type="dxa" w:w="100"/>
              <w:bottom w:type="dxa" w:w="80"/>
              <w:right w:type="dxa" w:w="100"/>
            </w:tcMar>
          </w:tcPr>
          <w:p>
            <w:pPr>
              <w:jc w:val="left"/>
            </w:pPr>
            <w:r>
              <w:rPr>
                <w:b w:val="false"/>
                <w:bCs w:val="false"/>
                <w:color w:val="111827"/>
                <w:sz w:val="19"/>
                <w:szCs w:val="19"/>
              </w:rPr>
              <w:t xml:space="preserve">Contrats propriétaire, scan/contrôle billets, audit plateforme</w:t>
            </w:r>
          </w:p>
        </w:tc>
      </w:tr>
    </w:tbl>
    <w:p>
      <w:pPr>
        <w:spacing w:before="200"/>
      </w:pPr>
    </w:p>
    <w:p>
      <w:pPr>
        <w:spacing w:after="160" w:line="300"/>
      </w:pPr>
      <w:r>
        <w:rPr>
          <w:sz w:val="21"/>
          <w:szCs w:val="21"/>
        </w:rPr>
        <w:t xml:space="preserve">Concrètement, l'écran d'accueil, la liste des colis et les statistiques visibles sur les captures de référence (total colis, colis du jour, montant du jour, répartition « récupérés / en attente ») sont exactement le périmètre que Courrier doit couvrir — rien de plus.</w:t>
      </w:r>
    </w:p>
    <w:p>
      <w:pPr>
        <w:pStyle w:val="Heading1"/>
        <w:pBdr>
          <w:bottom w:val="single" w:color="2E7D32" w:sz="6" w:space="4"/>
        </w:pBdr>
        <w:spacing w:after="160" w:before="360"/>
      </w:pPr>
      <w:r>
        <w:rPr>
          <w:b/>
          <w:bCs/>
          <w:color w:val="1B5E20"/>
          <w:sz w:val="30"/>
          <w:szCs w:val="30"/>
        </w:rPr>
        <w:t xml:space="preserve">4. Choix techniques proposés</w:t>
      </w:r>
    </w:p>
    <w:p>
      <w:pPr>
        <w:pStyle w:val="Heading2"/>
        <w:spacing w:after="120" w:before="280"/>
      </w:pPr>
      <w:r>
        <w:rPr>
          <w:b/>
          <w:bCs/>
          <w:color w:val="1B5E20"/>
          <w:sz w:val="24"/>
          <w:szCs w:val="24"/>
        </w:rPr>
        <w:t xml:space="preserve">4.1 Frontend mobile : Flutter/Dart natif</w:t>
      </w:r>
    </w:p>
    <w:p>
      <w:pPr>
        <w:spacing w:after="160" w:line="300"/>
      </w:pPr>
      <w:r>
        <w:rPr>
          <w:sz w:val="21"/>
          <w:szCs w:val="21"/>
        </w:rPr>
        <w:t xml:space="preserve">L'application actuelle est packagée pour mobile via Capacitor, c'est-à-dire une webview embarquant l'application React. Cela explique en partie la lourdeur ressentie (poids du bundle web, démarrage plus lent, accès natif limité). Passer à Flutter/Dart apporte :</w:t>
      </w:r>
    </w:p>
    <w:p>
      <w:pPr>
        <w:pStyle w:val="ListParagraph"/>
        <w:numPr>
          <w:ilvl w:val="0"/>
          <w:numId w:val="2"/>
        </w:numPr>
        <w:spacing w:after="90"/>
      </w:pPr>
      <w:r>
        <w:rPr>
          <w:sz w:val="21"/>
          <w:szCs w:val="21"/>
        </w:rPr>
        <w:t xml:space="preserve">une application compilée nativement (Android/iOS), plus légère et plus réactive ;</w:t>
      </w:r>
    </w:p>
    <w:p>
      <w:pPr>
        <w:pStyle w:val="ListParagraph"/>
        <w:numPr>
          <w:ilvl w:val="0"/>
          <w:numId w:val="2"/>
        </w:numPr>
        <w:spacing w:after="90"/>
      </w:pPr>
      <w:r>
        <w:rPr>
          <w:sz w:val="21"/>
          <w:szCs w:val="21"/>
        </w:rPr>
        <w:t xml:space="preserve">un accès direct aux API natives (scan QR/caméra pour le retrait de colis, notifications push, impression ticket/reçu le cas échéant) ;</w:t>
      </w:r>
    </w:p>
    <w:p>
      <w:pPr>
        <w:pStyle w:val="ListParagraph"/>
        <w:numPr>
          <w:ilvl w:val="0"/>
          <w:numId w:val="2"/>
        </w:numPr>
        <w:spacing w:after="90"/>
      </w:pPr>
      <w:r>
        <w:rPr>
          <w:sz w:val="21"/>
          <w:szCs w:val="21"/>
        </w:rPr>
        <w:t xml:space="preserve">un mode hors-ligne plus simple à mettre en œuvre qu'en webview (utile en gare, en cas de réseau instable) ;</w:t>
      </w:r>
    </w:p>
    <w:p>
      <w:pPr>
        <w:pStyle w:val="ListParagraph"/>
        <w:numPr>
          <w:ilvl w:val="0"/>
          <w:numId w:val="2"/>
        </w:numPr>
        <w:spacing w:after="90"/>
      </w:pPr>
      <w:r>
        <w:rPr>
          <w:sz w:val="21"/>
          <w:szCs w:val="21"/>
        </w:rPr>
        <w:t xml:space="preserve">un seul code Dart pour Android et iOS, avec un rendu visuel identique aux maquettes fournies.</w:t>
      </w:r>
    </w:p>
    <w:p>
      <w:pPr>
        <w:pStyle w:val="Heading2"/>
        <w:spacing w:after="120" w:before="280"/>
      </w:pPr>
      <w:r>
        <w:rPr>
          <w:b/>
          <w:bCs/>
          <w:color w:val="1B5E20"/>
          <w:sz w:val="24"/>
          <w:szCs w:val="24"/>
        </w:rPr>
        <w:t xml:space="preserve">4.2 Backend : nouveau projet Supabase dédié</w:t>
      </w:r>
    </w:p>
    <w:p>
      <w:pPr>
        <w:spacing w:after="160" w:line="300"/>
      </w:pPr>
      <w:r>
        <w:rPr>
          <w:sz w:val="21"/>
          <w:szCs w:val="21"/>
        </w:rPr>
        <w:t xml:space="preserve">Un nouveau projet Supabase (base Postgres, Auth, Storage, Edge Functions) est créé pour Courrier, totalement indépendant de la base Tibus actuelle. Deux options pour son contenu initial :</w:t>
      </w:r>
    </w:p>
    <w:p>
      <w:pPr>
        <w:pStyle w:val="ListParagraph"/>
        <w:numPr>
          <w:ilvl w:val="0"/>
          <w:numId w:val="2"/>
        </w:numPr>
        <w:spacing w:after="90"/>
      </w:pPr>
      <w:r>
        <w:rPr>
          <w:sz w:val="21"/>
          <w:szCs w:val="21"/>
        </w:rPr>
        <w:t xml:space="preserve">Option A — reprise adaptée : on repart des fonctions SQL existantes du module colis (register_colis_autonome, list_colis_autonomes, update_colis_autonome_statut, deliver_colis_autonome, get_company_colis_settings…) et de la fonction Edge colis-sms-notify, en les rebranchant sur un schéma réduit (sans les tables billetterie). Gain de temps important, logique métier déjà éprouvée en production.</w:t>
      </w:r>
    </w:p>
    <w:p>
      <w:pPr>
        <w:pStyle w:val="ListParagraph"/>
        <w:numPr>
          <w:ilvl w:val="0"/>
          <w:numId w:val="2"/>
        </w:numPr>
        <w:spacing w:after="90"/>
      </w:pPr>
      <w:r>
        <w:rPr>
          <w:sz w:val="21"/>
          <w:szCs w:val="21"/>
        </w:rPr>
        <w:t xml:space="preserve">Option B — réécriture minimale : on réécrit un schéma et des fonctions plus simples à partir du besoin réel, sans contrainte de compatibilité avec l'existant. Plus long, mais plus « propre ».</w:t>
      </w:r>
    </w:p>
    <w:p>
      <w:pPr>
        <w:pBdr>
          <w:left w:val="single" w:color="2E7D32" w:sz="18" w:space="8"/>
        </w:pBdr>
        <w:shd w:fill="E8F5E9" w:val="clear"/>
        <w:spacing w:after="200" w:before="60"/>
        <w:ind w:left="100"/>
      </w:pPr>
      <w:r>
        <w:rPr>
          <w:i/>
          <w:iCs/>
          <w:color w:val="374151"/>
          <w:sz w:val="21"/>
          <w:szCs w:val="21"/>
        </w:rPr>
        <w:t xml:space="preserve">Recommandation : Option A pour les fonctions RPC (register/list/update/deliver), qui sont déjà correctes et testées en production — seule leur portée est réduite. Option B pour tout ce qui est spécifique à la billetterie (gares avancées, paiements, commissions) : on ne migre pas ce qu'on ne garde pas.</w:t>
      </w:r>
    </w:p>
    <w:p>
      <w:pPr>
        <w:pStyle w:val="Heading1"/>
        <w:pBdr>
          <w:bottom w:val="single" w:color="2E7D32" w:sz="6" w:space="4"/>
        </w:pBdr>
        <w:spacing w:after="160" w:before="360"/>
      </w:pPr>
      <w:r>
        <w:rPr>
          <w:b/>
          <w:bCs/>
          <w:color w:val="1B5E20"/>
          <w:sz w:val="30"/>
          <w:szCs w:val="30"/>
        </w:rPr>
        <w:t xml:space="preserve">5. Rôles et permissions conservés</w:t>
      </w:r>
    </w:p>
    <w:p>
      <w:pPr>
        <w:spacing w:after="160" w:line="300"/>
      </w:pPr>
      <w:r>
        <w:rPr>
          <w:sz w:val="21"/>
          <w:szCs w:val="21"/>
        </w:rPr>
        <w:t xml:space="preserve">Conformément à la demande, le modèle de rôles n'est pas réinventé : Courrier reprend la même architecture (table Role avec portée/niveau/droits, table UserRoles pour l'affectation compagnie ↔ utilisateur ↔ rôle, table RoleAssignmentRules pour savoir qui peut attribuer quel rôle). Seul le périmètre des droits change, puisque les droits liés à la billetterie (sell_tickets, control_tickets…) n'ont plus de raison d'être.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600"/>
      </w:tblGrid>
      <w:tr>
        <w:trPr>
          <w:tblHeader/>
        </w:trPr>
        <w:tc>
          <w:tcPr>
            <w:tcW w:type="dxa" w:w="2000"/>
            <w:shd w:fill="2E7D32" w:val="clear"/>
            <w:tcMar>
              <w:top w:type="dxa" w:w="80"/>
              <w:left w:type="dxa" w:w="100"/>
              <w:bottom w:type="dxa" w:w="80"/>
              <w:right w:type="dxa" w:w="100"/>
            </w:tcMar>
          </w:tcPr>
          <w:p>
            <w:pPr>
              <w:jc w:val="left"/>
            </w:pPr>
            <w:r>
              <w:rPr>
                <w:b/>
                <w:bCs/>
                <w:color w:val="FFFFFF"/>
                <w:sz w:val="19"/>
                <w:szCs w:val="19"/>
              </w:rPr>
              <w:t xml:space="preserve">Rôle</w:t>
            </w:r>
          </w:p>
        </w:tc>
        <w:tc>
          <w:tcPr>
            <w:tcW w:type="dxa" w:w="1600"/>
            <w:shd w:fill="2E7D32" w:val="clear"/>
            <w:tcMar>
              <w:top w:type="dxa" w:w="80"/>
              <w:left w:type="dxa" w:w="100"/>
              <w:bottom w:type="dxa" w:w="80"/>
              <w:right w:type="dxa" w:w="100"/>
            </w:tcMar>
          </w:tcPr>
          <w:p>
            <w:pPr>
              <w:jc w:val="left"/>
            </w:pPr>
            <w:r>
              <w:rPr>
                <w:b/>
                <w:bCs/>
                <w:color w:val="FFFFFF"/>
                <w:sz w:val="19"/>
                <w:szCs w:val="19"/>
              </w:rPr>
              <w:t xml:space="preserve">Portée</w:t>
            </w:r>
          </w:p>
        </w:tc>
        <w:tc>
          <w:tcPr>
            <w:tcW w:type="dxa" w:w="1400"/>
            <w:shd w:fill="2E7D32" w:val="clear"/>
            <w:tcMar>
              <w:top w:type="dxa" w:w="80"/>
              <w:left w:type="dxa" w:w="100"/>
              <w:bottom w:type="dxa" w:w="80"/>
              <w:right w:type="dxa" w:w="100"/>
            </w:tcMar>
          </w:tcPr>
          <w:p>
            <w:pPr>
              <w:jc w:val="left"/>
            </w:pPr>
            <w:r>
              <w:rPr>
                <w:b/>
                <w:bCs/>
                <w:color w:val="FFFFFF"/>
                <w:sz w:val="19"/>
                <w:szCs w:val="19"/>
              </w:rPr>
              <w:t xml:space="preserve">Niveau</w:t>
            </w:r>
          </w:p>
        </w:tc>
        <w:tc>
          <w:tcPr>
            <w:tcW w:type="dxa" w:w="4600"/>
            <w:shd w:fill="2E7D32" w:val="clear"/>
            <w:tcMar>
              <w:top w:type="dxa" w:w="80"/>
              <w:left w:type="dxa" w:w="100"/>
              <w:bottom w:type="dxa" w:w="80"/>
              <w:right w:type="dxa" w:w="100"/>
            </w:tcMar>
          </w:tcPr>
          <w:p>
            <w:pPr>
              <w:jc w:val="left"/>
            </w:pPr>
            <w:r>
              <w:rPr>
                <w:b/>
                <w:bCs/>
                <w:color w:val="FFFFFF"/>
                <w:sz w:val="19"/>
                <w:szCs w:val="19"/>
              </w:rPr>
              <w:t xml:space="preserve">Droits repris (indicatif)</w:t>
            </w:r>
          </w:p>
        </w:tc>
      </w:tr>
      <w:tr>
        <w:tc>
          <w:tcPr>
            <w:tcW w:type="dxa" w:w="2000"/>
            <w:tcMar>
              <w:top w:type="dxa" w:w="80"/>
              <w:left w:type="dxa" w:w="100"/>
              <w:bottom w:type="dxa" w:w="80"/>
              <w:right w:type="dxa" w:w="100"/>
            </w:tcMar>
          </w:tcPr>
          <w:p>
            <w:pPr>
              <w:jc w:val="left"/>
            </w:pPr>
            <w:r>
              <w:rPr>
                <w:b w:val="false"/>
                <w:bCs w:val="false"/>
                <w:color w:val="111827"/>
                <w:sz w:val="19"/>
                <w:szCs w:val="19"/>
              </w:rPr>
              <w:t xml:space="preserve">super_admin</w:t>
            </w:r>
          </w:p>
        </w:tc>
        <w:tc>
          <w:tcPr>
            <w:tcW w:type="dxa" w:w="1600"/>
            <w:tcMar>
              <w:top w:type="dxa" w:w="80"/>
              <w:left w:type="dxa" w:w="100"/>
              <w:bottom w:type="dxa" w:w="80"/>
              <w:right w:type="dxa" w:w="100"/>
            </w:tcMar>
          </w:tcPr>
          <w:p>
            <w:pPr>
              <w:jc w:val="left"/>
            </w:pPr>
            <w:r>
              <w:rPr>
                <w:b w:val="false"/>
                <w:bCs w:val="false"/>
                <w:color w:val="111827"/>
                <w:sz w:val="19"/>
                <w:szCs w:val="19"/>
              </w:rPr>
              <w:t xml:space="preserve">Plateforme</w:t>
            </w:r>
          </w:p>
        </w:tc>
        <w:tc>
          <w:tcPr>
            <w:tcW w:type="dxa" w:w="1400"/>
            <w:tcMar>
              <w:top w:type="dxa" w:w="80"/>
              <w:left w:type="dxa" w:w="100"/>
              <w:bottom w:type="dxa" w:w="80"/>
              <w:right w:type="dxa" w:w="100"/>
            </w:tcMar>
          </w:tcPr>
          <w:p>
            <w:pPr>
              <w:jc w:val="left"/>
            </w:pPr>
            <w:r>
              <w:rPr>
                <w:b w:val="false"/>
                <w:bCs w:val="false"/>
                <w:color w:val="111827"/>
                <w:sz w:val="19"/>
                <w:szCs w:val="19"/>
              </w:rPr>
              <w:t xml:space="preserve">0</w:t>
            </w:r>
          </w:p>
        </w:tc>
        <w:tc>
          <w:tcPr>
            <w:tcW w:type="dxa" w:w="4600"/>
            <w:tcMar>
              <w:top w:type="dxa" w:w="80"/>
              <w:left w:type="dxa" w:w="100"/>
              <w:bottom w:type="dxa" w:w="80"/>
              <w:right w:type="dxa" w:w="100"/>
            </w:tcMar>
          </w:tcPr>
          <w:p>
            <w:pPr>
              <w:jc w:val="left"/>
            </w:pPr>
            <w:r>
              <w:rPr>
                <w:b w:val="false"/>
                <w:bCs w:val="false"/>
                <w:color w:val="111827"/>
                <w:sz w:val="19"/>
                <w:szCs w:val="19"/>
              </w:rPr>
              <w:t xml:space="preserve">Toutes compagnies, paramétrage global, supervision</w:t>
            </w:r>
          </w:p>
        </w:tc>
      </w:tr>
      <w:tr>
        <w:tc>
          <w:tcPr>
            <w:tcW w:type="dxa" w:w="2000"/>
            <w:shd w:fill="F3F4F6" w:val="clear"/>
            <w:tcMar>
              <w:top w:type="dxa" w:w="80"/>
              <w:left w:type="dxa" w:w="100"/>
              <w:bottom w:type="dxa" w:w="80"/>
              <w:right w:type="dxa" w:w="100"/>
            </w:tcMar>
          </w:tcPr>
          <w:p>
            <w:pPr>
              <w:jc w:val="left"/>
            </w:pPr>
            <w:r>
              <w:rPr>
                <w:b w:val="false"/>
                <w:bCs w:val="false"/>
                <w:color w:val="111827"/>
                <w:sz w:val="19"/>
                <w:szCs w:val="19"/>
              </w:rPr>
              <w:t xml:space="preserve">admin_pays</w:t>
            </w:r>
          </w:p>
        </w:tc>
        <w:tc>
          <w:tcPr>
            <w:tcW w:type="dxa" w:w="1600"/>
            <w:shd w:fill="F3F4F6" w:val="clear"/>
            <w:tcMar>
              <w:top w:type="dxa" w:w="80"/>
              <w:left w:type="dxa" w:w="100"/>
              <w:bottom w:type="dxa" w:w="80"/>
              <w:right w:type="dxa" w:w="100"/>
            </w:tcMar>
          </w:tcPr>
          <w:p>
            <w:pPr>
              <w:jc w:val="left"/>
            </w:pPr>
            <w:r>
              <w:rPr>
                <w:b w:val="false"/>
                <w:bCs w:val="false"/>
                <w:color w:val="111827"/>
                <w:sz w:val="19"/>
                <w:szCs w:val="19"/>
              </w:rPr>
              <w:t xml:space="preserve">Pays</w:t>
            </w:r>
          </w:p>
        </w:tc>
        <w:tc>
          <w:tcPr>
            <w:tcW w:type="dxa" w:w="1400"/>
            <w:shd w:fill="F3F4F6" w:val="clear"/>
            <w:tcMar>
              <w:top w:type="dxa" w:w="80"/>
              <w:left w:type="dxa" w:w="100"/>
              <w:bottom w:type="dxa" w:w="80"/>
              <w:right w:type="dxa" w:w="100"/>
            </w:tcMar>
          </w:tcPr>
          <w:p>
            <w:pPr>
              <w:jc w:val="left"/>
            </w:pPr>
            <w:r>
              <w:rPr>
                <w:b w:val="false"/>
                <w:bCs w:val="false"/>
                <w:color w:val="111827"/>
                <w:sz w:val="19"/>
                <w:szCs w:val="19"/>
              </w:rPr>
              <w:t xml:space="preserve">10</w:t>
            </w:r>
          </w:p>
        </w:tc>
        <w:tc>
          <w:tcPr>
            <w:tcW w:type="dxa" w:w="4600"/>
            <w:shd w:fill="F3F4F6" w:val="clear"/>
            <w:tcMar>
              <w:top w:type="dxa" w:w="80"/>
              <w:left w:type="dxa" w:w="100"/>
              <w:bottom w:type="dxa" w:w="80"/>
              <w:right w:type="dxa" w:w="100"/>
            </w:tcMar>
          </w:tcPr>
          <w:p>
            <w:pPr>
              <w:jc w:val="left"/>
            </w:pPr>
            <w:r>
              <w:rPr>
                <w:b w:val="false"/>
                <w:bCs w:val="false"/>
                <w:color w:val="111827"/>
                <w:sz w:val="19"/>
                <w:szCs w:val="19"/>
              </w:rPr>
              <w:t xml:space="preserve">Compagnies d'un pays, activation module Colis, tarifs</w:t>
            </w:r>
          </w:p>
        </w:tc>
      </w:tr>
      <w:tr>
        <w:tc>
          <w:tcPr>
            <w:tcW w:type="dxa" w:w="2000"/>
            <w:tcMar>
              <w:top w:type="dxa" w:w="80"/>
              <w:left w:type="dxa" w:w="100"/>
              <w:bottom w:type="dxa" w:w="80"/>
              <w:right w:type="dxa" w:w="100"/>
            </w:tcMar>
          </w:tcPr>
          <w:p>
            <w:pPr>
              <w:jc w:val="left"/>
            </w:pPr>
            <w:r>
              <w:rPr>
                <w:b w:val="false"/>
                <w:bCs w:val="false"/>
                <w:color w:val="111827"/>
                <w:sz w:val="19"/>
                <w:szCs w:val="19"/>
              </w:rPr>
              <w:t xml:space="preserve">owner</w:t>
            </w:r>
          </w:p>
        </w:tc>
        <w:tc>
          <w:tcPr>
            <w:tcW w:type="dxa" w:w="1600"/>
            <w:tcMar>
              <w:top w:type="dxa" w:w="80"/>
              <w:left w:type="dxa" w:w="100"/>
              <w:bottom w:type="dxa" w:w="80"/>
              <w:right w:type="dxa" w:w="100"/>
            </w:tcMar>
          </w:tcPr>
          <w:p>
            <w:pPr>
              <w:jc w:val="left"/>
            </w:pPr>
            <w:r>
              <w:rPr>
                <w:b w:val="false"/>
                <w:bCs w:val="false"/>
                <w:color w:val="111827"/>
                <w:sz w:val="19"/>
                <w:szCs w:val="19"/>
              </w:rPr>
              <w:t xml:space="preserve">Compagnie</w:t>
            </w:r>
          </w:p>
        </w:tc>
        <w:tc>
          <w:tcPr>
            <w:tcW w:type="dxa" w:w="1400"/>
            <w:tcMar>
              <w:top w:type="dxa" w:w="80"/>
              <w:left w:type="dxa" w:w="100"/>
              <w:bottom w:type="dxa" w:w="80"/>
              <w:right w:type="dxa" w:w="100"/>
            </w:tcMar>
          </w:tcPr>
          <w:p>
            <w:pPr>
              <w:jc w:val="left"/>
            </w:pPr>
            <w:r>
              <w:rPr>
                <w:b w:val="false"/>
                <w:bCs w:val="false"/>
                <w:color w:val="111827"/>
                <w:sz w:val="19"/>
                <w:szCs w:val="19"/>
              </w:rPr>
              <w:t xml:space="preserve">20</w:t>
            </w:r>
          </w:p>
        </w:tc>
        <w:tc>
          <w:tcPr>
            <w:tcW w:type="dxa" w:w="4600"/>
            <w:tcMar>
              <w:top w:type="dxa" w:w="80"/>
              <w:left w:type="dxa" w:w="100"/>
              <w:bottom w:type="dxa" w:w="80"/>
              <w:right w:type="dxa" w:w="100"/>
            </w:tcMar>
          </w:tcPr>
          <w:p>
            <w:pPr>
              <w:jc w:val="left"/>
            </w:pPr>
            <w:r>
              <w:rPr>
                <w:b w:val="false"/>
                <w:bCs w:val="false"/>
                <w:color w:val="111827"/>
                <w:sz w:val="19"/>
                <w:szCs w:val="19"/>
              </w:rPr>
              <w:t xml:space="preserve">Paramètres compagnie, natures de colis, SMS, gares</w:t>
            </w:r>
          </w:p>
        </w:tc>
      </w:tr>
      <w:tr>
        <w:tc>
          <w:tcPr>
            <w:tcW w:type="dxa" w:w="2000"/>
            <w:shd w:fill="F3F4F6" w:val="clear"/>
            <w:tcMar>
              <w:top w:type="dxa" w:w="80"/>
              <w:left w:type="dxa" w:w="100"/>
              <w:bottom w:type="dxa" w:w="80"/>
              <w:right w:type="dxa" w:w="100"/>
            </w:tcMar>
          </w:tcPr>
          <w:p>
            <w:pPr>
              <w:jc w:val="left"/>
            </w:pPr>
            <w:r>
              <w:rPr>
                <w:b w:val="false"/>
                <w:bCs w:val="false"/>
                <w:color w:val="111827"/>
                <w:sz w:val="19"/>
                <w:szCs w:val="19"/>
              </w:rPr>
              <w:t xml:space="preserve">gerant_gare</w:t>
            </w:r>
          </w:p>
        </w:tc>
        <w:tc>
          <w:tcPr>
            <w:tcW w:type="dxa" w:w="1600"/>
            <w:shd w:fill="F3F4F6" w:val="clear"/>
            <w:tcMar>
              <w:top w:type="dxa" w:w="80"/>
              <w:left w:type="dxa" w:w="100"/>
              <w:bottom w:type="dxa" w:w="80"/>
              <w:right w:type="dxa" w:w="100"/>
            </w:tcMar>
          </w:tcPr>
          <w:p>
            <w:pPr>
              <w:jc w:val="left"/>
            </w:pPr>
            <w:r>
              <w:rPr>
                <w:b w:val="false"/>
                <w:bCs w:val="false"/>
                <w:color w:val="111827"/>
                <w:sz w:val="19"/>
                <w:szCs w:val="19"/>
              </w:rPr>
              <w:t xml:space="preserve">Gare</w:t>
            </w:r>
          </w:p>
        </w:tc>
        <w:tc>
          <w:tcPr>
            <w:tcW w:type="dxa" w:w="1400"/>
            <w:shd w:fill="F3F4F6" w:val="clear"/>
            <w:tcMar>
              <w:top w:type="dxa" w:w="80"/>
              <w:left w:type="dxa" w:w="100"/>
              <w:bottom w:type="dxa" w:w="80"/>
              <w:right w:type="dxa" w:w="100"/>
            </w:tcMar>
          </w:tcPr>
          <w:p>
            <w:pPr>
              <w:jc w:val="left"/>
            </w:pPr>
            <w:r>
              <w:rPr>
                <w:b w:val="false"/>
                <w:bCs w:val="false"/>
                <w:color w:val="111827"/>
                <w:sz w:val="19"/>
                <w:szCs w:val="19"/>
              </w:rPr>
              <w:t xml:space="preserve">25</w:t>
            </w:r>
          </w:p>
        </w:tc>
        <w:tc>
          <w:tcPr>
            <w:tcW w:type="dxa" w:w="4600"/>
            <w:shd w:fill="F3F4F6" w:val="clear"/>
            <w:tcMar>
              <w:top w:type="dxa" w:w="80"/>
              <w:left w:type="dxa" w:w="100"/>
              <w:bottom w:type="dxa" w:w="80"/>
              <w:right w:type="dxa" w:w="100"/>
            </w:tcMar>
          </w:tcPr>
          <w:p>
            <w:pPr>
              <w:jc w:val="left"/>
            </w:pPr>
            <w:r>
              <w:rPr>
                <w:b w:val="false"/>
                <w:bCs w:val="false"/>
                <w:color w:val="111827"/>
                <w:sz w:val="19"/>
                <w:szCs w:val="19"/>
              </w:rPr>
              <w:t xml:space="preserve">Colis de sa gare, caisse, remise/retrait</w:t>
            </w:r>
          </w:p>
        </w:tc>
      </w:tr>
      <w:tr>
        <w:tc>
          <w:tcPr>
            <w:tcW w:type="dxa" w:w="2000"/>
            <w:tcMar>
              <w:top w:type="dxa" w:w="80"/>
              <w:left w:type="dxa" w:w="100"/>
              <w:bottom w:type="dxa" w:w="80"/>
              <w:right w:type="dxa" w:w="100"/>
            </w:tcMar>
          </w:tcPr>
          <w:p>
            <w:pPr>
              <w:jc w:val="left"/>
            </w:pPr>
            <w:r>
              <w:rPr>
                <w:b w:val="false"/>
                <w:bCs w:val="false"/>
                <w:color w:val="111827"/>
                <w:sz w:val="19"/>
                <w:szCs w:val="19"/>
              </w:rPr>
              <w:t xml:space="preserve">vendeur (agent colis)</w:t>
            </w:r>
          </w:p>
        </w:tc>
        <w:tc>
          <w:tcPr>
            <w:tcW w:type="dxa" w:w="1600"/>
            <w:tcMar>
              <w:top w:type="dxa" w:w="80"/>
              <w:left w:type="dxa" w:w="100"/>
              <w:bottom w:type="dxa" w:w="80"/>
              <w:right w:type="dxa" w:w="100"/>
            </w:tcMar>
          </w:tcPr>
          <w:p>
            <w:pPr>
              <w:jc w:val="left"/>
            </w:pPr>
            <w:r>
              <w:rPr>
                <w:b w:val="false"/>
                <w:bCs w:val="false"/>
                <w:color w:val="111827"/>
                <w:sz w:val="19"/>
                <w:szCs w:val="19"/>
              </w:rPr>
              <w:t xml:space="preserve">Gare / Compagnie</w:t>
            </w:r>
          </w:p>
        </w:tc>
        <w:tc>
          <w:tcPr>
            <w:tcW w:type="dxa" w:w="1400"/>
            <w:tcMar>
              <w:top w:type="dxa" w:w="80"/>
              <w:left w:type="dxa" w:w="100"/>
              <w:bottom w:type="dxa" w:w="80"/>
              <w:right w:type="dxa" w:w="100"/>
            </w:tcMar>
          </w:tcPr>
          <w:p>
            <w:pPr>
              <w:jc w:val="left"/>
            </w:pPr>
            <w:r>
              <w:rPr>
                <w:b w:val="false"/>
                <w:bCs w:val="false"/>
                <w:color w:val="111827"/>
                <w:sz w:val="19"/>
                <w:szCs w:val="19"/>
              </w:rPr>
              <w:t xml:space="preserve">30</w:t>
            </w:r>
          </w:p>
        </w:tc>
        <w:tc>
          <w:tcPr>
            <w:tcW w:type="dxa" w:w="4600"/>
            <w:tcMar>
              <w:top w:type="dxa" w:w="80"/>
              <w:left w:type="dxa" w:w="100"/>
              <w:bottom w:type="dxa" w:w="80"/>
              <w:right w:type="dxa" w:w="100"/>
            </w:tcMar>
          </w:tcPr>
          <w:p>
            <w:pPr>
              <w:jc w:val="left"/>
            </w:pPr>
            <w:r>
              <w:rPr>
                <w:b w:val="false"/>
                <w:bCs w:val="false"/>
                <w:color w:val="111827"/>
                <w:sz w:val="19"/>
                <w:szCs w:val="19"/>
              </w:rPr>
              <w:t xml:space="preserve">sell_colis, view_colis, update_colis_statut, deliver_colis</w:t>
            </w:r>
          </w:p>
        </w:tc>
      </w:tr>
    </w:tbl>
    <w:p>
      <w:pPr>
        <w:spacing w:before="200"/>
      </w:pPr>
    </w:p>
    <w:p>
      <w:pPr>
        <w:spacing w:after="160" w:line="300"/>
      </w:pPr>
      <w:r>
        <w:rPr>
          <w:sz w:val="21"/>
          <w:szCs w:val="21"/>
        </w:rPr>
        <w:t xml:space="preserve">Point d'attention identifié dans le code actuel : l'accès aux fonctions colis n'est aujourd'hui pas filtré par un droit dédié (il n'existe pas de droit du type sell_colis dans les migrations analysées) — l'accès repose sur le simple fait d'avoir un rôle dans la compagnie, combiné à une bascule d'activation par compagnie (colisAutonomeEnabled). Pour Courrier, il est recommandé d'introduire des droits explicites (sell_colis, manage_colis, view_colis_stats…) afin que le modèle de permissions soit réellement significatif dans une application dédiée.</w:t>
      </w:r>
    </w:p>
    <w:p>
      <w:pPr>
        <w:pStyle w:val="Heading1"/>
        <w:pBdr>
          <w:bottom w:val="single" w:color="2E7D32" w:sz="6" w:space="4"/>
        </w:pBdr>
        <w:spacing w:after="160" w:before="360"/>
      </w:pPr>
      <w:r>
        <w:rPr>
          <w:b/>
          <w:bCs/>
          <w:color w:val="1B5E20"/>
          <w:sz w:val="30"/>
          <w:szCs w:val="30"/>
        </w:rPr>
        <w:t xml:space="preserve">6. Modèle de données simplifié</w:t>
      </w:r>
    </w:p>
    <w:p>
      <w:pPr>
        <w:spacing w:after="160" w:line="300"/>
      </w:pPr>
      <w:r>
        <w:rPr>
          <w:sz w:val="21"/>
          <w:szCs w:val="21"/>
        </w:rPr>
        <w:t xml:space="preserve">Ossature minimale proposée pour la nouvelle base Supabase — volontairement réduite au strict nécessaire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2E7D32" w:val="clear"/>
            <w:tcMar>
              <w:top w:type="dxa" w:w="80"/>
              <w:left w:type="dxa" w:w="100"/>
              <w:bottom w:type="dxa" w:w="80"/>
              <w:right w:type="dxa" w:w="100"/>
            </w:tcMar>
          </w:tcPr>
          <w:p>
            <w:pPr>
              <w:jc w:val="left"/>
            </w:pPr>
            <w:r>
              <w:rPr>
                <w:b/>
                <w:bCs/>
                <w:color w:val="FFFFFF"/>
                <w:sz w:val="19"/>
                <w:szCs w:val="19"/>
              </w:rPr>
              <w:t xml:space="preserve">Table</w:t>
            </w:r>
          </w:p>
        </w:tc>
        <w:tc>
          <w:tcPr>
            <w:tcW w:type="dxa" w:w="7000"/>
            <w:shd w:fill="2E7D32" w:val="clear"/>
            <w:tcMar>
              <w:top w:type="dxa" w:w="80"/>
              <w:left w:type="dxa" w:w="100"/>
              <w:bottom w:type="dxa" w:w="80"/>
              <w:right w:type="dxa" w:w="100"/>
            </w:tcMar>
          </w:tcPr>
          <w:p>
            <w:pPr>
              <w:jc w:val="left"/>
            </w:pPr>
            <w:r>
              <w:rPr>
                <w:b/>
                <w:bCs/>
                <w:color w:val="FFFFFF"/>
                <w:sz w:val="19"/>
                <w:szCs w:val="19"/>
              </w:rPr>
              <w:t xml:space="preserve">Rôle</w:t>
            </w:r>
          </w:p>
        </w:tc>
      </w:tr>
      <w:tr>
        <w:tc>
          <w:tcPr>
            <w:tcW w:type="dxa" w:w="2600"/>
            <w:shd w:fill="F3F4F6" w:val="clear"/>
            <w:tcMar>
              <w:top w:type="dxa" w:w="80"/>
              <w:left w:type="dxa" w:w="100"/>
              <w:bottom w:type="dxa" w:w="80"/>
              <w:right w:type="dxa" w:w="100"/>
            </w:tcMar>
          </w:tcPr>
          <w:p>
            <w:pPr>
              <w:jc w:val="left"/>
            </w:pPr>
            <w:r>
              <w:rPr>
                <w:b w:val="false"/>
                <w:bCs w:val="false"/>
                <w:color w:val="111827"/>
                <w:sz w:val="19"/>
                <w:szCs w:val="19"/>
              </w:rPr>
              <w:t xml:space="preserve">Users / auth.users</w:t>
            </w:r>
          </w:p>
        </w:tc>
        <w:tc>
          <w:tcPr>
            <w:tcW w:type="dxa" w:w="7000"/>
            <w:shd w:fill="F3F4F6" w:val="clear"/>
            <w:tcMar>
              <w:top w:type="dxa" w:w="80"/>
              <w:left w:type="dxa" w:w="100"/>
              <w:bottom w:type="dxa" w:w="80"/>
              <w:right w:type="dxa" w:w="100"/>
            </w:tcMar>
          </w:tcPr>
          <w:p>
            <w:pPr>
              <w:jc w:val="left"/>
            </w:pPr>
            <w:r>
              <w:rPr>
                <w:b w:val="false"/>
                <w:bCs w:val="false"/>
                <w:color w:val="111827"/>
                <w:sz w:val="19"/>
                <w:szCs w:val="19"/>
              </w:rPr>
              <w:t xml:space="preserve">Comptes utilisateurs (Supabase Auth)</w:t>
            </w:r>
          </w:p>
        </w:tc>
      </w:tr>
      <w:tr>
        <w:tc>
          <w:tcPr>
            <w:tcW w:type="dxa" w:w="2600"/>
            <w:tcMar>
              <w:top w:type="dxa" w:w="80"/>
              <w:left w:type="dxa" w:w="100"/>
              <w:bottom w:type="dxa" w:w="80"/>
              <w:right w:type="dxa" w:w="100"/>
            </w:tcMar>
          </w:tcPr>
          <w:p>
            <w:pPr>
              <w:jc w:val="left"/>
            </w:pPr>
            <w:r>
              <w:rPr>
                <w:b w:val="false"/>
                <w:bCs w:val="false"/>
                <w:color w:val="111827"/>
                <w:sz w:val="19"/>
                <w:szCs w:val="19"/>
              </w:rPr>
              <w:t xml:space="preserve">Role</w:t>
            </w:r>
          </w:p>
        </w:tc>
        <w:tc>
          <w:tcPr>
            <w:tcW w:type="dxa" w:w="7000"/>
            <w:tcMar>
              <w:top w:type="dxa" w:w="80"/>
              <w:left w:type="dxa" w:w="100"/>
              <w:bottom w:type="dxa" w:w="80"/>
              <w:right w:type="dxa" w:w="100"/>
            </w:tcMar>
          </w:tcPr>
          <w:p>
            <w:pPr>
              <w:jc w:val="left"/>
            </w:pPr>
            <w:r>
              <w:rPr>
                <w:b w:val="false"/>
                <w:bCs w:val="false"/>
                <w:color w:val="111827"/>
                <w:sz w:val="19"/>
                <w:szCs w:val="19"/>
              </w:rPr>
              <w:t xml:space="preserve">Catalogue des rôles (name, scope, level, droits[])</w:t>
            </w:r>
          </w:p>
        </w:tc>
      </w:tr>
      <w:tr>
        <w:tc>
          <w:tcPr>
            <w:tcW w:type="dxa" w:w="2600"/>
            <w:shd w:fill="F3F4F6" w:val="clear"/>
            <w:tcMar>
              <w:top w:type="dxa" w:w="80"/>
              <w:left w:type="dxa" w:w="100"/>
              <w:bottom w:type="dxa" w:w="80"/>
              <w:right w:type="dxa" w:w="100"/>
            </w:tcMar>
          </w:tcPr>
          <w:p>
            <w:pPr>
              <w:jc w:val="left"/>
            </w:pPr>
            <w:r>
              <w:rPr>
                <w:b w:val="false"/>
                <w:bCs w:val="false"/>
                <w:color w:val="111827"/>
                <w:sz w:val="19"/>
                <w:szCs w:val="19"/>
              </w:rPr>
              <w:t xml:space="preserve">UserRoles</w:t>
            </w:r>
          </w:p>
        </w:tc>
        <w:tc>
          <w:tcPr>
            <w:tcW w:type="dxa" w:w="7000"/>
            <w:shd w:fill="F3F4F6" w:val="clear"/>
            <w:tcMar>
              <w:top w:type="dxa" w:w="80"/>
              <w:left w:type="dxa" w:w="100"/>
              <w:bottom w:type="dxa" w:w="80"/>
              <w:right w:type="dxa" w:w="100"/>
            </w:tcMar>
          </w:tcPr>
          <w:p>
            <w:pPr>
              <w:jc w:val="left"/>
            </w:pPr>
            <w:r>
              <w:rPr>
                <w:b w:val="false"/>
                <w:bCs w:val="false"/>
                <w:color w:val="111827"/>
                <w:sz w:val="19"/>
                <w:szCs w:val="19"/>
              </w:rPr>
              <w:t xml:space="preserve">Affectation utilisateur ↔ rôle ↔ compagnie</w:t>
            </w:r>
          </w:p>
        </w:tc>
      </w:tr>
      <w:tr>
        <w:tc>
          <w:tcPr>
            <w:tcW w:type="dxa" w:w="2600"/>
            <w:tcMar>
              <w:top w:type="dxa" w:w="80"/>
              <w:left w:type="dxa" w:w="100"/>
              <w:bottom w:type="dxa" w:w="80"/>
              <w:right w:type="dxa" w:w="100"/>
            </w:tcMar>
          </w:tcPr>
          <w:p>
            <w:pPr>
              <w:jc w:val="left"/>
            </w:pPr>
            <w:r>
              <w:rPr>
                <w:b w:val="false"/>
                <w:bCs w:val="false"/>
                <w:color w:val="111827"/>
                <w:sz w:val="19"/>
                <w:szCs w:val="19"/>
              </w:rPr>
              <w:t xml:space="preserve">RoleAssignmentRules</w:t>
            </w:r>
          </w:p>
        </w:tc>
        <w:tc>
          <w:tcPr>
            <w:tcW w:type="dxa" w:w="7000"/>
            <w:tcMar>
              <w:top w:type="dxa" w:w="80"/>
              <w:left w:type="dxa" w:w="100"/>
              <w:bottom w:type="dxa" w:w="80"/>
              <w:right w:type="dxa" w:w="100"/>
            </w:tcMar>
          </w:tcPr>
          <w:p>
            <w:pPr>
              <w:jc w:val="left"/>
            </w:pPr>
            <w:r>
              <w:rPr>
                <w:b w:val="false"/>
                <w:bCs w:val="false"/>
                <w:color w:val="111827"/>
                <w:sz w:val="19"/>
                <w:szCs w:val="19"/>
              </w:rPr>
              <w:t xml:space="preserve">Qui peut attribuer quel rôle à qui</w:t>
            </w:r>
          </w:p>
        </w:tc>
      </w:tr>
      <w:tr>
        <w:tc>
          <w:tcPr>
            <w:tcW w:type="dxa" w:w="2600"/>
            <w:shd w:fill="F3F4F6" w:val="clear"/>
            <w:tcMar>
              <w:top w:type="dxa" w:w="80"/>
              <w:left w:type="dxa" w:w="100"/>
              <w:bottom w:type="dxa" w:w="80"/>
              <w:right w:type="dxa" w:w="100"/>
            </w:tcMar>
          </w:tcPr>
          <w:p>
            <w:pPr>
              <w:jc w:val="left"/>
            </w:pPr>
            <w:r>
              <w:rPr>
                <w:b w:val="false"/>
                <w:bCs w:val="false"/>
                <w:color w:val="111827"/>
                <w:sz w:val="19"/>
                <w:szCs w:val="19"/>
              </w:rPr>
              <w:t xml:space="preserve">Companies</w:t>
            </w:r>
          </w:p>
        </w:tc>
        <w:tc>
          <w:tcPr>
            <w:tcW w:type="dxa" w:w="7000"/>
            <w:shd w:fill="F3F4F6" w:val="clear"/>
            <w:tcMar>
              <w:top w:type="dxa" w:w="80"/>
              <w:left w:type="dxa" w:w="100"/>
              <w:bottom w:type="dxa" w:w="80"/>
              <w:right w:type="dxa" w:w="100"/>
            </w:tcMar>
          </w:tcPr>
          <w:p>
            <w:pPr>
              <w:jc w:val="left"/>
            </w:pPr>
            <w:r>
              <w:rPr>
                <w:b w:val="false"/>
                <w:bCs w:val="false"/>
                <w:color w:val="111827"/>
                <w:sz w:val="19"/>
                <w:szCs w:val="19"/>
              </w:rPr>
              <w:t xml:space="preserve">Compagnie / réseau de courrier</w:t>
            </w:r>
          </w:p>
        </w:tc>
      </w:tr>
      <w:tr>
        <w:tc>
          <w:tcPr>
            <w:tcW w:type="dxa" w:w="2600"/>
            <w:tcMar>
              <w:top w:type="dxa" w:w="80"/>
              <w:left w:type="dxa" w:w="100"/>
              <w:bottom w:type="dxa" w:w="80"/>
              <w:right w:type="dxa" w:w="100"/>
            </w:tcMar>
          </w:tcPr>
          <w:p>
            <w:pPr>
              <w:jc w:val="left"/>
            </w:pPr>
            <w:r>
              <w:rPr>
                <w:b w:val="false"/>
                <w:bCs w:val="false"/>
                <w:color w:val="111827"/>
                <w:sz w:val="19"/>
                <w:szCs w:val="19"/>
              </w:rPr>
              <w:t xml:space="preserve">Gares</w:t>
            </w:r>
          </w:p>
        </w:tc>
        <w:tc>
          <w:tcPr>
            <w:tcW w:type="dxa" w:w="7000"/>
            <w:tcMar>
              <w:top w:type="dxa" w:w="80"/>
              <w:left w:type="dxa" w:w="100"/>
              <w:bottom w:type="dxa" w:w="80"/>
              <w:right w:type="dxa" w:w="100"/>
            </w:tcMar>
          </w:tcPr>
          <w:p>
            <w:pPr>
              <w:jc w:val="left"/>
            </w:pPr>
            <w:r>
              <w:rPr>
                <w:b w:val="false"/>
                <w:bCs w:val="false"/>
                <w:color w:val="111827"/>
                <w:sz w:val="19"/>
                <w:szCs w:val="19"/>
              </w:rPr>
              <w:t xml:space="preserve">Points de dépôt / retrait (départ, destination)</w:t>
            </w:r>
          </w:p>
        </w:tc>
      </w:tr>
      <w:tr>
        <w:tc>
          <w:tcPr>
            <w:tcW w:type="dxa" w:w="2600"/>
            <w:shd w:fill="F3F4F6" w:val="clear"/>
            <w:tcMar>
              <w:top w:type="dxa" w:w="80"/>
              <w:left w:type="dxa" w:w="100"/>
              <w:bottom w:type="dxa" w:w="80"/>
              <w:right w:type="dxa" w:w="100"/>
            </w:tcMar>
          </w:tcPr>
          <w:p>
            <w:pPr>
              <w:jc w:val="left"/>
            </w:pPr>
            <w:r>
              <w:rPr>
                <w:b w:val="false"/>
                <w:bCs w:val="false"/>
                <w:color w:val="111827"/>
                <w:sz w:val="19"/>
                <w:szCs w:val="19"/>
              </w:rPr>
              <w:t xml:space="preserve">colis_natures</w:t>
            </w:r>
          </w:p>
        </w:tc>
        <w:tc>
          <w:tcPr>
            <w:tcW w:type="dxa" w:w="7000"/>
            <w:shd w:fill="F3F4F6" w:val="clear"/>
            <w:tcMar>
              <w:top w:type="dxa" w:w="80"/>
              <w:left w:type="dxa" w:w="100"/>
              <w:bottom w:type="dxa" w:w="80"/>
              <w:right w:type="dxa" w:w="100"/>
            </w:tcMar>
          </w:tcPr>
          <w:p>
            <w:pPr>
              <w:jc w:val="left"/>
            </w:pPr>
            <w:r>
              <w:rPr>
                <w:b w:val="false"/>
                <w:bCs w:val="false"/>
                <w:color w:val="111827"/>
                <w:sz w:val="19"/>
                <w:szCs w:val="19"/>
              </w:rPr>
              <w:t xml:space="preserve">Nomenclature du contenu (nature des colis)</w:t>
            </w:r>
          </w:p>
        </w:tc>
      </w:tr>
      <w:tr>
        <w:tc>
          <w:tcPr>
            <w:tcW w:type="dxa" w:w="2600"/>
            <w:tcMar>
              <w:top w:type="dxa" w:w="80"/>
              <w:left w:type="dxa" w:w="100"/>
              <w:bottom w:type="dxa" w:w="80"/>
              <w:right w:type="dxa" w:w="100"/>
            </w:tcMar>
          </w:tcPr>
          <w:p>
            <w:pPr>
              <w:jc w:val="left"/>
            </w:pPr>
            <w:r>
              <w:rPr>
                <w:b w:val="false"/>
                <w:bCs w:val="false"/>
                <w:color w:val="111827"/>
                <w:sz w:val="19"/>
                <w:szCs w:val="19"/>
              </w:rPr>
              <w:t xml:space="preserve">colis_autonome</w:t>
            </w:r>
          </w:p>
        </w:tc>
        <w:tc>
          <w:tcPr>
            <w:tcW w:type="dxa" w:w="7000"/>
            <w:tcMar>
              <w:top w:type="dxa" w:w="80"/>
              <w:left w:type="dxa" w:w="100"/>
              <w:bottom w:type="dxa" w:w="80"/>
              <w:right w:type="dxa" w:w="100"/>
            </w:tcMar>
          </w:tcPr>
          <w:p>
            <w:pPr>
              <w:jc w:val="left"/>
            </w:pPr>
            <w:r>
              <w:rPr>
                <w:b w:val="false"/>
                <w:bCs w:val="false"/>
                <w:color w:val="111827"/>
                <w:sz w:val="19"/>
                <w:szCs w:val="19"/>
              </w:rPr>
              <w:t xml:space="preserve">Colis : expéditeur, destinataire, statut, montant fret, poids, pièces</w:t>
            </w:r>
          </w:p>
        </w:tc>
      </w:tr>
      <w:tr>
        <w:tc>
          <w:tcPr>
            <w:tcW w:type="dxa" w:w="2600"/>
            <w:shd w:fill="F3F4F6" w:val="clear"/>
            <w:tcMar>
              <w:top w:type="dxa" w:w="80"/>
              <w:left w:type="dxa" w:w="100"/>
              <w:bottom w:type="dxa" w:w="80"/>
              <w:right w:type="dxa" w:w="100"/>
            </w:tcMar>
          </w:tcPr>
          <w:p>
            <w:pPr>
              <w:jc w:val="left"/>
            </w:pPr>
            <w:r>
              <w:rPr>
                <w:b w:val="false"/>
                <w:bCs w:val="false"/>
                <w:color w:val="111827"/>
                <w:sz w:val="19"/>
                <w:szCs w:val="19"/>
              </w:rPr>
              <w:t xml:space="preserve">mouvements_caisse_colis</w:t>
            </w:r>
          </w:p>
        </w:tc>
        <w:tc>
          <w:tcPr>
            <w:tcW w:type="dxa" w:w="7000"/>
            <w:shd w:fill="F3F4F6" w:val="clear"/>
            <w:tcMar>
              <w:top w:type="dxa" w:w="80"/>
              <w:left w:type="dxa" w:w="100"/>
              <w:bottom w:type="dxa" w:w="80"/>
              <w:right w:type="dxa" w:w="100"/>
            </w:tcMar>
          </w:tcPr>
          <w:p>
            <w:pPr>
              <w:jc w:val="left"/>
            </w:pPr>
            <w:r>
              <w:rPr>
                <w:b w:val="false"/>
                <w:bCs w:val="false"/>
                <w:color w:val="111827"/>
                <w:sz w:val="19"/>
                <w:szCs w:val="19"/>
              </w:rPr>
              <w:t xml:space="preserve">Journal de caisse lié à chaque colis encaissé</w:t>
            </w:r>
          </w:p>
        </w:tc>
      </w:tr>
      <w:tr>
        <w:tc>
          <w:tcPr>
            <w:tcW w:type="dxa" w:w="2600"/>
            <w:tcMar>
              <w:top w:type="dxa" w:w="80"/>
              <w:left w:type="dxa" w:w="100"/>
              <w:bottom w:type="dxa" w:w="80"/>
              <w:right w:type="dxa" w:w="100"/>
            </w:tcMar>
          </w:tcPr>
          <w:p>
            <w:pPr>
              <w:jc w:val="left"/>
            </w:pPr>
            <w:r>
              <w:rPr>
                <w:b w:val="false"/>
                <w:bCs w:val="false"/>
                <w:color w:val="111827"/>
                <w:sz w:val="19"/>
                <w:szCs w:val="19"/>
              </w:rPr>
              <w:t xml:space="preserve">colis_sms_log (optionnel)</w:t>
            </w:r>
          </w:p>
        </w:tc>
        <w:tc>
          <w:tcPr>
            <w:tcW w:type="dxa" w:w="7000"/>
            <w:tcMar>
              <w:top w:type="dxa" w:w="80"/>
              <w:left w:type="dxa" w:w="100"/>
              <w:bottom w:type="dxa" w:w="80"/>
              <w:right w:type="dxa" w:w="100"/>
            </w:tcMar>
          </w:tcPr>
          <w:p>
            <w:pPr>
              <w:jc w:val="left"/>
            </w:pPr>
            <w:r>
              <w:rPr>
                <w:b w:val="false"/>
                <w:bCs w:val="false"/>
                <w:color w:val="111827"/>
                <w:sz w:val="19"/>
                <w:szCs w:val="19"/>
              </w:rPr>
              <w:t xml:space="preserve">Historique des SMS envoyés par étape</w:t>
            </w:r>
          </w:p>
        </w:tc>
      </w:tr>
    </w:tbl>
    <w:p>
      <w:pPr>
        <w:pStyle w:val="Heading1"/>
        <w:pBdr>
          <w:bottom w:val="single" w:color="2E7D32" w:sz="6" w:space="4"/>
        </w:pBdr>
        <w:spacing w:after="160" w:before="360"/>
      </w:pPr>
      <w:r>
        <w:rPr>
          <w:b/>
          <w:bCs/>
          <w:color w:val="1B5E20"/>
          <w:sz w:val="30"/>
          <w:szCs w:val="30"/>
        </w:rPr>
        <w:t xml:space="preserve">7. Design : fidélité aux maquettes de référence</w:t>
      </w:r>
    </w:p>
    <w:p>
      <w:pPr>
        <w:spacing w:after="160" w:line="300"/>
      </w:pPr>
      <w:r>
        <w:rPr>
          <w:sz w:val="21"/>
          <w:szCs w:val="21"/>
        </w:rPr>
        <w:t xml:space="preserve">Les captures d'écran fournies servent de référence directe pour l'interface Flutter :</w:t>
      </w:r>
    </w:p>
    <w:p>
      <w:pPr>
        <w:pStyle w:val="ListParagraph"/>
        <w:numPr>
          <w:ilvl w:val="0"/>
          <w:numId w:val="2"/>
        </w:numPr>
        <w:spacing w:after="90"/>
      </w:pPr>
      <w:r>
        <w:rPr>
          <w:sz w:val="21"/>
          <w:szCs w:val="21"/>
        </w:rPr>
        <w:t xml:space="preserve">Palette : vert principal (actions, montants, statuts positifs), rouge pour les indicateurs « à traiter aujourd'hui », fond blanc/gris très clair, cartes à coins arrondis avec légère ombre.</w:t>
      </w:r>
    </w:p>
    <w:p>
      <w:pPr>
        <w:pStyle w:val="ListParagraph"/>
        <w:numPr>
          <w:ilvl w:val="0"/>
          <w:numId w:val="2"/>
        </w:numPr>
        <w:spacing w:after="90"/>
      </w:pPr>
      <w:r>
        <w:rPr>
          <w:sz w:val="21"/>
          <w:szCs w:val="21"/>
        </w:rPr>
        <w:t xml:space="preserve">Écran Accueil : salutation + nom de l'agent, deux cartes KPI (« Aujourd'hui » en rouge, « Montant du jour » en vert), bloc « Mon activité » (total colis, colis du mois), liste « Colis récents » avec lien « Voir tout ».</w:t>
      </w:r>
    </w:p>
    <w:p>
      <w:pPr>
        <w:pStyle w:val="ListParagraph"/>
        <w:numPr>
          <w:ilvl w:val="0"/>
          <w:numId w:val="2"/>
        </w:numPr>
        <w:spacing w:after="90"/>
      </w:pPr>
      <w:r>
        <w:rPr>
          <w:sz w:val="21"/>
          <w:szCs w:val="21"/>
        </w:rPr>
        <w:t xml:space="preserve">Écran Liste des colis : barre de recherche, filtres « Date » et « Statut », liste de cartes (référence, destinataire, ville, montant, badge de statut coloré).</w:t>
      </w:r>
    </w:p>
    <w:p>
      <w:pPr>
        <w:pStyle w:val="ListParagraph"/>
        <w:numPr>
          <w:ilvl w:val="0"/>
          <w:numId w:val="2"/>
        </w:numPr>
        <w:spacing w:after="90"/>
      </w:pPr>
      <w:r>
        <w:rPr>
          <w:sz w:val="21"/>
          <w:szCs w:val="21"/>
        </w:rPr>
        <w:t xml:space="preserve">Écran Statistiques : vue d'ensemble en 4 cartes (total, montant total, ce mois, montant du mois), répartition par statut (récupérés / en attente), bouton « Mon rapport d'activité ».</w:t>
      </w:r>
    </w:p>
    <w:p>
      <w:pPr>
        <w:pStyle w:val="ListParagraph"/>
        <w:numPr>
          <w:ilvl w:val="0"/>
          <w:numId w:val="2"/>
        </w:numPr>
        <w:spacing w:after="90"/>
      </w:pPr>
      <w:r>
        <w:rPr>
          <w:sz w:val="21"/>
          <w:szCs w:val="21"/>
        </w:rPr>
        <w:t xml:space="preserve">Navigation basse à 5 entrées : Accueil, Colis, bouton central « + » (nouveau colis), Stats, Profil — reproduite à l'identique en Flutter (BottomNavigationBar + bouton flottant central).</w:t>
      </w:r>
    </w:p>
    <w:p>
      <w:pPr>
        <w:spacing w:after="160" w:line="300"/>
      </w:pPr>
      <w:r>
        <w:rPr>
          <w:sz w:val="21"/>
          <w:szCs w:val="21"/>
        </w:rPr>
        <w:t xml:space="preserve">Ces éléments sont directement transposables en widgets Flutter standards (Card, ListView, BottomNavigationBar, FloatingActionButton), sans dépendance à une bibliothèque UI lourde.</w:t>
      </w:r>
    </w:p>
    <w:p>
      <w:pPr>
        <w:pStyle w:val="Heading1"/>
        <w:pBdr>
          <w:bottom w:val="single" w:color="2E7D32" w:sz="6" w:space="4"/>
        </w:pBdr>
        <w:spacing w:after="160" w:before="360"/>
      </w:pPr>
      <w:r>
        <w:rPr>
          <w:b/>
          <w:bCs/>
          <w:color w:val="1B5E20"/>
          <w:sz w:val="30"/>
          <w:szCs w:val="30"/>
        </w:rPr>
        <w:t xml:space="preserve">8. Risques et points d'attention</w:t>
      </w:r>
    </w:p>
    <w:p>
      <w:pPr>
        <w:pStyle w:val="ListParagraph"/>
        <w:numPr>
          <w:ilvl w:val="0"/>
          <w:numId w:val="2"/>
        </w:numPr>
        <w:spacing w:after="90"/>
      </w:pPr>
      <w:r>
        <w:rPr>
          <w:sz w:val="21"/>
          <w:szCs w:val="21"/>
        </w:rPr>
        <w:t xml:space="preserve">Double maintenance : deux bases de données et deux code-bases (Tibus et Courrier) à faire évoluer séparément — acceptable si l'objectif est justement de ne plus faire porter les demandes « colis » par le socle billetterie.</w:t>
      </w:r>
    </w:p>
    <w:p>
      <w:pPr>
        <w:pStyle w:val="ListParagraph"/>
        <w:numPr>
          <w:ilvl w:val="0"/>
          <w:numId w:val="2"/>
        </w:numPr>
        <w:spacing w:after="90"/>
      </w:pPr>
      <w:r>
        <w:rPr>
          <w:sz w:val="21"/>
          <w:szCs w:val="21"/>
        </w:rPr>
        <w:t xml:space="preserve">Migration des données existantes : si les colis déjà enregistrés dans Tibus doivent apparaître dans Courrier, un script de migration ponctuel sera nécessaire (hors périmètre de cette étude, à chiffrer séparément si retenu).</w:t>
      </w:r>
    </w:p>
    <w:p>
      <w:pPr>
        <w:pStyle w:val="ListParagraph"/>
        <w:numPr>
          <w:ilvl w:val="0"/>
          <w:numId w:val="2"/>
        </w:numPr>
        <w:spacing w:after="90"/>
      </w:pPr>
      <w:r>
        <w:rPr>
          <w:sz w:val="21"/>
          <w:szCs w:val="21"/>
        </w:rPr>
        <w:t xml:space="preserve">Comptes utilisateurs : les agents ayant déjà un compte Tibus devront être recréés (ou migrés) dans la nouvelle base Supabase Auth de Courrier.</w:t>
      </w:r>
    </w:p>
    <w:p>
      <w:pPr>
        <w:pStyle w:val="ListParagraph"/>
        <w:numPr>
          <w:ilvl w:val="0"/>
          <w:numId w:val="2"/>
        </w:numPr>
        <w:spacing w:after="90"/>
      </w:pPr>
      <w:r>
        <w:rPr>
          <w:sz w:val="21"/>
          <w:szCs w:val="21"/>
        </w:rPr>
        <w:t xml:space="preserve">Fonctionnalités liées mais transverses (impression de reçus, SMS) : à revalider individuellement, certaines dépendent de fournisseurs tiers (SMS) déjà configurés côté Tibus — les clés d'API devront être reconfigurées pour le nouveau projet.</w:t>
      </w:r>
    </w:p>
    <w:p>
      <w:pPr>
        <w:pStyle w:val="ListParagraph"/>
        <w:numPr>
          <w:ilvl w:val="0"/>
          <w:numId w:val="2"/>
        </w:numPr>
        <w:spacing w:after="90"/>
      </w:pPr>
      <w:r>
        <w:rPr>
          <w:sz w:val="21"/>
          <w:szCs w:val="21"/>
        </w:rPr>
        <w:t xml:space="preserve">Cohérence de marque : si Courrier est commercialisé sous un autre nom auprès du client final, prévoir tôt les éléments d'identité (nom, logo, icône d'application).</w:t>
      </w:r>
    </w:p>
    <w:p>
      <w:pPr>
        <w:pStyle w:val="Heading1"/>
        <w:pBdr>
          <w:bottom w:val="single" w:color="2E7D32" w:sz="6" w:space="4"/>
        </w:pBdr>
        <w:spacing w:after="160" w:before="360"/>
      </w:pPr>
      <w:r>
        <w:rPr>
          <w:b/>
          <w:bCs/>
          <w:color w:val="1B5E20"/>
          <w:sz w:val="30"/>
          <w:szCs w:val="30"/>
        </w:rPr>
        <w:t xml:space="preserve">9. Canevas / feuille de route</w:t>
      </w:r>
    </w:p>
    <w:p>
      <w:pPr>
        <w:spacing w:after="160" w:line="300"/>
      </w:pPr>
      <w:r>
        <w:rPr>
          <w:sz w:val="21"/>
          <w:szCs w:val="21"/>
        </w:rPr>
        <w:t xml:space="preserve">Découpage en phases courtes, chacune livrant un résultat testable. Les durées sont indicatives pour un développeur à temps plein et supposent l'Option A (réutilisation adaptée des fonctions SQL existantes).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4400"/>
        <w:gridCol w:w="1200"/>
      </w:tblGrid>
      <w:tr>
        <w:trPr>
          <w:tblHeader/>
        </w:trPr>
        <w:tc>
          <w:tcPr>
            <w:tcW w:type="dxa" w:w="1400"/>
            <w:shd w:fill="2E7D32" w:val="clear"/>
            <w:tcMar>
              <w:top w:type="dxa" w:w="80"/>
              <w:left w:type="dxa" w:w="100"/>
              <w:bottom w:type="dxa" w:w="80"/>
              <w:right w:type="dxa" w:w="100"/>
            </w:tcMar>
          </w:tcPr>
          <w:p>
            <w:pPr>
              <w:jc w:val="left"/>
            </w:pPr>
            <w:r>
              <w:rPr>
                <w:b/>
                <w:bCs/>
                <w:color w:val="FFFFFF"/>
                <w:sz w:val="19"/>
                <w:szCs w:val="19"/>
              </w:rPr>
              <w:t xml:space="preserve">Phase</w:t>
            </w:r>
          </w:p>
        </w:tc>
        <w:tc>
          <w:tcPr>
            <w:tcW w:type="dxa" w:w="2600"/>
            <w:shd w:fill="2E7D32" w:val="clear"/>
            <w:tcMar>
              <w:top w:type="dxa" w:w="80"/>
              <w:left w:type="dxa" w:w="100"/>
              <w:bottom w:type="dxa" w:w="80"/>
              <w:right w:type="dxa" w:w="100"/>
            </w:tcMar>
          </w:tcPr>
          <w:p>
            <w:pPr>
              <w:jc w:val="left"/>
            </w:pPr>
            <w:r>
              <w:rPr>
                <w:b/>
                <w:bCs/>
                <w:color w:val="FFFFFF"/>
                <w:sz w:val="19"/>
                <w:szCs w:val="19"/>
              </w:rPr>
              <w:t xml:space="preserve">Titre</w:t>
            </w:r>
          </w:p>
        </w:tc>
        <w:tc>
          <w:tcPr>
            <w:tcW w:type="dxa" w:w="4400"/>
            <w:shd w:fill="2E7D32" w:val="clear"/>
            <w:tcMar>
              <w:top w:type="dxa" w:w="80"/>
              <w:left w:type="dxa" w:w="100"/>
              <w:bottom w:type="dxa" w:w="80"/>
              <w:right w:type="dxa" w:w="100"/>
            </w:tcMar>
          </w:tcPr>
          <w:p>
            <w:pPr>
              <w:jc w:val="left"/>
            </w:pPr>
            <w:r>
              <w:rPr>
                <w:b/>
                <w:bCs/>
                <w:color w:val="FFFFFF"/>
                <w:sz w:val="19"/>
                <w:szCs w:val="19"/>
              </w:rPr>
              <w:t xml:space="preserve">Livrables</w:t>
            </w:r>
          </w:p>
        </w:tc>
        <w:tc>
          <w:tcPr>
            <w:tcW w:type="dxa" w:w="1200"/>
            <w:shd w:fill="2E7D32" w:val="clear"/>
            <w:tcMar>
              <w:top w:type="dxa" w:w="80"/>
              <w:left w:type="dxa" w:w="100"/>
              <w:bottom w:type="dxa" w:w="80"/>
              <w:right w:type="dxa" w:w="100"/>
            </w:tcMar>
          </w:tcPr>
          <w:p>
            <w:pPr>
              <w:jc w:val="left"/>
            </w:pPr>
            <w:r>
              <w:rPr>
                <w:b/>
                <w:bCs/>
                <w:color w:val="FFFFFF"/>
                <w:sz w:val="19"/>
                <w:szCs w:val="19"/>
              </w:rPr>
              <w:t xml:space="preserve">Durée indic.</w:t>
            </w:r>
          </w:p>
        </w:tc>
      </w:tr>
      <w:tr>
        <w:tc>
          <w:tcPr>
            <w:tcW w:type="dxa" w:w="1400"/>
            <w:tcMar>
              <w:top w:type="dxa" w:w="80"/>
              <w:left w:type="dxa" w:w="100"/>
              <w:bottom w:type="dxa" w:w="80"/>
              <w:right w:type="dxa" w:w="100"/>
            </w:tcMar>
          </w:tcPr>
          <w:p>
            <w:pPr>
              <w:jc w:val="left"/>
            </w:pPr>
            <w:r>
              <w:rPr>
                <w:b/>
                <w:bCs/>
                <w:color w:val="111827"/>
                <w:sz w:val="19"/>
                <w:szCs w:val="19"/>
              </w:rPr>
              <w:t xml:space="preserve">Phase 0</w:t>
            </w:r>
          </w:p>
        </w:tc>
        <w:tc>
          <w:tcPr>
            <w:tcW w:type="dxa" w:w="2600"/>
            <w:tcMar>
              <w:top w:type="dxa" w:w="80"/>
              <w:left w:type="dxa" w:w="100"/>
              <w:bottom w:type="dxa" w:w="80"/>
              <w:right w:type="dxa" w:w="100"/>
            </w:tcMar>
          </w:tcPr>
          <w:p>
            <w:pPr>
              <w:jc w:val="left"/>
            </w:pPr>
            <w:r>
              <w:rPr>
                <w:b/>
                <w:bCs/>
                <w:color w:val="111827"/>
                <w:sz w:val="19"/>
                <w:szCs w:val="19"/>
              </w:rPr>
              <w:t xml:space="preserve">Cadrage &amp; validation</w:t>
            </w:r>
          </w:p>
        </w:tc>
        <w:tc>
          <w:tcPr>
            <w:tcW w:type="dxa" w:w="4400"/>
            <w:tcMar>
              <w:top w:type="dxa" w:w="80"/>
              <w:left w:type="dxa" w:w="100"/>
              <w:bottom w:type="dxa" w:w="80"/>
              <w:right w:type="dxa" w:w="100"/>
            </w:tcMar>
          </w:tcPr>
          <w:p>
            <w:pPr>
              <w:jc w:val="left"/>
            </w:pPr>
            <w:r>
              <w:rPr>
                <w:b w:val="false"/>
                <w:bCs w:val="false"/>
                <w:color w:val="111827"/>
                <w:sz w:val="19"/>
                <w:szCs w:val="19"/>
              </w:rPr>
              <w:t xml:space="preserve">Validation du périmètre (ce document), choix définitif des rôles à conserver, arbitrage sur la réutilisation ou non des scripts SQL existants</w:t>
            </w:r>
          </w:p>
        </w:tc>
        <w:tc>
          <w:tcPr>
            <w:tcW w:type="dxa" w:w="1200"/>
            <w:tcMar>
              <w:top w:type="dxa" w:w="80"/>
              <w:left w:type="dxa" w:w="100"/>
              <w:bottom w:type="dxa" w:w="80"/>
              <w:right w:type="dxa" w:w="100"/>
            </w:tcMar>
          </w:tcPr>
          <w:p>
            <w:pPr>
              <w:jc w:val="center"/>
            </w:pPr>
            <w:r>
              <w:rPr>
                <w:b w:val="false"/>
                <w:bCs w:val="false"/>
                <w:color w:val="111827"/>
                <w:sz w:val="19"/>
                <w:szCs w:val="19"/>
              </w:rPr>
              <w:t xml:space="preserve">3-5 j</w:t>
            </w:r>
          </w:p>
        </w:tc>
      </w:tr>
      <w:tr>
        <w:tc>
          <w:tcPr>
            <w:tcW w:type="dxa" w:w="1400"/>
            <w:shd w:fill="F3F4F6" w:val="clear"/>
            <w:tcMar>
              <w:top w:type="dxa" w:w="80"/>
              <w:left w:type="dxa" w:w="100"/>
              <w:bottom w:type="dxa" w:w="80"/>
              <w:right w:type="dxa" w:w="100"/>
            </w:tcMar>
          </w:tcPr>
          <w:p>
            <w:pPr>
              <w:jc w:val="left"/>
            </w:pPr>
            <w:r>
              <w:rPr>
                <w:b/>
                <w:bCs/>
                <w:color w:val="111827"/>
                <w:sz w:val="19"/>
                <w:szCs w:val="19"/>
              </w:rPr>
              <w:t xml:space="preserve">Phase 1</w:t>
            </w:r>
          </w:p>
        </w:tc>
        <w:tc>
          <w:tcPr>
            <w:tcW w:type="dxa" w:w="2600"/>
            <w:shd w:fill="F3F4F6" w:val="clear"/>
            <w:tcMar>
              <w:top w:type="dxa" w:w="80"/>
              <w:left w:type="dxa" w:w="100"/>
              <w:bottom w:type="dxa" w:w="80"/>
              <w:right w:type="dxa" w:w="100"/>
            </w:tcMar>
          </w:tcPr>
          <w:p>
            <w:pPr>
              <w:jc w:val="left"/>
            </w:pPr>
            <w:r>
              <w:rPr>
                <w:b/>
                <w:bCs/>
                <w:color w:val="111827"/>
                <w:sz w:val="19"/>
                <w:szCs w:val="19"/>
              </w:rPr>
              <w:t xml:space="preserve">Socle technique</w:t>
            </w:r>
          </w:p>
        </w:tc>
        <w:tc>
          <w:tcPr>
            <w:tcW w:type="dxa" w:w="4400"/>
            <w:shd w:fill="F3F4F6" w:val="clear"/>
            <w:tcMar>
              <w:top w:type="dxa" w:w="80"/>
              <w:left w:type="dxa" w:w="100"/>
              <w:bottom w:type="dxa" w:w="80"/>
              <w:right w:type="dxa" w:w="100"/>
            </w:tcMar>
          </w:tcPr>
          <w:p>
            <w:pPr>
              <w:jc w:val="left"/>
            </w:pPr>
            <w:r>
              <w:rPr>
                <w:b w:val="false"/>
                <w:bCs w:val="false"/>
                <w:color w:val="111827"/>
                <w:sz w:val="19"/>
                <w:szCs w:val="19"/>
              </w:rPr>
              <w:t xml:space="preserve">Nouveau projet Supabase (Auth, Postgres, Storage), schéma de données réduit, scaffold Flutter (thème, navigation, packages)</w:t>
            </w:r>
          </w:p>
        </w:tc>
        <w:tc>
          <w:tcPr>
            <w:tcW w:type="dxa" w:w="1200"/>
            <w:shd w:fill="F3F4F6" w:val="clear"/>
            <w:tcMar>
              <w:top w:type="dxa" w:w="80"/>
              <w:left w:type="dxa" w:w="100"/>
              <w:bottom w:type="dxa" w:w="80"/>
              <w:right w:type="dxa" w:w="100"/>
            </w:tcMar>
          </w:tcPr>
          <w:p>
            <w:pPr>
              <w:jc w:val="center"/>
            </w:pPr>
            <w:r>
              <w:rPr>
                <w:b w:val="false"/>
                <w:bCs w:val="false"/>
                <w:color w:val="111827"/>
                <w:sz w:val="19"/>
                <w:szCs w:val="19"/>
              </w:rPr>
              <w:t xml:space="preserve">1 sem.</w:t>
            </w:r>
          </w:p>
        </w:tc>
      </w:tr>
      <w:tr>
        <w:tc>
          <w:tcPr>
            <w:tcW w:type="dxa" w:w="1400"/>
            <w:tcMar>
              <w:top w:type="dxa" w:w="80"/>
              <w:left w:type="dxa" w:w="100"/>
              <w:bottom w:type="dxa" w:w="80"/>
              <w:right w:type="dxa" w:w="100"/>
            </w:tcMar>
          </w:tcPr>
          <w:p>
            <w:pPr>
              <w:jc w:val="left"/>
            </w:pPr>
            <w:r>
              <w:rPr>
                <w:b/>
                <w:bCs/>
                <w:color w:val="111827"/>
                <w:sz w:val="19"/>
                <w:szCs w:val="19"/>
              </w:rPr>
              <w:t xml:space="preserve">Phase 2</w:t>
            </w:r>
          </w:p>
        </w:tc>
        <w:tc>
          <w:tcPr>
            <w:tcW w:type="dxa" w:w="2600"/>
            <w:tcMar>
              <w:top w:type="dxa" w:w="80"/>
              <w:left w:type="dxa" w:w="100"/>
              <w:bottom w:type="dxa" w:w="80"/>
              <w:right w:type="dxa" w:w="100"/>
            </w:tcMar>
          </w:tcPr>
          <w:p>
            <w:pPr>
              <w:jc w:val="left"/>
            </w:pPr>
            <w:r>
              <w:rPr>
                <w:b/>
                <w:bCs/>
                <w:color w:val="111827"/>
                <w:sz w:val="19"/>
                <w:szCs w:val="19"/>
              </w:rPr>
              <w:t xml:space="preserve">Authentification &amp; rôles</w:t>
            </w:r>
          </w:p>
        </w:tc>
        <w:tc>
          <w:tcPr>
            <w:tcW w:type="dxa" w:w="4400"/>
            <w:tcMar>
              <w:top w:type="dxa" w:w="80"/>
              <w:left w:type="dxa" w:w="100"/>
              <w:bottom w:type="dxa" w:w="80"/>
              <w:right w:type="dxa" w:w="100"/>
            </w:tcMar>
          </w:tcPr>
          <w:p>
            <w:pPr>
              <w:jc w:val="left"/>
            </w:pPr>
            <w:r>
              <w:rPr>
                <w:b w:val="false"/>
                <w:bCs w:val="false"/>
                <w:color w:val="111827"/>
                <w:sz w:val="19"/>
                <w:szCs w:val="19"/>
              </w:rPr>
              <w:t xml:space="preserve">Connexion, session, gestion des rôles (Role / UserRoles), écrans par profil (agent / gérant / admin)</w:t>
            </w:r>
          </w:p>
        </w:tc>
        <w:tc>
          <w:tcPr>
            <w:tcW w:type="dxa" w:w="1200"/>
            <w:tcMar>
              <w:top w:type="dxa" w:w="80"/>
              <w:left w:type="dxa" w:w="100"/>
              <w:bottom w:type="dxa" w:w="80"/>
              <w:right w:type="dxa" w:w="100"/>
            </w:tcMar>
          </w:tcPr>
          <w:p>
            <w:pPr>
              <w:jc w:val="center"/>
            </w:pPr>
            <w:r>
              <w:rPr>
                <w:b w:val="false"/>
                <w:bCs w:val="false"/>
                <w:color w:val="111827"/>
                <w:sz w:val="19"/>
                <w:szCs w:val="19"/>
              </w:rPr>
              <w:t xml:space="preserve">1 sem.</w:t>
            </w:r>
          </w:p>
        </w:tc>
      </w:tr>
      <w:tr>
        <w:tc>
          <w:tcPr>
            <w:tcW w:type="dxa" w:w="1400"/>
            <w:shd w:fill="F3F4F6" w:val="clear"/>
            <w:tcMar>
              <w:top w:type="dxa" w:w="80"/>
              <w:left w:type="dxa" w:w="100"/>
              <w:bottom w:type="dxa" w:w="80"/>
              <w:right w:type="dxa" w:w="100"/>
            </w:tcMar>
          </w:tcPr>
          <w:p>
            <w:pPr>
              <w:jc w:val="left"/>
            </w:pPr>
            <w:r>
              <w:rPr>
                <w:b/>
                <w:bCs/>
                <w:color w:val="111827"/>
                <w:sz w:val="19"/>
                <w:szCs w:val="19"/>
              </w:rPr>
              <w:t xml:space="preserve">Phase 3</w:t>
            </w:r>
          </w:p>
        </w:tc>
        <w:tc>
          <w:tcPr>
            <w:tcW w:type="dxa" w:w="2600"/>
            <w:shd w:fill="F3F4F6" w:val="clear"/>
            <w:tcMar>
              <w:top w:type="dxa" w:w="80"/>
              <w:left w:type="dxa" w:w="100"/>
              <w:bottom w:type="dxa" w:w="80"/>
              <w:right w:type="dxa" w:w="100"/>
            </w:tcMar>
          </w:tcPr>
          <w:p>
            <w:pPr>
              <w:jc w:val="left"/>
            </w:pPr>
            <w:r>
              <w:rPr>
                <w:b/>
                <w:bCs/>
                <w:color w:val="111827"/>
                <w:sz w:val="19"/>
                <w:szCs w:val="19"/>
              </w:rPr>
              <w:t xml:space="preserve">Cœur colis</w:t>
            </w:r>
          </w:p>
        </w:tc>
        <w:tc>
          <w:tcPr>
            <w:tcW w:type="dxa" w:w="4400"/>
            <w:shd w:fill="F3F4F6" w:val="clear"/>
            <w:tcMar>
              <w:top w:type="dxa" w:w="80"/>
              <w:left w:type="dxa" w:w="100"/>
              <w:bottom w:type="dxa" w:w="80"/>
              <w:right w:type="dxa" w:w="100"/>
            </w:tcMar>
          </w:tcPr>
          <w:p>
            <w:pPr>
              <w:jc w:val="left"/>
            </w:pPr>
            <w:r>
              <w:rPr>
                <w:b w:val="false"/>
                <w:bCs w:val="false"/>
                <w:color w:val="111827"/>
                <w:sz w:val="19"/>
                <w:szCs w:val="19"/>
              </w:rPr>
              <w:t xml:space="preserve">Enregistrement d'un colis, liste + recherche + filtres, détail, cycle de statut (enregistré → chargé → arrivé → livré), retrait par code/QR</w:t>
            </w:r>
          </w:p>
        </w:tc>
        <w:tc>
          <w:tcPr>
            <w:tcW w:type="dxa" w:w="1200"/>
            <w:shd w:fill="F3F4F6" w:val="clear"/>
            <w:tcMar>
              <w:top w:type="dxa" w:w="80"/>
              <w:left w:type="dxa" w:w="100"/>
              <w:bottom w:type="dxa" w:w="80"/>
              <w:right w:type="dxa" w:w="100"/>
            </w:tcMar>
          </w:tcPr>
          <w:p>
            <w:pPr>
              <w:jc w:val="center"/>
            </w:pPr>
            <w:r>
              <w:rPr>
                <w:b w:val="false"/>
                <w:bCs w:val="false"/>
                <w:color w:val="111827"/>
                <w:sz w:val="19"/>
                <w:szCs w:val="19"/>
              </w:rPr>
              <w:t xml:space="preserve">2 sem.</w:t>
            </w:r>
          </w:p>
        </w:tc>
      </w:tr>
      <w:tr>
        <w:tc>
          <w:tcPr>
            <w:tcW w:type="dxa" w:w="1400"/>
            <w:tcMar>
              <w:top w:type="dxa" w:w="80"/>
              <w:left w:type="dxa" w:w="100"/>
              <w:bottom w:type="dxa" w:w="80"/>
              <w:right w:type="dxa" w:w="100"/>
            </w:tcMar>
          </w:tcPr>
          <w:p>
            <w:pPr>
              <w:jc w:val="left"/>
            </w:pPr>
            <w:r>
              <w:rPr>
                <w:b/>
                <w:bCs/>
                <w:color w:val="111827"/>
                <w:sz w:val="19"/>
                <w:szCs w:val="19"/>
              </w:rPr>
              <w:t xml:space="preserve">Phase 4</w:t>
            </w:r>
          </w:p>
        </w:tc>
        <w:tc>
          <w:tcPr>
            <w:tcW w:type="dxa" w:w="2600"/>
            <w:tcMar>
              <w:top w:type="dxa" w:w="80"/>
              <w:left w:type="dxa" w:w="100"/>
              <w:bottom w:type="dxa" w:w="80"/>
              <w:right w:type="dxa" w:w="100"/>
            </w:tcMar>
          </w:tcPr>
          <w:p>
            <w:pPr>
              <w:jc w:val="left"/>
            </w:pPr>
            <w:r>
              <w:rPr>
                <w:b/>
                <w:bCs/>
                <w:color w:val="111827"/>
                <w:sz w:val="19"/>
                <w:szCs w:val="19"/>
              </w:rPr>
              <w:t xml:space="preserve">Tableau de bord &amp; stats</w:t>
            </w:r>
          </w:p>
        </w:tc>
        <w:tc>
          <w:tcPr>
            <w:tcW w:type="dxa" w:w="4400"/>
            <w:tcMar>
              <w:top w:type="dxa" w:w="80"/>
              <w:left w:type="dxa" w:w="100"/>
              <w:bottom w:type="dxa" w:w="80"/>
              <w:right w:type="dxa" w:w="100"/>
            </w:tcMar>
          </w:tcPr>
          <w:p>
            <w:pPr>
              <w:jc w:val="left"/>
            </w:pPr>
            <w:r>
              <w:rPr>
                <w:b w:val="false"/>
                <w:bCs w:val="false"/>
                <w:color w:val="111827"/>
                <w:sz w:val="19"/>
                <w:szCs w:val="19"/>
              </w:rPr>
              <w:t xml:space="preserve">Écran d'accueil (KPI du jour), statistiques (total, mois, montant, répartition par statut)</w:t>
            </w:r>
          </w:p>
        </w:tc>
        <w:tc>
          <w:tcPr>
            <w:tcW w:type="dxa" w:w="1200"/>
            <w:tcMar>
              <w:top w:type="dxa" w:w="80"/>
              <w:left w:type="dxa" w:w="100"/>
              <w:bottom w:type="dxa" w:w="80"/>
              <w:right w:type="dxa" w:w="100"/>
            </w:tcMar>
          </w:tcPr>
          <w:p>
            <w:pPr>
              <w:jc w:val="center"/>
            </w:pPr>
            <w:r>
              <w:rPr>
                <w:b w:val="false"/>
                <w:bCs w:val="false"/>
                <w:color w:val="111827"/>
                <w:sz w:val="19"/>
                <w:szCs w:val="19"/>
              </w:rPr>
              <w:t xml:space="preserve">1 sem.</w:t>
            </w:r>
          </w:p>
        </w:tc>
      </w:tr>
      <w:tr>
        <w:tc>
          <w:tcPr>
            <w:tcW w:type="dxa" w:w="1400"/>
            <w:shd w:fill="F3F4F6" w:val="clear"/>
            <w:tcMar>
              <w:top w:type="dxa" w:w="80"/>
              <w:left w:type="dxa" w:w="100"/>
              <w:bottom w:type="dxa" w:w="80"/>
              <w:right w:type="dxa" w:w="100"/>
            </w:tcMar>
          </w:tcPr>
          <w:p>
            <w:pPr>
              <w:jc w:val="left"/>
            </w:pPr>
            <w:r>
              <w:rPr>
                <w:b/>
                <w:bCs/>
                <w:color w:val="111827"/>
                <w:sz w:val="19"/>
                <w:szCs w:val="19"/>
              </w:rPr>
              <w:t xml:space="preserve">Phase 5</w:t>
            </w:r>
          </w:p>
        </w:tc>
        <w:tc>
          <w:tcPr>
            <w:tcW w:type="dxa" w:w="2600"/>
            <w:shd w:fill="F3F4F6" w:val="clear"/>
            <w:tcMar>
              <w:top w:type="dxa" w:w="80"/>
              <w:left w:type="dxa" w:w="100"/>
              <w:bottom w:type="dxa" w:w="80"/>
              <w:right w:type="dxa" w:w="100"/>
            </w:tcMar>
          </w:tcPr>
          <w:p>
            <w:pPr>
              <w:jc w:val="left"/>
            </w:pPr>
            <w:r>
              <w:rPr>
                <w:b/>
                <w:bCs/>
                <w:color w:val="111827"/>
                <w:sz w:val="19"/>
                <w:szCs w:val="19"/>
              </w:rPr>
              <w:t xml:space="preserve">Caisse &amp; notifications</w:t>
            </w:r>
          </w:p>
        </w:tc>
        <w:tc>
          <w:tcPr>
            <w:tcW w:type="dxa" w:w="4400"/>
            <w:shd w:fill="F3F4F6" w:val="clear"/>
            <w:tcMar>
              <w:top w:type="dxa" w:w="80"/>
              <w:left w:type="dxa" w:w="100"/>
              <w:bottom w:type="dxa" w:w="80"/>
              <w:right w:type="dxa" w:w="100"/>
            </w:tcMar>
          </w:tcPr>
          <w:p>
            <w:pPr>
              <w:jc w:val="left"/>
            </w:pPr>
            <w:r>
              <w:rPr>
                <w:b w:val="false"/>
                <w:bCs w:val="false"/>
                <w:color w:val="111827"/>
                <w:sz w:val="19"/>
                <w:szCs w:val="19"/>
              </w:rPr>
              <w:t xml:space="preserve">Journal de caisse colis, envoi SMS expéditeur/destinataire par étape (édge function réutilisable)</w:t>
            </w:r>
          </w:p>
        </w:tc>
        <w:tc>
          <w:tcPr>
            <w:tcW w:type="dxa" w:w="1200"/>
            <w:shd w:fill="F3F4F6" w:val="clear"/>
            <w:tcMar>
              <w:top w:type="dxa" w:w="80"/>
              <w:left w:type="dxa" w:w="100"/>
              <w:bottom w:type="dxa" w:w="80"/>
              <w:right w:type="dxa" w:w="100"/>
            </w:tcMar>
          </w:tcPr>
          <w:p>
            <w:pPr>
              <w:jc w:val="center"/>
            </w:pPr>
            <w:r>
              <w:rPr>
                <w:b w:val="false"/>
                <w:bCs w:val="false"/>
                <w:color w:val="111827"/>
                <w:sz w:val="19"/>
                <w:szCs w:val="19"/>
              </w:rPr>
              <w:t xml:space="preserve">1 sem.</w:t>
            </w:r>
          </w:p>
        </w:tc>
      </w:tr>
      <w:tr>
        <w:tc>
          <w:tcPr>
            <w:tcW w:type="dxa" w:w="1400"/>
            <w:tcMar>
              <w:top w:type="dxa" w:w="80"/>
              <w:left w:type="dxa" w:w="100"/>
              <w:bottom w:type="dxa" w:w="80"/>
              <w:right w:type="dxa" w:w="100"/>
            </w:tcMar>
          </w:tcPr>
          <w:p>
            <w:pPr>
              <w:jc w:val="left"/>
            </w:pPr>
            <w:r>
              <w:rPr>
                <w:b/>
                <w:bCs/>
                <w:color w:val="111827"/>
                <w:sz w:val="19"/>
                <w:szCs w:val="19"/>
              </w:rPr>
              <w:t xml:space="preserve">Phase 6</w:t>
            </w:r>
          </w:p>
        </w:tc>
        <w:tc>
          <w:tcPr>
            <w:tcW w:type="dxa" w:w="2600"/>
            <w:tcMar>
              <w:top w:type="dxa" w:w="80"/>
              <w:left w:type="dxa" w:w="100"/>
              <w:bottom w:type="dxa" w:w="80"/>
              <w:right w:type="dxa" w:w="100"/>
            </w:tcMar>
          </w:tcPr>
          <w:p>
            <w:pPr>
              <w:jc w:val="left"/>
            </w:pPr>
            <w:r>
              <w:rPr>
                <w:b/>
                <w:bCs/>
                <w:color w:val="111827"/>
                <w:sz w:val="19"/>
                <w:szCs w:val="19"/>
              </w:rPr>
              <w:t xml:space="preserve">Finition &amp; tests</w:t>
            </w:r>
          </w:p>
        </w:tc>
        <w:tc>
          <w:tcPr>
            <w:tcW w:type="dxa" w:w="4400"/>
            <w:tcMar>
              <w:top w:type="dxa" w:w="80"/>
              <w:left w:type="dxa" w:w="100"/>
              <w:bottom w:type="dxa" w:w="80"/>
              <w:right w:type="dxa" w:w="100"/>
            </w:tcMar>
          </w:tcPr>
          <w:p>
            <w:pPr>
              <w:jc w:val="left"/>
            </w:pPr>
            <w:r>
              <w:rPr>
                <w:b w:val="false"/>
                <w:bCs w:val="false"/>
                <w:color w:val="111827"/>
                <w:sz w:val="19"/>
                <w:szCs w:val="19"/>
              </w:rPr>
              <w:t xml:space="preserve">Alignement du design sur les maquettes de référence, tests fonctionnels, corrections</w:t>
            </w:r>
          </w:p>
        </w:tc>
        <w:tc>
          <w:tcPr>
            <w:tcW w:type="dxa" w:w="1200"/>
            <w:tcMar>
              <w:top w:type="dxa" w:w="80"/>
              <w:left w:type="dxa" w:w="100"/>
              <w:bottom w:type="dxa" w:w="80"/>
              <w:right w:type="dxa" w:w="100"/>
            </w:tcMar>
          </w:tcPr>
          <w:p>
            <w:pPr>
              <w:jc w:val="center"/>
            </w:pPr>
            <w:r>
              <w:rPr>
                <w:b w:val="false"/>
                <w:bCs w:val="false"/>
                <w:color w:val="111827"/>
                <w:sz w:val="19"/>
                <w:szCs w:val="19"/>
              </w:rPr>
              <w:t xml:space="preserve">1 sem.</w:t>
            </w:r>
          </w:p>
        </w:tc>
      </w:tr>
      <w:tr>
        <w:tc>
          <w:tcPr>
            <w:tcW w:type="dxa" w:w="1400"/>
            <w:shd w:fill="F3F4F6" w:val="clear"/>
            <w:tcMar>
              <w:top w:type="dxa" w:w="80"/>
              <w:left w:type="dxa" w:w="100"/>
              <w:bottom w:type="dxa" w:w="80"/>
              <w:right w:type="dxa" w:w="100"/>
            </w:tcMar>
          </w:tcPr>
          <w:p>
            <w:pPr>
              <w:jc w:val="left"/>
            </w:pPr>
            <w:r>
              <w:rPr>
                <w:b/>
                <w:bCs/>
                <w:color w:val="111827"/>
                <w:sz w:val="19"/>
                <w:szCs w:val="19"/>
              </w:rPr>
              <w:t xml:space="preserve">Phase 7</w:t>
            </w:r>
          </w:p>
        </w:tc>
        <w:tc>
          <w:tcPr>
            <w:tcW w:type="dxa" w:w="2600"/>
            <w:shd w:fill="F3F4F6" w:val="clear"/>
            <w:tcMar>
              <w:top w:type="dxa" w:w="80"/>
              <w:left w:type="dxa" w:w="100"/>
              <w:bottom w:type="dxa" w:w="80"/>
              <w:right w:type="dxa" w:w="100"/>
            </w:tcMar>
          </w:tcPr>
          <w:p>
            <w:pPr>
              <w:jc w:val="left"/>
            </w:pPr>
            <w:r>
              <w:rPr>
                <w:b/>
                <w:bCs/>
                <w:color w:val="111827"/>
                <w:sz w:val="19"/>
                <w:szCs w:val="19"/>
              </w:rPr>
              <w:t xml:space="preserve">Mise en production</w:t>
            </w:r>
          </w:p>
        </w:tc>
        <w:tc>
          <w:tcPr>
            <w:tcW w:type="dxa" w:w="4400"/>
            <w:shd w:fill="F3F4F6" w:val="clear"/>
            <w:tcMar>
              <w:top w:type="dxa" w:w="80"/>
              <w:left w:type="dxa" w:w="100"/>
              <w:bottom w:type="dxa" w:w="80"/>
              <w:right w:type="dxa" w:w="100"/>
            </w:tcMar>
          </w:tcPr>
          <w:p>
            <w:pPr>
              <w:jc w:val="left"/>
            </w:pPr>
            <w:r>
              <w:rPr>
                <w:b w:val="false"/>
                <w:bCs w:val="false"/>
                <w:color w:val="111827"/>
                <w:sz w:val="19"/>
                <w:szCs w:val="19"/>
              </w:rPr>
              <w:t xml:space="preserve">Publication Play Store / App Store (ou APK direct), bascule des premiers agents pilotes</w:t>
            </w:r>
          </w:p>
        </w:tc>
        <w:tc>
          <w:tcPr>
            <w:tcW w:type="dxa" w:w="1200"/>
            <w:shd w:fill="F3F4F6" w:val="clear"/>
            <w:tcMar>
              <w:top w:type="dxa" w:w="80"/>
              <w:left w:type="dxa" w:w="100"/>
              <w:bottom w:type="dxa" w:w="80"/>
              <w:right w:type="dxa" w:w="100"/>
            </w:tcMar>
          </w:tcPr>
          <w:p>
            <w:pPr>
              <w:jc w:val="center"/>
            </w:pPr>
            <w:r>
              <w:rPr>
                <w:b w:val="false"/>
                <w:bCs w:val="false"/>
                <w:color w:val="111827"/>
                <w:sz w:val="19"/>
                <w:szCs w:val="19"/>
              </w:rPr>
              <w:t xml:space="preserve">3-5 j</w:t>
            </w:r>
          </w:p>
        </w:tc>
      </w:tr>
    </w:tbl>
    <w:p>
      <w:pPr>
        <w:spacing w:before="200"/>
      </w:pPr>
    </w:p>
    <w:p>
      <w:pPr>
        <w:pBdr>
          <w:left w:val="single" w:color="2E7D32" w:sz="18" w:space="8"/>
        </w:pBdr>
        <w:shd w:fill="E8F5E9" w:val="clear"/>
        <w:spacing w:after="200" w:before="60"/>
        <w:ind w:left="100"/>
      </w:pPr>
      <w:r>
        <w:rPr>
          <w:i/>
          <w:iCs/>
          <w:color w:val="374151"/>
          <w:sz w:val="21"/>
          <w:szCs w:val="21"/>
        </w:rPr>
        <w:t xml:space="preserve">Durée totale indicative : environ 7 à 8 semaines du cadrage à la mise en production, hors migration de données historiques.</w:t>
      </w:r>
    </w:p>
    <w:p>
      <w:pPr>
        <w:pStyle w:val="Heading1"/>
        <w:pBdr>
          <w:bottom w:val="single" w:color="2E7D32" w:sz="6" w:space="4"/>
        </w:pBdr>
        <w:spacing w:after="160" w:before="360"/>
      </w:pPr>
      <w:r>
        <w:rPr>
          <w:b/>
          <w:bCs/>
          <w:color w:val="1B5E20"/>
          <w:sz w:val="30"/>
          <w:szCs w:val="30"/>
        </w:rPr>
        <w:t xml:space="preserve">10. Conclusion et prochaines étapes</w:t>
      </w:r>
    </w:p>
    <w:p>
      <w:pPr>
        <w:spacing w:after="160" w:line="300"/>
      </w:pPr>
      <w:r>
        <w:rPr>
          <w:sz w:val="21"/>
          <w:szCs w:val="21"/>
        </w:rPr>
        <w:t xml:space="preserve">La demande est réalisable : le module colis autonome de Tibus est fonctionnellement assez autonome pour être extrait dans un projet Courrier séparé, avec sa propre base Supabase et une application Flutter native, sans reprendre le poids de la billetterie. Le modèle de rôles peut être conservé tel quel, avec un périmètre de droits resserré.</w:t>
      </w:r>
    </w:p>
    <w:p>
      <w:pPr>
        <w:spacing w:after="160" w:line="300"/>
      </w:pPr>
      <w:r>
        <w:rPr>
          <w:sz w:val="21"/>
          <w:szCs w:val="21"/>
        </w:rPr>
        <w:t xml:space="preserve">Prochaines étapes suggérées, une fois ce document validé :</w:t>
      </w:r>
    </w:p>
    <w:p>
      <w:pPr>
        <w:pStyle w:val="ListParagraph"/>
        <w:numPr>
          <w:ilvl w:val="0"/>
          <w:numId w:val="2"/>
        </w:numPr>
        <w:spacing w:after="90"/>
      </w:pPr>
      <w:r>
        <w:rPr>
          <w:sz w:val="21"/>
          <w:szCs w:val="21"/>
        </w:rPr>
        <w:t xml:space="preserve">Valider le périmètre du tableau de la section 3 (confirmer qu'aucune fonctionnalité colis n'a été oubliée).</w:t>
      </w:r>
    </w:p>
    <w:p>
      <w:pPr>
        <w:pStyle w:val="ListParagraph"/>
        <w:numPr>
          <w:ilvl w:val="0"/>
          <w:numId w:val="2"/>
        </w:numPr>
        <w:spacing w:after="90"/>
      </w:pPr>
      <w:r>
        <w:rPr>
          <w:sz w:val="21"/>
          <w:szCs w:val="21"/>
        </w:rPr>
        <w:t xml:space="preserve">Trancher entre Option A et Option B pour le backend (section 4.2).</w:t>
      </w:r>
    </w:p>
    <w:p>
      <w:pPr>
        <w:pStyle w:val="ListParagraph"/>
        <w:numPr>
          <w:ilvl w:val="0"/>
          <w:numId w:val="2"/>
        </w:numPr>
        <w:spacing w:after="90"/>
      </w:pPr>
      <w:r>
        <w:rPr>
          <w:sz w:val="21"/>
          <w:szCs w:val="21"/>
        </w:rPr>
        <w:t xml:space="preserve">Décider du sort des données colis déjà existantes (reprise ou démarrage à blanc).</w:t>
      </w:r>
    </w:p>
    <w:p>
      <w:pPr>
        <w:pStyle w:val="ListParagraph"/>
        <w:numPr>
          <w:ilvl w:val="0"/>
          <w:numId w:val="2"/>
        </w:numPr>
        <w:spacing w:after="90"/>
      </w:pPr>
      <w:r>
        <w:rPr>
          <w:sz w:val="21"/>
          <w:szCs w:val="21"/>
        </w:rPr>
        <w:t xml:space="preserve">Lancer la Phase 0 du canevas (section 9).</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2026-07-11T22:57:17.600Z</dcterms:created>
  <dcterms:modified xsi:type="dcterms:W3CDTF">2026-07-11T22:57:17.601Z</dcterms:modified>
</cp:coreProperties>
</file>

<file path=docProps/custom.xml><?xml version="1.0" encoding="utf-8"?>
<Properties xmlns="http://schemas.openxmlformats.org/officeDocument/2006/custom-properties" xmlns:vt="http://schemas.openxmlformats.org/officeDocument/2006/docPropsVTypes"/>
</file>