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A636A7" w14:textId="2F443A65" w:rsidR="00C356E5" w:rsidRDefault="00000000">
      <w:pPr>
        <w:spacing w:before="2400"/>
        <w:jc w:val="center"/>
      </w:pPr>
      <w:r>
        <w:rPr>
          <w:b/>
          <w:bCs/>
          <w:color w:val="1F2A44"/>
          <w:sz w:val="64"/>
          <w:szCs w:val="64"/>
        </w:rPr>
        <w:t>TIBUS</w:t>
      </w:r>
      <w:r w:rsidR="00982D42">
        <w:rPr>
          <w:b/>
          <w:bCs/>
          <w:color w:val="1F2A44"/>
          <w:sz w:val="64"/>
          <w:szCs w:val="64"/>
        </w:rPr>
        <w:t xml:space="preserve"> RIDE</w:t>
      </w:r>
    </w:p>
    <w:p w14:paraId="3C8B69AD" w14:textId="77777777" w:rsidR="00C356E5" w:rsidRDefault="00000000">
      <w:pPr>
        <w:spacing w:before="200" w:after="100"/>
        <w:jc w:val="center"/>
      </w:pPr>
      <w:r>
        <w:rPr>
          <w:b/>
          <w:bCs/>
          <w:color w:val="2563EB"/>
          <w:sz w:val="36"/>
          <w:szCs w:val="36"/>
        </w:rPr>
        <w:t>Manuel d'utilisation — Back-office Administrateur</w:t>
      </w:r>
    </w:p>
    <w:p w14:paraId="4B61F6DA" w14:textId="77777777" w:rsidR="00C356E5" w:rsidRDefault="00000000">
      <w:pPr>
        <w:spacing w:after="800"/>
        <w:jc w:val="center"/>
      </w:pPr>
      <w:r>
        <w:rPr>
          <w:color w:val="595959"/>
          <w:sz w:val="24"/>
          <w:szCs w:val="24"/>
        </w:rPr>
        <w:t>Navigation, fonctionnalités et correspondance avec le cahier des charges</w:t>
      </w:r>
    </w:p>
    <w:p w14:paraId="0847DD58" w14:textId="77777777" w:rsidR="00C356E5" w:rsidRDefault="00000000">
      <w:pPr>
        <w:jc w:val="center"/>
      </w:pPr>
      <w:r>
        <w:rPr>
          <w:color w:val="595959"/>
          <w:sz w:val="20"/>
          <w:szCs w:val="20"/>
        </w:rPr>
        <w:t>Version 1.0 — 24 juin 2026</w:t>
      </w:r>
    </w:p>
    <w:p w14:paraId="48032BC5" w14:textId="77777777" w:rsidR="00C356E5" w:rsidRDefault="00000000">
      <w:pPr>
        <w:spacing w:before="100"/>
        <w:jc w:val="center"/>
      </w:pPr>
      <w:r>
        <w:rPr>
          <w:i/>
          <w:iCs/>
          <w:color w:val="595959"/>
          <w:sz w:val="18"/>
          <w:szCs w:val="18"/>
        </w:rPr>
        <w:t>Document interne — Usage administrateur</w:t>
      </w:r>
    </w:p>
    <w:p w14:paraId="3CB30440" w14:textId="77777777" w:rsidR="00C356E5" w:rsidRDefault="00000000">
      <w:pPr>
        <w:pStyle w:val="Titre1"/>
        <w:pageBreakBefore/>
      </w:pPr>
      <w:bookmarkStart w:id="0" w:name="_Toc233219835"/>
      <w:r>
        <w:lastRenderedPageBreak/>
        <w:t>Sommaire</w:t>
      </w:r>
      <w:bookmarkEnd w:id="0"/>
    </w:p>
    <w:sdt>
      <w:sdtPr>
        <w:alias w:val="Sommaire"/>
        <w:id w:val="375668691"/>
      </w:sdtPr>
      <w:sdtContent>
        <w:p w14:paraId="3AB6E35E" w14:textId="77777777" w:rsidR="00982D42" w:rsidRDefault="00000000">
          <w:pPr>
            <w:pStyle w:val="TM1"/>
            <w:tabs>
              <w:tab w:val="right" w:leader="dot" w:pos="10030"/>
            </w:tabs>
            <w:rPr>
              <w:noProof/>
            </w:rPr>
          </w:pPr>
          <w:r>
            <w:fldChar w:fldCharType="begin"/>
          </w:r>
          <w:r>
            <w:instrText>TOC \h \o "1-3"</w:instrText>
          </w:r>
          <w:r>
            <w:fldChar w:fldCharType="separate"/>
          </w:r>
          <w:hyperlink w:anchor="_Toc233219835" w:history="1">
            <w:r w:rsidR="00982D42" w:rsidRPr="00B95086">
              <w:rPr>
                <w:rStyle w:val="Lienhypertexte"/>
                <w:noProof/>
              </w:rPr>
              <w:t>Sommaire</w:t>
            </w:r>
            <w:r w:rsidR="00982D42">
              <w:rPr>
                <w:noProof/>
              </w:rPr>
              <w:tab/>
            </w:r>
            <w:r w:rsidR="00982D42">
              <w:rPr>
                <w:noProof/>
              </w:rPr>
              <w:fldChar w:fldCharType="begin"/>
            </w:r>
            <w:r w:rsidR="00982D42">
              <w:rPr>
                <w:noProof/>
              </w:rPr>
              <w:instrText xml:space="preserve"> PAGEREF _Toc233219835 \h </w:instrText>
            </w:r>
            <w:r w:rsidR="00982D42">
              <w:rPr>
                <w:noProof/>
              </w:rPr>
            </w:r>
            <w:r w:rsidR="00982D42">
              <w:rPr>
                <w:noProof/>
              </w:rPr>
              <w:fldChar w:fldCharType="separate"/>
            </w:r>
            <w:r w:rsidR="00982D42">
              <w:rPr>
                <w:noProof/>
              </w:rPr>
              <w:t>2</w:t>
            </w:r>
            <w:r w:rsidR="00982D42">
              <w:rPr>
                <w:noProof/>
              </w:rPr>
              <w:fldChar w:fldCharType="end"/>
            </w:r>
          </w:hyperlink>
        </w:p>
        <w:p w14:paraId="153D5801" w14:textId="77777777" w:rsidR="00982D42" w:rsidRDefault="00982D42">
          <w:pPr>
            <w:pStyle w:val="TM1"/>
            <w:tabs>
              <w:tab w:val="right" w:leader="dot" w:pos="10030"/>
            </w:tabs>
            <w:rPr>
              <w:noProof/>
            </w:rPr>
          </w:pPr>
          <w:hyperlink w:anchor="_Toc233219836" w:history="1">
            <w:r w:rsidRPr="00B95086">
              <w:rPr>
                <w:rStyle w:val="Lienhypertexte"/>
                <w:noProof/>
              </w:rPr>
              <w:t>1. Introduction</w:t>
            </w:r>
            <w:r>
              <w:rPr>
                <w:noProof/>
              </w:rPr>
              <w:tab/>
            </w:r>
            <w:r>
              <w:rPr>
                <w:noProof/>
              </w:rPr>
              <w:fldChar w:fldCharType="begin"/>
            </w:r>
            <w:r>
              <w:rPr>
                <w:noProof/>
              </w:rPr>
              <w:instrText xml:space="preserve"> PAGEREF _Toc233219836 \h </w:instrText>
            </w:r>
            <w:r>
              <w:rPr>
                <w:noProof/>
              </w:rPr>
            </w:r>
            <w:r>
              <w:rPr>
                <w:noProof/>
              </w:rPr>
              <w:fldChar w:fldCharType="separate"/>
            </w:r>
            <w:r>
              <w:rPr>
                <w:noProof/>
              </w:rPr>
              <w:t>3</w:t>
            </w:r>
            <w:r>
              <w:rPr>
                <w:noProof/>
              </w:rPr>
              <w:fldChar w:fldCharType="end"/>
            </w:r>
          </w:hyperlink>
        </w:p>
        <w:p w14:paraId="6D65E372" w14:textId="77777777" w:rsidR="00982D42" w:rsidRDefault="00982D42">
          <w:pPr>
            <w:pStyle w:val="TM2"/>
            <w:tabs>
              <w:tab w:val="right" w:leader="dot" w:pos="10030"/>
            </w:tabs>
            <w:rPr>
              <w:noProof/>
            </w:rPr>
          </w:pPr>
          <w:hyperlink w:anchor="_Toc233219837" w:history="1">
            <w:r w:rsidRPr="00B95086">
              <w:rPr>
                <w:rStyle w:val="Lienhypertexte"/>
                <w:noProof/>
              </w:rPr>
              <w:t>1.1 Accès et rôles</w:t>
            </w:r>
            <w:r>
              <w:rPr>
                <w:noProof/>
              </w:rPr>
              <w:tab/>
            </w:r>
            <w:r>
              <w:rPr>
                <w:noProof/>
              </w:rPr>
              <w:fldChar w:fldCharType="begin"/>
            </w:r>
            <w:r>
              <w:rPr>
                <w:noProof/>
              </w:rPr>
              <w:instrText xml:space="preserve"> PAGEREF _Toc233219837 \h </w:instrText>
            </w:r>
            <w:r>
              <w:rPr>
                <w:noProof/>
              </w:rPr>
            </w:r>
            <w:r>
              <w:rPr>
                <w:noProof/>
              </w:rPr>
              <w:fldChar w:fldCharType="separate"/>
            </w:r>
            <w:r>
              <w:rPr>
                <w:noProof/>
              </w:rPr>
              <w:t>3</w:t>
            </w:r>
            <w:r>
              <w:rPr>
                <w:noProof/>
              </w:rPr>
              <w:fldChar w:fldCharType="end"/>
            </w:r>
          </w:hyperlink>
        </w:p>
        <w:p w14:paraId="78D37862" w14:textId="77777777" w:rsidR="00982D42" w:rsidRDefault="00982D42">
          <w:pPr>
            <w:pStyle w:val="TM2"/>
            <w:tabs>
              <w:tab w:val="right" w:leader="dot" w:pos="10030"/>
            </w:tabs>
            <w:rPr>
              <w:noProof/>
            </w:rPr>
          </w:pPr>
          <w:hyperlink w:anchor="_Toc233219838" w:history="1">
            <w:r w:rsidRPr="00B95086">
              <w:rPr>
                <w:rStyle w:val="Lienhypertexte"/>
                <w:noProof/>
              </w:rPr>
              <w:t>1.2 Page d'accueil de l'administration</w:t>
            </w:r>
            <w:r>
              <w:rPr>
                <w:noProof/>
              </w:rPr>
              <w:tab/>
            </w:r>
            <w:r>
              <w:rPr>
                <w:noProof/>
              </w:rPr>
              <w:fldChar w:fldCharType="begin"/>
            </w:r>
            <w:r>
              <w:rPr>
                <w:noProof/>
              </w:rPr>
              <w:instrText xml:space="preserve"> PAGEREF _Toc233219838 \h </w:instrText>
            </w:r>
            <w:r>
              <w:rPr>
                <w:noProof/>
              </w:rPr>
            </w:r>
            <w:r>
              <w:rPr>
                <w:noProof/>
              </w:rPr>
              <w:fldChar w:fldCharType="separate"/>
            </w:r>
            <w:r>
              <w:rPr>
                <w:noProof/>
              </w:rPr>
              <w:t>3</w:t>
            </w:r>
            <w:r>
              <w:rPr>
                <w:noProof/>
              </w:rPr>
              <w:fldChar w:fldCharType="end"/>
            </w:r>
          </w:hyperlink>
        </w:p>
        <w:p w14:paraId="63BE3E10" w14:textId="77777777" w:rsidR="00982D42" w:rsidRDefault="00982D42">
          <w:pPr>
            <w:pStyle w:val="TM1"/>
            <w:tabs>
              <w:tab w:val="right" w:leader="dot" w:pos="10030"/>
            </w:tabs>
            <w:rPr>
              <w:noProof/>
            </w:rPr>
          </w:pPr>
          <w:hyperlink w:anchor="_Toc233219839" w:history="1">
            <w:r w:rsidRPr="00B95086">
              <w:rPr>
                <w:rStyle w:val="Lienhypertexte"/>
                <w:noProof/>
              </w:rPr>
              <w:t>2. Opérations — gestion des utilisateurs et des courses</w:t>
            </w:r>
            <w:r>
              <w:rPr>
                <w:noProof/>
              </w:rPr>
              <w:tab/>
            </w:r>
            <w:r>
              <w:rPr>
                <w:noProof/>
              </w:rPr>
              <w:fldChar w:fldCharType="begin"/>
            </w:r>
            <w:r>
              <w:rPr>
                <w:noProof/>
              </w:rPr>
              <w:instrText xml:space="preserve"> PAGEREF _Toc233219839 \h </w:instrText>
            </w:r>
            <w:r>
              <w:rPr>
                <w:noProof/>
              </w:rPr>
            </w:r>
            <w:r>
              <w:rPr>
                <w:noProof/>
              </w:rPr>
              <w:fldChar w:fldCharType="separate"/>
            </w:r>
            <w:r>
              <w:rPr>
                <w:noProof/>
              </w:rPr>
              <w:t>4</w:t>
            </w:r>
            <w:r>
              <w:rPr>
                <w:noProof/>
              </w:rPr>
              <w:fldChar w:fldCharType="end"/>
            </w:r>
          </w:hyperlink>
        </w:p>
        <w:p w14:paraId="145FCC66" w14:textId="77777777" w:rsidR="00982D42" w:rsidRDefault="00982D42">
          <w:pPr>
            <w:pStyle w:val="TM2"/>
            <w:tabs>
              <w:tab w:val="right" w:leader="dot" w:pos="10030"/>
            </w:tabs>
            <w:rPr>
              <w:noProof/>
            </w:rPr>
          </w:pPr>
          <w:hyperlink w:anchor="_Toc233219840" w:history="1">
            <w:r w:rsidRPr="00B95086">
              <w:rPr>
                <w:rStyle w:val="Lienhypertexte"/>
                <w:noProof/>
              </w:rPr>
              <w:t>2.1 Chauffeurs &amp; livreurs</w:t>
            </w:r>
            <w:r>
              <w:rPr>
                <w:noProof/>
              </w:rPr>
              <w:tab/>
            </w:r>
            <w:r>
              <w:rPr>
                <w:noProof/>
              </w:rPr>
              <w:fldChar w:fldCharType="begin"/>
            </w:r>
            <w:r>
              <w:rPr>
                <w:noProof/>
              </w:rPr>
              <w:instrText xml:space="preserve"> PAGEREF _Toc233219840 \h </w:instrText>
            </w:r>
            <w:r>
              <w:rPr>
                <w:noProof/>
              </w:rPr>
            </w:r>
            <w:r>
              <w:rPr>
                <w:noProof/>
              </w:rPr>
              <w:fldChar w:fldCharType="separate"/>
            </w:r>
            <w:r>
              <w:rPr>
                <w:noProof/>
              </w:rPr>
              <w:t>4</w:t>
            </w:r>
            <w:r>
              <w:rPr>
                <w:noProof/>
              </w:rPr>
              <w:fldChar w:fldCharType="end"/>
            </w:r>
          </w:hyperlink>
        </w:p>
        <w:p w14:paraId="3A311DB3" w14:textId="77777777" w:rsidR="00982D42" w:rsidRDefault="00982D42">
          <w:pPr>
            <w:pStyle w:val="TM2"/>
            <w:tabs>
              <w:tab w:val="right" w:leader="dot" w:pos="10030"/>
            </w:tabs>
            <w:rPr>
              <w:noProof/>
            </w:rPr>
          </w:pPr>
          <w:hyperlink w:anchor="_Toc233219841" w:history="1">
            <w:r w:rsidRPr="00B95086">
              <w:rPr>
                <w:rStyle w:val="Lienhypertexte"/>
                <w:noProof/>
              </w:rPr>
              <w:t>2.2 Utilisateurs</w:t>
            </w:r>
            <w:r>
              <w:rPr>
                <w:noProof/>
              </w:rPr>
              <w:tab/>
            </w:r>
            <w:r>
              <w:rPr>
                <w:noProof/>
              </w:rPr>
              <w:fldChar w:fldCharType="begin"/>
            </w:r>
            <w:r>
              <w:rPr>
                <w:noProof/>
              </w:rPr>
              <w:instrText xml:space="preserve"> PAGEREF _Toc233219841 \h </w:instrText>
            </w:r>
            <w:r>
              <w:rPr>
                <w:noProof/>
              </w:rPr>
            </w:r>
            <w:r>
              <w:rPr>
                <w:noProof/>
              </w:rPr>
              <w:fldChar w:fldCharType="separate"/>
            </w:r>
            <w:r>
              <w:rPr>
                <w:noProof/>
              </w:rPr>
              <w:t>4</w:t>
            </w:r>
            <w:r>
              <w:rPr>
                <w:noProof/>
              </w:rPr>
              <w:fldChar w:fldCharType="end"/>
            </w:r>
          </w:hyperlink>
        </w:p>
        <w:p w14:paraId="094D4229" w14:textId="77777777" w:rsidR="00982D42" w:rsidRDefault="00982D42">
          <w:pPr>
            <w:pStyle w:val="TM2"/>
            <w:tabs>
              <w:tab w:val="right" w:leader="dot" w:pos="10030"/>
            </w:tabs>
            <w:rPr>
              <w:noProof/>
            </w:rPr>
          </w:pPr>
          <w:hyperlink w:anchor="_Toc233219842" w:history="1">
            <w:r w:rsidRPr="00B95086">
              <w:rPr>
                <w:rStyle w:val="Lienhypertexte"/>
                <w:noProof/>
              </w:rPr>
              <w:t>2.3 Courses</w:t>
            </w:r>
            <w:r>
              <w:rPr>
                <w:noProof/>
              </w:rPr>
              <w:tab/>
            </w:r>
            <w:r>
              <w:rPr>
                <w:noProof/>
              </w:rPr>
              <w:fldChar w:fldCharType="begin"/>
            </w:r>
            <w:r>
              <w:rPr>
                <w:noProof/>
              </w:rPr>
              <w:instrText xml:space="preserve"> PAGEREF _Toc233219842 \h </w:instrText>
            </w:r>
            <w:r>
              <w:rPr>
                <w:noProof/>
              </w:rPr>
            </w:r>
            <w:r>
              <w:rPr>
                <w:noProof/>
              </w:rPr>
              <w:fldChar w:fldCharType="separate"/>
            </w:r>
            <w:r>
              <w:rPr>
                <w:noProof/>
              </w:rPr>
              <w:t>4</w:t>
            </w:r>
            <w:r>
              <w:rPr>
                <w:noProof/>
              </w:rPr>
              <w:fldChar w:fldCharType="end"/>
            </w:r>
          </w:hyperlink>
        </w:p>
        <w:p w14:paraId="73EFC21C" w14:textId="77777777" w:rsidR="00982D42" w:rsidRDefault="00982D42">
          <w:pPr>
            <w:pStyle w:val="TM1"/>
            <w:tabs>
              <w:tab w:val="right" w:leader="dot" w:pos="10030"/>
            </w:tabs>
            <w:rPr>
              <w:noProof/>
            </w:rPr>
          </w:pPr>
          <w:hyperlink w:anchor="_Toc233219843" w:history="1">
            <w:r w:rsidRPr="00B95086">
              <w:rPr>
                <w:rStyle w:val="Lienhypertexte"/>
                <w:noProof/>
              </w:rPr>
              <w:t>3. Finance — paramétrage tarifaire et suivi financier</w:t>
            </w:r>
            <w:r>
              <w:rPr>
                <w:noProof/>
              </w:rPr>
              <w:tab/>
            </w:r>
            <w:r>
              <w:rPr>
                <w:noProof/>
              </w:rPr>
              <w:fldChar w:fldCharType="begin"/>
            </w:r>
            <w:r>
              <w:rPr>
                <w:noProof/>
              </w:rPr>
              <w:instrText xml:space="preserve"> PAGEREF _Toc233219843 \h </w:instrText>
            </w:r>
            <w:r>
              <w:rPr>
                <w:noProof/>
              </w:rPr>
            </w:r>
            <w:r>
              <w:rPr>
                <w:noProof/>
              </w:rPr>
              <w:fldChar w:fldCharType="separate"/>
            </w:r>
            <w:r>
              <w:rPr>
                <w:noProof/>
              </w:rPr>
              <w:t>5</w:t>
            </w:r>
            <w:r>
              <w:rPr>
                <w:noProof/>
              </w:rPr>
              <w:fldChar w:fldCharType="end"/>
            </w:r>
          </w:hyperlink>
        </w:p>
        <w:p w14:paraId="4FF6943F" w14:textId="77777777" w:rsidR="00982D42" w:rsidRDefault="00982D42">
          <w:pPr>
            <w:pStyle w:val="TM2"/>
            <w:tabs>
              <w:tab w:val="right" w:leader="dot" w:pos="10030"/>
            </w:tabs>
            <w:rPr>
              <w:noProof/>
            </w:rPr>
          </w:pPr>
          <w:hyperlink w:anchor="_Toc233219844" w:history="1">
            <w:r w:rsidRPr="00B95086">
              <w:rPr>
                <w:rStyle w:val="Lienhypertexte"/>
                <w:noProof/>
              </w:rPr>
              <w:t>3.1 Tarifs &amp; commissions</w:t>
            </w:r>
            <w:r>
              <w:rPr>
                <w:noProof/>
              </w:rPr>
              <w:tab/>
            </w:r>
            <w:r>
              <w:rPr>
                <w:noProof/>
              </w:rPr>
              <w:fldChar w:fldCharType="begin"/>
            </w:r>
            <w:r>
              <w:rPr>
                <w:noProof/>
              </w:rPr>
              <w:instrText xml:space="preserve"> PAGEREF _Toc233219844 \h </w:instrText>
            </w:r>
            <w:r>
              <w:rPr>
                <w:noProof/>
              </w:rPr>
            </w:r>
            <w:r>
              <w:rPr>
                <w:noProof/>
              </w:rPr>
              <w:fldChar w:fldCharType="separate"/>
            </w:r>
            <w:r>
              <w:rPr>
                <w:noProof/>
              </w:rPr>
              <w:t>5</w:t>
            </w:r>
            <w:r>
              <w:rPr>
                <w:noProof/>
              </w:rPr>
              <w:fldChar w:fldCharType="end"/>
            </w:r>
          </w:hyperlink>
        </w:p>
        <w:p w14:paraId="41A21A44" w14:textId="77777777" w:rsidR="00982D42" w:rsidRDefault="00982D42">
          <w:pPr>
            <w:pStyle w:val="TM2"/>
            <w:tabs>
              <w:tab w:val="right" w:leader="dot" w:pos="10030"/>
            </w:tabs>
            <w:rPr>
              <w:noProof/>
            </w:rPr>
          </w:pPr>
          <w:hyperlink w:anchor="_Toc233219845" w:history="1">
            <w:r w:rsidRPr="00B95086">
              <w:rPr>
                <w:rStyle w:val="Lienhypertexte"/>
                <w:noProof/>
              </w:rPr>
              <w:t>3.2 Programmes de marché</w:t>
            </w:r>
            <w:r>
              <w:rPr>
                <w:noProof/>
              </w:rPr>
              <w:tab/>
            </w:r>
            <w:r>
              <w:rPr>
                <w:noProof/>
              </w:rPr>
              <w:fldChar w:fldCharType="begin"/>
            </w:r>
            <w:r>
              <w:rPr>
                <w:noProof/>
              </w:rPr>
              <w:instrText xml:space="preserve"> PAGEREF _Toc233219845 \h </w:instrText>
            </w:r>
            <w:r>
              <w:rPr>
                <w:noProof/>
              </w:rPr>
            </w:r>
            <w:r>
              <w:rPr>
                <w:noProof/>
              </w:rPr>
              <w:fldChar w:fldCharType="separate"/>
            </w:r>
            <w:r>
              <w:rPr>
                <w:noProof/>
              </w:rPr>
              <w:t>5</w:t>
            </w:r>
            <w:r>
              <w:rPr>
                <w:noProof/>
              </w:rPr>
              <w:fldChar w:fldCharType="end"/>
            </w:r>
          </w:hyperlink>
        </w:p>
        <w:p w14:paraId="02D67354" w14:textId="77777777" w:rsidR="00982D42" w:rsidRDefault="00982D42">
          <w:pPr>
            <w:pStyle w:val="TM2"/>
            <w:tabs>
              <w:tab w:val="right" w:leader="dot" w:pos="10030"/>
            </w:tabs>
            <w:rPr>
              <w:noProof/>
            </w:rPr>
          </w:pPr>
          <w:hyperlink w:anchor="_Toc233219846" w:history="1">
            <w:r w:rsidRPr="00B95086">
              <w:rPr>
                <w:rStyle w:val="Lienhypertexte"/>
                <w:noProof/>
              </w:rPr>
              <w:t>3.3 Suivi financier KPI</w:t>
            </w:r>
            <w:r>
              <w:rPr>
                <w:noProof/>
              </w:rPr>
              <w:tab/>
            </w:r>
            <w:r>
              <w:rPr>
                <w:noProof/>
              </w:rPr>
              <w:fldChar w:fldCharType="begin"/>
            </w:r>
            <w:r>
              <w:rPr>
                <w:noProof/>
              </w:rPr>
              <w:instrText xml:space="preserve"> PAGEREF _Toc233219846 \h </w:instrText>
            </w:r>
            <w:r>
              <w:rPr>
                <w:noProof/>
              </w:rPr>
            </w:r>
            <w:r>
              <w:rPr>
                <w:noProof/>
              </w:rPr>
              <w:fldChar w:fldCharType="separate"/>
            </w:r>
            <w:r>
              <w:rPr>
                <w:noProof/>
              </w:rPr>
              <w:t>5</w:t>
            </w:r>
            <w:r>
              <w:rPr>
                <w:noProof/>
              </w:rPr>
              <w:fldChar w:fldCharType="end"/>
            </w:r>
          </w:hyperlink>
        </w:p>
        <w:p w14:paraId="78132212" w14:textId="77777777" w:rsidR="00982D42" w:rsidRDefault="00982D42">
          <w:pPr>
            <w:pStyle w:val="TM2"/>
            <w:tabs>
              <w:tab w:val="right" w:leader="dot" w:pos="10030"/>
            </w:tabs>
            <w:rPr>
              <w:noProof/>
            </w:rPr>
          </w:pPr>
          <w:hyperlink w:anchor="_Toc233219847" w:history="1">
            <w:r w:rsidRPr="00B95086">
              <w:rPr>
                <w:rStyle w:val="Lienhypertexte"/>
                <w:noProof/>
              </w:rPr>
              <w:t>3.4 Facturation</w:t>
            </w:r>
            <w:r>
              <w:rPr>
                <w:noProof/>
              </w:rPr>
              <w:tab/>
            </w:r>
            <w:r>
              <w:rPr>
                <w:noProof/>
              </w:rPr>
              <w:fldChar w:fldCharType="begin"/>
            </w:r>
            <w:r>
              <w:rPr>
                <w:noProof/>
              </w:rPr>
              <w:instrText xml:space="preserve"> PAGEREF _Toc233219847 \h </w:instrText>
            </w:r>
            <w:r>
              <w:rPr>
                <w:noProof/>
              </w:rPr>
            </w:r>
            <w:r>
              <w:rPr>
                <w:noProof/>
              </w:rPr>
              <w:fldChar w:fldCharType="separate"/>
            </w:r>
            <w:r>
              <w:rPr>
                <w:noProof/>
              </w:rPr>
              <w:t>5</w:t>
            </w:r>
            <w:r>
              <w:rPr>
                <w:noProof/>
              </w:rPr>
              <w:fldChar w:fldCharType="end"/>
            </w:r>
          </w:hyperlink>
        </w:p>
        <w:p w14:paraId="110F1477" w14:textId="77777777" w:rsidR="00982D42" w:rsidRDefault="00982D42">
          <w:pPr>
            <w:pStyle w:val="TM2"/>
            <w:tabs>
              <w:tab w:val="right" w:leader="dot" w:pos="10030"/>
            </w:tabs>
            <w:rPr>
              <w:noProof/>
            </w:rPr>
          </w:pPr>
          <w:hyperlink w:anchor="_Toc233219848" w:history="1">
            <w:r w:rsidRPr="00B95086">
              <w:rPr>
                <w:rStyle w:val="Lienhypertexte"/>
                <w:noProof/>
              </w:rPr>
              <w:t>3.5 Wallets</w:t>
            </w:r>
            <w:r>
              <w:rPr>
                <w:noProof/>
              </w:rPr>
              <w:tab/>
            </w:r>
            <w:r>
              <w:rPr>
                <w:noProof/>
              </w:rPr>
              <w:fldChar w:fldCharType="begin"/>
            </w:r>
            <w:r>
              <w:rPr>
                <w:noProof/>
              </w:rPr>
              <w:instrText xml:space="preserve"> PAGEREF _Toc233219848 \h </w:instrText>
            </w:r>
            <w:r>
              <w:rPr>
                <w:noProof/>
              </w:rPr>
            </w:r>
            <w:r>
              <w:rPr>
                <w:noProof/>
              </w:rPr>
              <w:fldChar w:fldCharType="separate"/>
            </w:r>
            <w:r>
              <w:rPr>
                <w:noProof/>
              </w:rPr>
              <w:t>5</w:t>
            </w:r>
            <w:r>
              <w:rPr>
                <w:noProof/>
              </w:rPr>
              <w:fldChar w:fldCharType="end"/>
            </w:r>
          </w:hyperlink>
        </w:p>
        <w:p w14:paraId="0A90D04E" w14:textId="77777777" w:rsidR="00982D42" w:rsidRDefault="00982D42">
          <w:pPr>
            <w:pStyle w:val="TM1"/>
            <w:tabs>
              <w:tab w:val="right" w:leader="dot" w:pos="10030"/>
            </w:tabs>
            <w:rPr>
              <w:noProof/>
            </w:rPr>
          </w:pPr>
          <w:hyperlink w:anchor="_Toc233219849" w:history="1">
            <w:r w:rsidRPr="00B95086">
              <w:rPr>
                <w:rStyle w:val="Lienhypertexte"/>
                <w:noProof/>
              </w:rPr>
              <w:t>4. Sécurité — conformité, audit et lutte anti-fraude</w:t>
            </w:r>
            <w:r>
              <w:rPr>
                <w:noProof/>
              </w:rPr>
              <w:tab/>
            </w:r>
            <w:r>
              <w:rPr>
                <w:noProof/>
              </w:rPr>
              <w:fldChar w:fldCharType="begin"/>
            </w:r>
            <w:r>
              <w:rPr>
                <w:noProof/>
              </w:rPr>
              <w:instrText xml:space="preserve"> PAGEREF _Toc233219849 \h </w:instrText>
            </w:r>
            <w:r>
              <w:rPr>
                <w:noProof/>
              </w:rPr>
            </w:r>
            <w:r>
              <w:rPr>
                <w:noProof/>
              </w:rPr>
              <w:fldChar w:fldCharType="separate"/>
            </w:r>
            <w:r>
              <w:rPr>
                <w:noProof/>
              </w:rPr>
              <w:t>7</w:t>
            </w:r>
            <w:r>
              <w:rPr>
                <w:noProof/>
              </w:rPr>
              <w:fldChar w:fldCharType="end"/>
            </w:r>
          </w:hyperlink>
        </w:p>
        <w:p w14:paraId="70940737" w14:textId="77777777" w:rsidR="00982D42" w:rsidRDefault="00982D42">
          <w:pPr>
            <w:pStyle w:val="TM2"/>
            <w:tabs>
              <w:tab w:val="right" w:leader="dot" w:pos="10030"/>
            </w:tabs>
            <w:rPr>
              <w:noProof/>
            </w:rPr>
          </w:pPr>
          <w:hyperlink w:anchor="_Toc233219850" w:history="1">
            <w:r w:rsidRPr="00B95086">
              <w:rPr>
                <w:rStyle w:val="Lienhypertexte"/>
                <w:noProof/>
              </w:rPr>
              <w:t>4.1 Rôles &amp; permissions</w:t>
            </w:r>
            <w:r>
              <w:rPr>
                <w:noProof/>
              </w:rPr>
              <w:tab/>
            </w:r>
            <w:r>
              <w:rPr>
                <w:noProof/>
              </w:rPr>
              <w:fldChar w:fldCharType="begin"/>
            </w:r>
            <w:r>
              <w:rPr>
                <w:noProof/>
              </w:rPr>
              <w:instrText xml:space="preserve"> PAGEREF _Toc233219850 \h </w:instrText>
            </w:r>
            <w:r>
              <w:rPr>
                <w:noProof/>
              </w:rPr>
            </w:r>
            <w:r>
              <w:rPr>
                <w:noProof/>
              </w:rPr>
              <w:fldChar w:fldCharType="separate"/>
            </w:r>
            <w:r>
              <w:rPr>
                <w:noProof/>
              </w:rPr>
              <w:t>7</w:t>
            </w:r>
            <w:r>
              <w:rPr>
                <w:noProof/>
              </w:rPr>
              <w:fldChar w:fldCharType="end"/>
            </w:r>
          </w:hyperlink>
        </w:p>
        <w:p w14:paraId="79E5C2BC" w14:textId="77777777" w:rsidR="00982D42" w:rsidRDefault="00982D42">
          <w:pPr>
            <w:pStyle w:val="TM2"/>
            <w:tabs>
              <w:tab w:val="right" w:leader="dot" w:pos="10030"/>
            </w:tabs>
            <w:rPr>
              <w:noProof/>
            </w:rPr>
          </w:pPr>
          <w:hyperlink w:anchor="_Toc233219851" w:history="1">
            <w:r w:rsidRPr="00B95086">
              <w:rPr>
                <w:rStyle w:val="Lienhypertexte"/>
                <w:noProof/>
              </w:rPr>
              <w:t>4.2 Journal d'audit</w:t>
            </w:r>
            <w:r>
              <w:rPr>
                <w:noProof/>
              </w:rPr>
              <w:tab/>
            </w:r>
            <w:r>
              <w:rPr>
                <w:noProof/>
              </w:rPr>
              <w:fldChar w:fldCharType="begin"/>
            </w:r>
            <w:r>
              <w:rPr>
                <w:noProof/>
              </w:rPr>
              <w:instrText xml:space="preserve"> PAGEREF _Toc233219851 \h </w:instrText>
            </w:r>
            <w:r>
              <w:rPr>
                <w:noProof/>
              </w:rPr>
            </w:r>
            <w:r>
              <w:rPr>
                <w:noProof/>
              </w:rPr>
              <w:fldChar w:fldCharType="separate"/>
            </w:r>
            <w:r>
              <w:rPr>
                <w:noProof/>
              </w:rPr>
              <w:t>7</w:t>
            </w:r>
            <w:r>
              <w:rPr>
                <w:noProof/>
              </w:rPr>
              <w:fldChar w:fldCharType="end"/>
            </w:r>
          </w:hyperlink>
        </w:p>
        <w:p w14:paraId="7E6CACF1" w14:textId="77777777" w:rsidR="00982D42" w:rsidRDefault="00982D42">
          <w:pPr>
            <w:pStyle w:val="TM2"/>
            <w:tabs>
              <w:tab w:val="right" w:leader="dot" w:pos="10030"/>
            </w:tabs>
            <w:rPr>
              <w:noProof/>
            </w:rPr>
          </w:pPr>
          <w:hyperlink w:anchor="_Toc233219852" w:history="1">
            <w:r w:rsidRPr="00B95086">
              <w:rPr>
                <w:rStyle w:val="Lienhypertexte"/>
                <w:noProof/>
              </w:rPr>
              <w:t>4.3 Anti-fraude</w:t>
            </w:r>
            <w:r>
              <w:rPr>
                <w:noProof/>
              </w:rPr>
              <w:tab/>
            </w:r>
            <w:r>
              <w:rPr>
                <w:noProof/>
              </w:rPr>
              <w:fldChar w:fldCharType="begin"/>
            </w:r>
            <w:r>
              <w:rPr>
                <w:noProof/>
              </w:rPr>
              <w:instrText xml:space="preserve"> PAGEREF _Toc233219852 \h </w:instrText>
            </w:r>
            <w:r>
              <w:rPr>
                <w:noProof/>
              </w:rPr>
            </w:r>
            <w:r>
              <w:rPr>
                <w:noProof/>
              </w:rPr>
              <w:fldChar w:fldCharType="separate"/>
            </w:r>
            <w:r>
              <w:rPr>
                <w:noProof/>
              </w:rPr>
              <w:t>7</w:t>
            </w:r>
            <w:r>
              <w:rPr>
                <w:noProof/>
              </w:rPr>
              <w:fldChar w:fldCharType="end"/>
            </w:r>
          </w:hyperlink>
        </w:p>
        <w:p w14:paraId="2A338320" w14:textId="77777777" w:rsidR="00982D42" w:rsidRDefault="00982D42">
          <w:pPr>
            <w:pStyle w:val="TM2"/>
            <w:tabs>
              <w:tab w:val="right" w:leader="dot" w:pos="10030"/>
            </w:tabs>
            <w:rPr>
              <w:noProof/>
            </w:rPr>
          </w:pPr>
          <w:hyperlink w:anchor="_Toc233219853" w:history="1">
            <w:r w:rsidRPr="00B95086">
              <w:rPr>
                <w:rStyle w:val="Lienhypertexte"/>
                <w:noProof/>
              </w:rPr>
              <w:t>4.4 Assurance</w:t>
            </w:r>
            <w:r>
              <w:rPr>
                <w:noProof/>
              </w:rPr>
              <w:tab/>
            </w:r>
            <w:r>
              <w:rPr>
                <w:noProof/>
              </w:rPr>
              <w:fldChar w:fldCharType="begin"/>
            </w:r>
            <w:r>
              <w:rPr>
                <w:noProof/>
              </w:rPr>
              <w:instrText xml:space="preserve"> PAGEREF _Toc233219853 \h </w:instrText>
            </w:r>
            <w:r>
              <w:rPr>
                <w:noProof/>
              </w:rPr>
            </w:r>
            <w:r>
              <w:rPr>
                <w:noProof/>
              </w:rPr>
              <w:fldChar w:fldCharType="separate"/>
            </w:r>
            <w:r>
              <w:rPr>
                <w:noProof/>
              </w:rPr>
              <w:t>7</w:t>
            </w:r>
            <w:r>
              <w:rPr>
                <w:noProof/>
              </w:rPr>
              <w:fldChar w:fldCharType="end"/>
            </w:r>
          </w:hyperlink>
        </w:p>
        <w:p w14:paraId="153A39EB" w14:textId="77777777" w:rsidR="00982D42" w:rsidRDefault="00982D42">
          <w:pPr>
            <w:pStyle w:val="TM1"/>
            <w:tabs>
              <w:tab w:val="right" w:leader="dot" w:pos="10030"/>
            </w:tabs>
            <w:rPr>
              <w:noProof/>
            </w:rPr>
          </w:pPr>
          <w:hyperlink w:anchor="_Toc233219854" w:history="1">
            <w:r w:rsidRPr="00B95086">
              <w:rPr>
                <w:rStyle w:val="Lienhypertexte"/>
                <w:noProof/>
              </w:rPr>
              <w:t>5. Croissance — fidélisation et indicateurs globaux</w:t>
            </w:r>
            <w:r>
              <w:rPr>
                <w:noProof/>
              </w:rPr>
              <w:tab/>
            </w:r>
            <w:r>
              <w:rPr>
                <w:noProof/>
              </w:rPr>
              <w:fldChar w:fldCharType="begin"/>
            </w:r>
            <w:r>
              <w:rPr>
                <w:noProof/>
              </w:rPr>
              <w:instrText xml:space="preserve"> PAGEREF _Toc233219854 \h </w:instrText>
            </w:r>
            <w:r>
              <w:rPr>
                <w:noProof/>
              </w:rPr>
            </w:r>
            <w:r>
              <w:rPr>
                <w:noProof/>
              </w:rPr>
              <w:fldChar w:fldCharType="separate"/>
            </w:r>
            <w:r>
              <w:rPr>
                <w:noProof/>
              </w:rPr>
              <w:t>8</w:t>
            </w:r>
            <w:r>
              <w:rPr>
                <w:noProof/>
              </w:rPr>
              <w:fldChar w:fldCharType="end"/>
            </w:r>
          </w:hyperlink>
        </w:p>
        <w:p w14:paraId="75CCB74C" w14:textId="77777777" w:rsidR="00982D42" w:rsidRDefault="00982D42">
          <w:pPr>
            <w:pStyle w:val="TM2"/>
            <w:tabs>
              <w:tab w:val="right" w:leader="dot" w:pos="10030"/>
            </w:tabs>
            <w:rPr>
              <w:noProof/>
            </w:rPr>
          </w:pPr>
          <w:hyperlink w:anchor="_Toc233219855" w:history="1">
            <w:r w:rsidRPr="00B95086">
              <w:rPr>
                <w:rStyle w:val="Lienhypertexte"/>
                <w:noProof/>
              </w:rPr>
              <w:t>5.1 Récompenses</w:t>
            </w:r>
            <w:r>
              <w:rPr>
                <w:noProof/>
              </w:rPr>
              <w:tab/>
            </w:r>
            <w:r>
              <w:rPr>
                <w:noProof/>
              </w:rPr>
              <w:fldChar w:fldCharType="begin"/>
            </w:r>
            <w:r>
              <w:rPr>
                <w:noProof/>
              </w:rPr>
              <w:instrText xml:space="preserve"> PAGEREF _Toc233219855 \h </w:instrText>
            </w:r>
            <w:r>
              <w:rPr>
                <w:noProof/>
              </w:rPr>
            </w:r>
            <w:r>
              <w:rPr>
                <w:noProof/>
              </w:rPr>
              <w:fldChar w:fldCharType="separate"/>
            </w:r>
            <w:r>
              <w:rPr>
                <w:noProof/>
              </w:rPr>
              <w:t>8</w:t>
            </w:r>
            <w:r>
              <w:rPr>
                <w:noProof/>
              </w:rPr>
              <w:fldChar w:fldCharType="end"/>
            </w:r>
          </w:hyperlink>
        </w:p>
        <w:p w14:paraId="49A0D106" w14:textId="77777777" w:rsidR="00982D42" w:rsidRDefault="00982D42">
          <w:pPr>
            <w:pStyle w:val="TM2"/>
            <w:tabs>
              <w:tab w:val="right" w:leader="dot" w:pos="10030"/>
            </w:tabs>
            <w:rPr>
              <w:noProof/>
            </w:rPr>
          </w:pPr>
          <w:hyperlink w:anchor="_Toc233219856" w:history="1">
            <w:r w:rsidRPr="00B95086">
              <w:rPr>
                <w:rStyle w:val="Lienhypertexte"/>
                <w:noProof/>
              </w:rPr>
              <w:t>5.2 Métriques</w:t>
            </w:r>
            <w:r>
              <w:rPr>
                <w:noProof/>
              </w:rPr>
              <w:tab/>
            </w:r>
            <w:r>
              <w:rPr>
                <w:noProof/>
              </w:rPr>
              <w:fldChar w:fldCharType="begin"/>
            </w:r>
            <w:r>
              <w:rPr>
                <w:noProof/>
              </w:rPr>
              <w:instrText xml:space="preserve"> PAGEREF _Toc233219856 \h </w:instrText>
            </w:r>
            <w:r>
              <w:rPr>
                <w:noProof/>
              </w:rPr>
            </w:r>
            <w:r>
              <w:rPr>
                <w:noProof/>
              </w:rPr>
              <w:fldChar w:fldCharType="separate"/>
            </w:r>
            <w:r>
              <w:rPr>
                <w:noProof/>
              </w:rPr>
              <w:t>8</w:t>
            </w:r>
            <w:r>
              <w:rPr>
                <w:noProof/>
              </w:rPr>
              <w:fldChar w:fldCharType="end"/>
            </w:r>
          </w:hyperlink>
        </w:p>
        <w:p w14:paraId="397FBB1B" w14:textId="77777777" w:rsidR="00982D42" w:rsidRDefault="00982D42">
          <w:pPr>
            <w:pStyle w:val="TM1"/>
            <w:tabs>
              <w:tab w:val="right" w:leader="dot" w:pos="10030"/>
            </w:tabs>
            <w:rPr>
              <w:noProof/>
            </w:rPr>
          </w:pPr>
          <w:hyperlink w:anchor="_Toc233219857" w:history="1">
            <w:r w:rsidRPr="00B95086">
              <w:rPr>
                <w:rStyle w:val="Lienhypertexte"/>
                <w:noProof/>
              </w:rPr>
              <w:t>6. Annexe — correspondance avec le cahier des charges</w:t>
            </w:r>
            <w:r>
              <w:rPr>
                <w:noProof/>
              </w:rPr>
              <w:tab/>
            </w:r>
            <w:r>
              <w:rPr>
                <w:noProof/>
              </w:rPr>
              <w:fldChar w:fldCharType="begin"/>
            </w:r>
            <w:r>
              <w:rPr>
                <w:noProof/>
              </w:rPr>
              <w:instrText xml:space="preserve"> PAGEREF _Toc233219857 \h </w:instrText>
            </w:r>
            <w:r>
              <w:rPr>
                <w:noProof/>
              </w:rPr>
            </w:r>
            <w:r>
              <w:rPr>
                <w:noProof/>
              </w:rPr>
              <w:fldChar w:fldCharType="separate"/>
            </w:r>
            <w:r>
              <w:rPr>
                <w:noProof/>
              </w:rPr>
              <w:t>9</w:t>
            </w:r>
            <w:r>
              <w:rPr>
                <w:noProof/>
              </w:rPr>
              <w:fldChar w:fldCharType="end"/>
            </w:r>
          </w:hyperlink>
        </w:p>
        <w:p w14:paraId="7439D22C" w14:textId="77777777" w:rsidR="00982D42" w:rsidRDefault="00982D42">
          <w:pPr>
            <w:pStyle w:val="TM2"/>
            <w:tabs>
              <w:tab w:val="right" w:leader="dot" w:pos="10030"/>
            </w:tabs>
            <w:rPr>
              <w:noProof/>
            </w:rPr>
          </w:pPr>
          <w:hyperlink w:anchor="_Toc233219858" w:history="1">
            <w:r w:rsidRPr="00B95086">
              <w:rPr>
                <w:rStyle w:val="Lienhypertexte"/>
                <w:noProof/>
              </w:rPr>
              <w:t>Note sur les captures d'écran</w:t>
            </w:r>
            <w:r>
              <w:rPr>
                <w:noProof/>
              </w:rPr>
              <w:tab/>
            </w:r>
            <w:r>
              <w:rPr>
                <w:noProof/>
              </w:rPr>
              <w:fldChar w:fldCharType="begin"/>
            </w:r>
            <w:r>
              <w:rPr>
                <w:noProof/>
              </w:rPr>
              <w:instrText xml:space="preserve"> PAGEREF _Toc233219858 \h </w:instrText>
            </w:r>
            <w:r>
              <w:rPr>
                <w:noProof/>
              </w:rPr>
            </w:r>
            <w:r>
              <w:rPr>
                <w:noProof/>
              </w:rPr>
              <w:fldChar w:fldCharType="separate"/>
            </w:r>
            <w:r>
              <w:rPr>
                <w:noProof/>
              </w:rPr>
              <w:t>9</w:t>
            </w:r>
            <w:r>
              <w:rPr>
                <w:noProof/>
              </w:rPr>
              <w:fldChar w:fldCharType="end"/>
            </w:r>
          </w:hyperlink>
        </w:p>
        <w:p w14:paraId="6940DA3E" w14:textId="77777777" w:rsidR="00C356E5" w:rsidRDefault="00000000">
          <w:r>
            <w:fldChar w:fldCharType="end"/>
          </w:r>
        </w:p>
      </w:sdtContent>
    </w:sdt>
    <w:p w14:paraId="78016AE4" w14:textId="77777777" w:rsidR="00C356E5" w:rsidRDefault="00000000">
      <w:pPr>
        <w:pStyle w:val="Titre1"/>
        <w:pageBreakBefore/>
      </w:pPr>
      <w:bookmarkStart w:id="1" w:name="_Toc233219836"/>
      <w:r>
        <w:lastRenderedPageBreak/>
        <w:t>1. Introduction</w:t>
      </w:r>
      <w:bookmarkEnd w:id="1"/>
    </w:p>
    <w:p w14:paraId="696E9C05" w14:textId="77777777" w:rsidR="00C356E5" w:rsidRDefault="00000000">
      <w:pPr>
        <w:spacing w:after="160"/>
      </w:pPr>
      <w:r>
        <w:t>Ce manuel décrit l'usage du back-office administrateur d'Eco Tibus, l'application de mobilité et de livraison déployée en production sur Vercel. Il s'adresse aux super-administrateurs, administrateurs et agents support qui opèrent la plateforme au quotidien.</w:t>
      </w:r>
    </w:p>
    <w:p w14:paraId="53645AEF" w14:textId="77777777" w:rsidR="00C356E5" w:rsidRDefault="00000000">
      <w:pPr>
        <w:spacing w:after="160"/>
      </w:pPr>
      <w:r>
        <w:t>Le document suit la navigation réelle de l'écran d'administration (page d'accueil avec recherche, puis 14 modules regroupés en quatre familles : Opérations, Finance, Sécurité, Croissance) et fait le lien avec les exigences du cahier des charges, en particulier le chapitre 4.4 « Module Administrateur (Back-office Web) », ainsi que les chapitres 5 (Règles de Gestion), 7 (Conformité Juridique) et 9 (KPI de réussite).</w:t>
      </w:r>
    </w:p>
    <w:p w14:paraId="4C016AF9" w14:textId="77777777" w:rsidR="00C356E5" w:rsidRDefault="00000000">
      <w:pPr>
        <w:pBdr>
          <w:left w:val="single" w:sz="12" w:space="8" w:color="2563EB"/>
        </w:pBdr>
        <w:spacing w:before="100" w:after="200"/>
      </w:pPr>
      <w:r>
        <w:rPr>
          <w:i/>
          <w:iCs/>
          <w:color w:val="595959"/>
        </w:rPr>
        <w:t>Note sur le nom du produit : le cahier des charges utilise le nom de travail « EcoMoto / LigdiCash ». L'application déployée porte la marque « Eco Tibus », pilotée en base de données (branding.app_name) et jamais codée en dur — ce manuel utilise donc systématiquement le nom réel de l'application.</w:t>
      </w:r>
    </w:p>
    <w:p w14:paraId="6D71BEBA" w14:textId="77777777" w:rsidR="00C356E5" w:rsidRDefault="00000000">
      <w:pPr>
        <w:pStyle w:val="Titre2"/>
      </w:pPr>
      <w:bookmarkStart w:id="2" w:name="_Toc233219837"/>
      <w:r>
        <w:t>1.1 Accès et rôles</w:t>
      </w:r>
      <w:bookmarkEnd w:id="2"/>
    </w:p>
    <w:p w14:paraId="3FAED178" w14:textId="77777777" w:rsidR="00C356E5" w:rsidRDefault="00000000">
      <w:pPr>
        <w:spacing w:after="160"/>
      </w:pPr>
      <w:r>
        <w:t>L'accès au back-office est réservé à trois niveaux de rôle, chacun filtrant les modules visibles sur la page d'accueil :</w:t>
      </w:r>
    </w:p>
    <w:p w14:paraId="30A6B1A6" w14:textId="77777777" w:rsidR="00C356E5" w:rsidRDefault="00000000">
      <w:pPr>
        <w:pStyle w:val="Paragraphedeliste"/>
        <w:numPr>
          <w:ilvl w:val="0"/>
          <w:numId w:val="1"/>
        </w:numPr>
        <w:spacing w:after="80"/>
      </w:pPr>
      <w:r>
        <w:t>Super admin — accès complet aux 14 modules, y compris « Rôles &amp; permissions » et « Programmes de marché » (gestion multi-pays), réservés à ce seul rôle.</w:t>
      </w:r>
    </w:p>
    <w:p w14:paraId="05FA0AF8" w14:textId="77777777" w:rsidR="00C356E5" w:rsidRDefault="00000000">
      <w:pPr>
        <w:pStyle w:val="Paragraphedeliste"/>
        <w:numPr>
          <w:ilvl w:val="0"/>
          <w:numId w:val="1"/>
        </w:numPr>
        <w:spacing w:after="80"/>
      </w:pPr>
      <w:r>
        <w:t>Admin — accès à la majorité des modules opérationnels et financiers, à l'exception de la gestion des rôles et des programmes de marché.</w:t>
      </w:r>
    </w:p>
    <w:p w14:paraId="64838184" w14:textId="77777777" w:rsidR="00C356E5" w:rsidRDefault="00000000">
      <w:pPr>
        <w:pStyle w:val="Paragraphedeliste"/>
        <w:numPr>
          <w:ilvl w:val="0"/>
          <w:numId w:val="1"/>
        </w:numPr>
        <w:spacing w:after="80"/>
      </w:pPr>
      <w:r>
        <w:t>Support — accès restreint aux modules de premier niveau : Chauffeurs &amp; livreurs, Courses, Anti-fraude (lecture/traitement des signalements).</w:t>
      </w:r>
    </w:p>
    <w:p w14:paraId="240C925A" w14:textId="77777777" w:rsidR="00C356E5" w:rsidRDefault="00000000">
      <w:pPr>
        <w:spacing w:after="160"/>
      </w:pPr>
      <w:r>
        <w:t>Un administrateur de pays (« admin pays ») peut être créé par un super-admin depuis le module Rôles &amp; permissions ; son périmètre de données est alors limité au programme de marché auquel il est rattaché.</w:t>
      </w:r>
    </w:p>
    <w:p w14:paraId="115741AB" w14:textId="77777777" w:rsidR="00C356E5" w:rsidRDefault="00000000">
      <w:pPr>
        <w:pStyle w:val="Titre2"/>
      </w:pPr>
      <w:bookmarkStart w:id="3" w:name="_Toc233219838"/>
      <w:r>
        <w:t>1.2 Page d'accueil de l'administration</w:t>
      </w:r>
      <w:bookmarkEnd w:id="3"/>
    </w:p>
    <w:p w14:paraId="5B7EEEB9" w14:textId="77777777" w:rsidR="00C356E5" w:rsidRDefault="00000000">
      <w:pPr>
        <w:spacing w:after="160"/>
      </w:pPr>
      <w:r>
        <w:t>À la connexion, l'administrateur arrive sur une grille de cartes représentant chacune un module. Cette page propose :</w:t>
      </w:r>
    </w:p>
    <w:p w14:paraId="2F99127D" w14:textId="77777777" w:rsidR="00C356E5" w:rsidRDefault="00000000">
      <w:pPr>
        <w:pStyle w:val="Paragraphedeliste"/>
        <w:numPr>
          <w:ilvl w:val="0"/>
          <w:numId w:val="1"/>
        </w:numPr>
        <w:spacing w:after="80"/>
      </w:pPr>
      <w:r>
        <w:t>Une barre de recherche en texte libre qui filtre les cartes par titre, description ou mots-clés (ex. « tarif », « assurance », « audit »).</w:t>
      </w:r>
    </w:p>
    <w:p w14:paraId="1E6712BD" w14:textId="77777777" w:rsidR="00C356E5" w:rsidRDefault="00000000">
      <w:pPr>
        <w:pStyle w:val="Paragraphedeliste"/>
        <w:numPr>
          <w:ilvl w:val="0"/>
          <w:numId w:val="1"/>
        </w:numPr>
        <w:spacing w:after="80"/>
      </w:pPr>
      <w:r>
        <w:t>Des filtres rapides par rôle (Tous / Super admin / Admin / Support).</w:t>
      </w:r>
    </w:p>
    <w:p w14:paraId="7346A184" w14:textId="77777777" w:rsidR="00C356E5" w:rsidRDefault="00000000">
      <w:pPr>
        <w:pStyle w:val="Paragraphedeliste"/>
        <w:numPr>
          <w:ilvl w:val="0"/>
          <w:numId w:val="1"/>
        </w:numPr>
        <w:spacing w:after="80"/>
      </w:pPr>
      <w:r>
        <w:t>Des compteurs en surimpression sur certaines cartes : chauffeurs en attente de validation, factures impayées, alertes anti-fraude des 24 dernières heures, et entrées d'audit du jour — donnant un aperçu opérationnel sans ouvrir le module.</w:t>
      </w:r>
    </w:p>
    <w:p w14:paraId="77AF4261" w14:textId="77777777" w:rsidR="00C356E5" w:rsidRDefault="00000000">
      <w:pPr>
        <w:pStyle w:val="Paragraphedeliste"/>
        <w:numPr>
          <w:ilvl w:val="0"/>
          <w:numId w:val="1"/>
        </w:numPr>
        <w:spacing w:after="80"/>
      </w:pPr>
      <w:r>
        <w:t>Un regroupement visuel par famille : Opérations, Finance, Sécurité, Croissance, chaque carte étant personnalisable par une couleur au choix de l'administrateur.</w:t>
      </w:r>
    </w:p>
    <w:p w14:paraId="199285FE" w14:textId="77777777" w:rsidR="00C356E5" w:rsidRDefault="00000000">
      <w:pPr>
        <w:spacing w:after="160"/>
      </w:pPr>
      <w:r>
        <w:t>Cliquer sur une carte ouvre le module correspondant ; un bouton de retour permet de revenir instantanément à la grille.</w:t>
      </w:r>
    </w:p>
    <w:p w14:paraId="252B1367" w14:textId="77777777" w:rsidR="00C356E5" w:rsidRDefault="00000000">
      <w:pPr>
        <w:pStyle w:val="Titre1"/>
        <w:pageBreakBefore/>
      </w:pPr>
      <w:bookmarkStart w:id="4" w:name="_Toc233219839"/>
      <w:r>
        <w:lastRenderedPageBreak/>
        <w:t>2. Opérations — gestion des utilisateurs et des courses</w:t>
      </w:r>
      <w:bookmarkEnd w:id="4"/>
    </w:p>
    <w:p w14:paraId="00941DC1" w14:textId="77777777" w:rsidR="00C356E5" w:rsidRDefault="00000000">
      <w:pPr>
        <w:spacing w:after="160"/>
      </w:pPr>
      <w:r>
        <w:t>Cette famille de modules correspond directement à la section 4.4.1 « Gestion des utilisateurs » du cahier des charges : liste et recherche des livreurs/chauffeurs et clients, validation des inscriptions, suspension/réactivation et gestion des litiges.</w:t>
      </w:r>
    </w:p>
    <w:p w14:paraId="4D462597" w14:textId="77777777" w:rsidR="00C356E5" w:rsidRDefault="00000000">
      <w:pPr>
        <w:pStyle w:val="Titre2"/>
      </w:pPr>
      <w:bookmarkStart w:id="5" w:name="_Toc233219840"/>
      <w:r>
        <w:t>2.1 Chauffeurs &amp; livreurs</w:t>
      </w:r>
      <w:bookmarkEnd w:id="5"/>
    </w:p>
    <w:p w14:paraId="171CFFB4" w14:textId="77777777" w:rsidR="00C356E5" w:rsidRDefault="00000000">
      <w:pPr>
        <w:spacing w:after="160"/>
      </w:pPr>
      <w:r>
        <w:t>Liste complète des chauffeurs et livreurs inscrits, avec recherche par nom, téléphone ou statut. Pour chaque profil, l'administrateur peut :</w:t>
      </w:r>
    </w:p>
    <w:p w14:paraId="4E8A6645" w14:textId="77777777" w:rsidR="00C356E5" w:rsidRDefault="00000000">
      <w:pPr>
        <w:pStyle w:val="Paragraphedeliste"/>
        <w:numPr>
          <w:ilvl w:val="0"/>
          <w:numId w:val="1"/>
        </w:numPr>
        <w:spacing w:after="80"/>
      </w:pPr>
      <w:r>
        <w:t>Consulter les documents soumis (permis de conduire, carte grise, pièce d'identité) et leur statut de vérification.</w:t>
      </w:r>
    </w:p>
    <w:p w14:paraId="2E8242A7" w14:textId="77777777" w:rsidR="00C356E5" w:rsidRDefault="00000000">
      <w:pPr>
        <w:pStyle w:val="Paragraphedeliste"/>
        <w:numPr>
          <w:ilvl w:val="0"/>
          <w:numId w:val="1"/>
        </w:numPr>
        <w:spacing w:after="80"/>
      </w:pPr>
      <w:r>
        <w:t>Valider ou rejeter une inscription en attente — action qui débloque l'accès chauffeur à l'application.</w:t>
      </w:r>
    </w:p>
    <w:p w14:paraId="5643D57C" w14:textId="77777777" w:rsidR="00C356E5" w:rsidRDefault="00000000">
      <w:pPr>
        <w:pStyle w:val="Paragraphedeliste"/>
        <w:numPr>
          <w:ilvl w:val="0"/>
          <w:numId w:val="1"/>
        </w:numPr>
        <w:spacing w:after="80"/>
      </w:pPr>
      <w:r>
        <w:t>Suspendre ou réactiver un compte (ex. en cas de signalement ou de document expiré).</w:t>
      </w:r>
    </w:p>
    <w:p w14:paraId="0361E791" w14:textId="77777777" w:rsidR="00C356E5" w:rsidRDefault="00000000">
      <w:pPr>
        <w:pStyle w:val="Paragraphedeliste"/>
        <w:numPr>
          <w:ilvl w:val="0"/>
          <w:numId w:val="1"/>
        </w:numPr>
        <w:spacing w:after="80"/>
      </w:pPr>
      <w:r>
        <w:t>Filtrer par catégorie de véhicule (moto, voiture, livraison colis) pour piloter le contrôle physique et documentaire propre à chaque catégorie.</w:t>
      </w:r>
    </w:p>
    <w:p w14:paraId="5DFD6045" w14:textId="77777777" w:rsidR="00C356E5" w:rsidRDefault="00000000">
      <w:pPr>
        <w:pBdr>
          <w:left w:val="single" w:sz="12" w:space="8" w:color="2563EB"/>
        </w:pBdr>
        <w:spacing w:before="100" w:after="200"/>
      </w:pPr>
      <w:r>
        <w:rPr>
          <w:i/>
          <w:iCs/>
          <w:color w:val="595959"/>
        </w:rPr>
        <w:t>Un compteur « à valider » s'affiche directement sur la carte d'accueil pour signaler les inscriptions en attente.</w:t>
      </w:r>
    </w:p>
    <w:p w14:paraId="5C63128D" w14:textId="77777777" w:rsidR="00C356E5" w:rsidRDefault="00000000">
      <w:pPr>
        <w:spacing w:after="160"/>
      </w:pPr>
      <w:r>
        <w:t>Couverture cahier des charges : §4.4.1 (validation des inscriptions, suspension/réactivation) ; §7 (vérification documentaire avant mise en service).</w:t>
      </w:r>
    </w:p>
    <w:p w14:paraId="5FCBA31B" w14:textId="77777777" w:rsidR="00C356E5" w:rsidRDefault="00000000">
      <w:pPr>
        <w:pStyle w:val="Titre2"/>
      </w:pPr>
      <w:bookmarkStart w:id="6" w:name="_Toc233219841"/>
      <w:r>
        <w:t>2.2 Utilisateurs</w:t>
      </w:r>
      <w:bookmarkEnd w:id="6"/>
    </w:p>
    <w:p w14:paraId="223D34A0" w14:textId="77777777" w:rsidR="00C356E5" w:rsidRDefault="00000000">
      <w:pPr>
        <w:spacing w:after="160"/>
      </w:pPr>
      <w:r>
        <w:t>Vue d'ensemble des comptes passagers et entreprises (hors chauffeurs) : statut du compte, historique de connexion, export des données. Permet de bloquer un compte en cas de fraude ou d'abus signalé, et de traiter un litige ouvert par un client.</w:t>
      </w:r>
    </w:p>
    <w:p w14:paraId="2118B498" w14:textId="77777777" w:rsidR="00C356E5" w:rsidRDefault="00000000">
      <w:pPr>
        <w:spacing w:after="160"/>
      </w:pPr>
      <w:r>
        <w:t>Couverture cahier des charges : §4.4.1 (gestion des litiges, suspension/réactivation des comptes clients/entreprises).</w:t>
      </w:r>
    </w:p>
    <w:p w14:paraId="4BD4F639" w14:textId="77777777" w:rsidR="00C356E5" w:rsidRDefault="00000000">
      <w:pPr>
        <w:pStyle w:val="Titre2"/>
      </w:pPr>
      <w:bookmarkStart w:id="7" w:name="_Toc233219842"/>
      <w:r>
        <w:t>2.3 Courses</w:t>
      </w:r>
      <w:bookmarkEnd w:id="7"/>
    </w:p>
    <w:p w14:paraId="43F6BBBA" w14:textId="77777777" w:rsidR="00C356E5" w:rsidRDefault="00000000">
      <w:pPr>
        <w:spacing w:after="160"/>
      </w:pPr>
      <w:r>
        <w:t>Historique complet des courses (passagers) et livraisons, avec accès au détail de chaque trajet : chauffeur assigné, statut (en cours, terminée, annulée), montant, et points d'étape horodatés. Permet d'investiguer un litige ponctuel en remontant le déroulé exact d'une course.</w:t>
      </w:r>
    </w:p>
    <w:p w14:paraId="6B8CB24C" w14:textId="77777777" w:rsidR="00C356E5" w:rsidRDefault="00000000">
      <w:pPr>
        <w:spacing w:after="160"/>
      </w:pPr>
      <w:r>
        <w:t>Couverture cahier des charges : §4.4.1 (gestion des litiges) ; §5 (vérification de l'attribution équitable des courses entre chauffeurs).</w:t>
      </w:r>
    </w:p>
    <w:p w14:paraId="0FA104C0" w14:textId="77777777" w:rsidR="00C356E5" w:rsidRDefault="00000000">
      <w:pPr>
        <w:pStyle w:val="Titre1"/>
        <w:pageBreakBefore/>
      </w:pPr>
      <w:bookmarkStart w:id="8" w:name="_Toc233219843"/>
      <w:r>
        <w:lastRenderedPageBreak/>
        <w:t>3. Finance — paramétrage tarifaire et suivi financier</w:t>
      </w:r>
      <w:bookmarkEnd w:id="8"/>
    </w:p>
    <w:p w14:paraId="2F3FE5E2" w14:textId="77777777" w:rsidR="00C356E5" w:rsidRDefault="00000000">
      <w:pPr>
        <w:spacing w:after="160"/>
      </w:pPr>
      <w:r>
        <w:t>Cette famille couvre la section 4.4.2 « Paramétrage » (zones géographiques, grille tarifaire, commissions, bonus) ainsi qu'une partie de la section 4.4.3 « Suivi des performances » côté finance, et la section 4.4.4 « Gestion des partenaires » côté facturation B2B.</w:t>
      </w:r>
    </w:p>
    <w:p w14:paraId="4162E86B" w14:textId="77777777" w:rsidR="00C356E5" w:rsidRDefault="00000000">
      <w:pPr>
        <w:pStyle w:val="Titre2"/>
      </w:pPr>
      <w:bookmarkStart w:id="9" w:name="_Toc233219844"/>
      <w:r>
        <w:t>3.1 Tarifs &amp; commissions</w:t>
      </w:r>
      <w:bookmarkEnd w:id="9"/>
    </w:p>
    <w:p w14:paraId="0A7B1822" w14:textId="77777777" w:rsidR="00C356E5" w:rsidRDefault="00000000">
      <w:pPr>
        <w:spacing w:after="160"/>
      </w:pPr>
      <w:r>
        <w:t>Module central de paramétrage tarifaire, organisé en plusieurs sous-sections, toutes pilotées en base de données — aucun tarif ni taux de commission n'est codé en dur dans l'application :</w:t>
      </w:r>
    </w:p>
    <w:p w14:paraId="2F5979DD" w14:textId="77777777" w:rsidR="00C356E5" w:rsidRDefault="00000000">
      <w:pPr>
        <w:pStyle w:val="Paragraphedeliste"/>
        <w:numPr>
          <w:ilvl w:val="0"/>
          <w:numId w:val="1"/>
        </w:numPr>
        <w:spacing w:after="80"/>
      </w:pPr>
      <w:r>
        <w:t>Tarification passagers — paliers de prix par catégorie de véhicule (moto, voiture, etc.) et par programme de marché.</w:t>
      </w:r>
    </w:p>
    <w:p w14:paraId="16A4DEE4" w14:textId="77777777" w:rsidR="00C356E5" w:rsidRDefault="00000000">
      <w:pPr>
        <w:pStyle w:val="Paragraphedeliste"/>
        <w:numPr>
          <w:ilvl w:val="0"/>
          <w:numId w:val="1"/>
        </w:numPr>
        <w:spacing w:after="80"/>
      </w:pPr>
      <w:r>
        <w:t>Tarification livraison — grille spécifique aux courses de livraison, distincte du transport de passagers.</w:t>
      </w:r>
    </w:p>
    <w:p w14:paraId="4E078EDE" w14:textId="77777777" w:rsidR="00C356E5" w:rsidRDefault="00000000">
      <w:pPr>
        <w:pStyle w:val="Paragraphedeliste"/>
        <w:numPr>
          <w:ilvl w:val="0"/>
          <w:numId w:val="1"/>
        </w:numPr>
        <w:spacing w:after="80"/>
      </w:pPr>
      <w:r>
        <w:t>Tarification colis — suppléments selon le poids/volume des colis transportés.</w:t>
      </w:r>
    </w:p>
    <w:p w14:paraId="1300C3C7" w14:textId="77777777" w:rsidR="00C356E5" w:rsidRDefault="00000000">
      <w:pPr>
        <w:pStyle w:val="Paragraphedeliste"/>
        <w:numPr>
          <w:ilvl w:val="0"/>
          <w:numId w:val="1"/>
        </w:numPr>
        <w:spacing w:after="80"/>
      </w:pPr>
      <w:r>
        <w:t>Extras de livraison — frais additionnels configurables (zone éloignée, urgence, etc.).</w:t>
      </w:r>
    </w:p>
    <w:p w14:paraId="1F6356B4" w14:textId="77777777" w:rsidR="00C356E5" w:rsidRDefault="00000000">
      <w:pPr>
        <w:pStyle w:val="Paragraphedeliste"/>
        <w:numPr>
          <w:ilvl w:val="0"/>
          <w:numId w:val="1"/>
        </w:numPr>
        <w:spacing w:after="80"/>
      </w:pPr>
      <w:r>
        <w:t>Tarification dynamique — règles d'ajustement du prix selon la demande (heures de pointe, météo, zone).</w:t>
      </w:r>
    </w:p>
    <w:p w14:paraId="4101EDB7" w14:textId="77777777" w:rsidR="00C356E5" w:rsidRDefault="00000000">
      <w:pPr>
        <w:pStyle w:val="Paragraphedeliste"/>
        <w:numPr>
          <w:ilvl w:val="0"/>
          <w:numId w:val="1"/>
        </w:numPr>
        <w:spacing w:after="80"/>
      </w:pPr>
      <w:r>
        <w:t>Grilles de commissions planifiées — barèmes de commission programmables dans le temps (la cible de référence du cahier des charges est d'environ 10 %, mais le taux réel reste piloté en base et ajustable par programme).</w:t>
      </w:r>
    </w:p>
    <w:p w14:paraId="02095369" w14:textId="77777777" w:rsidR="00C356E5" w:rsidRDefault="00000000">
      <w:pPr>
        <w:spacing w:after="160"/>
      </w:pPr>
      <w:r>
        <w:t>Couverture cahier des charges : §4.4.2 (grille tarifaire, commissions, bonus) ; §5 (règle de commission ~10 %, règles de tarification, pénalités).</w:t>
      </w:r>
    </w:p>
    <w:p w14:paraId="3AD19306" w14:textId="77777777" w:rsidR="00C356E5" w:rsidRDefault="00000000">
      <w:pPr>
        <w:pStyle w:val="Titre2"/>
      </w:pPr>
      <w:bookmarkStart w:id="10" w:name="_Toc233219845"/>
      <w:r>
        <w:t>3.2 Programmes de marché</w:t>
      </w:r>
      <w:bookmarkEnd w:id="10"/>
    </w:p>
    <w:p w14:paraId="150229A6" w14:textId="77777777" w:rsidR="00C356E5" w:rsidRDefault="00000000">
      <w:pPr>
        <w:spacing w:after="160"/>
      </w:pPr>
      <w:r>
        <w:t>Réservé au super-admin. Permet d'activer ou désactiver Eco Tibus par pays/zone géographique, chaque programme de marché disposant de son propre paramétrage tarifaire, de ses propres commissions et de sa propre devise locale (XOF par défaut).</w:t>
      </w:r>
    </w:p>
    <w:p w14:paraId="0F046EF8" w14:textId="77777777" w:rsidR="00C356E5" w:rsidRDefault="00000000">
      <w:pPr>
        <w:spacing w:after="160"/>
      </w:pPr>
      <w:r>
        <w:t>Couverture cahier des charges : §4.4.2 (zones géographiques).</w:t>
      </w:r>
    </w:p>
    <w:p w14:paraId="3821D345" w14:textId="77777777" w:rsidR="00C356E5" w:rsidRDefault="00000000">
      <w:pPr>
        <w:pStyle w:val="Titre2"/>
      </w:pPr>
      <w:bookmarkStart w:id="11" w:name="_Toc233219846"/>
      <w:r>
        <w:t>3.3 Suivi financier KPI</w:t>
      </w:r>
      <w:bookmarkEnd w:id="11"/>
    </w:p>
    <w:p w14:paraId="04B2DA3B" w14:textId="77777777" w:rsidR="00C356E5" w:rsidRDefault="00000000">
      <w:pPr>
        <w:spacing w:after="160"/>
      </w:pPr>
      <w:r>
        <w:t>Tableau de bord financier avec graphiques (barres et courbes) du chiffre d'affaires, des commissions perçues et des bonus versés, agrégés par jour, semaine ou mois. Permet l'export des données détaillées au format CSV pour analyse externe ou reporting comptable.</w:t>
      </w:r>
    </w:p>
    <w:p w14:paraId="5C6ACCF1" w14:textId="77777777" w:rsidR="00C356E5" w:rsidRDefault="00000000">
      <w:pPr>
        <w:spacing w:after="160"/>
      </w:pPr>
      <w:r>
        <w:t>Couverture cahier des charges : §4.4.3 (statistiques en temps réel, rapports téléchargeables) ; §9 (suivi des KPI de réussite : chiffre d'affaires, volume de courses, taux de commission effectif).</w:t>
      </w:r>
    </w:p>
    <w:p w14:paraId="08452CA5" w14:textId="77777777" w:rsidR="00C356E5" w:rsidRDefault="00000000">
      <w:pPr>
        <w:pStyle w:val="Titre2"/>
      </w:pPr>
      <w:bookmarkStart w:id="12" w:name="_Toc233219847"/>
      <w:r>
        <w:t>3.4 Facturation</w:t>
      </w:r>
      <w:bookmarkEnd w:id="12"/>
    </w:p>
    <w:p w14:paraId="60CE696A" w14:textId="77777777" w:rsidR="00C356E5" w:rsidRDefault="00000000">
      <w:pPr>
        <w:spacing w:after="160"/>
      </w:pPr>
      <w:r>
        <w:t>Gestion des comptes corporates (clients B2B) : création de factures, suivi des paiements, relances pour les factures impayées. Un compteur sur la page d'accueil signale les factures en attente de règlement.</w:t>
      </w:r>
    </w:p>
    <w:p w14:paraId="69AEFF8A" w14:textId="77777777" w:rsidR="00C356E5" w:rsidRDefault="00000000">
      <w:pPr>
        <w:spacing w:after="160"/>
      </w:pPr>
      <w:r>
        <w:t>Couverture cahier des charges : §4.4.4 (comptes B2B, validation des paiements).</w:t>
      </w:r>
    </w:p>
    <w:p w14:paraId="798E50E2" w14:textId="77777777" w:rsidR="00C356E5" w:rsidRDefault="00000000">
      <w:pPr>
        <w:pStyle w:val="Titre2"/>
      </w:pPr>
      <w:bookmarkStart w:id="13" w:name="_Toc233219848"/>
      <w:r>
        <w:t>3.5 Wallets</w:t>
      </w:r>
      <w:bookmarkEnd w:id="13"/>
    </w:p>
    <w:p w14:paraId="63C1E2B0" w14:textId="77777777" w:rsidR="00C356E5" w:rsidRDefault="00000000">
      <w:pPr>
        <w:spacing w:after="160"/>
      </w:pPr>
      <w:r>
        <w:lastRenderedPageBreak/>
        <w:t>Suivi des soldes des portefeuilles chauffeurs (gains cumulés, commissions déduites, bonus crédités) et possibilité d'ajustement manuel par l'administrateur en cas d'anomalie ou de réclamation.</w:t>
      </w:r>
    </w:p>
    <w:p w14:paraId="20226C0E" w14:textId="77777777" w:rsidR="00C356E5" w:rsidRDefault="00000000">
      <w:pPr>
        <w:spacing w:after="160"/>
      </w:pPr>
      <w:r>
        <w:t>Couverture cahier des charges : §4.4.2 (bonus) ; §5 (règles de pénalités et d'ajustement).</w:t>
      </w:r>
    </w:p>
    <w:p w14:paraId="63982110" w14:textId="77777777" w:rsidR="00C356E5" w:rsidRDefault="00000000">
      <w:pPr>
        <w:pStyle w:val="Titre1"/>
        <w:pageBreakBefore/>
      </w:pPr>
      <w:bookmarkStart w:id="14" w:name="_Toc233219849"/>
      <w:r>
        <w:lastRenderedPageBreak/>
        <w:t>4. Sécurité — conformité, audit et lutte anti-fraude</w:t>
      </w:r>
      <w:bookmarkEnd w:id="14"/>
    </w:p>
    <w:p w14:paraId="5E3943B1" w14:textId="77777777" w:rsidR="00C356E5" w:rsidRDefault="00000000">
      <w:pPr>
        <w:spacing w:after="160"/>
      </w:pPr>
      <w:r>
        <w:t>Cette famille répond aux exigences de traçabilité et de conformité juridique du cahier des charges (chapitre 7), ainsi qu'à la gestion des partenaires assureurs (§4.4.4).</w:t>
      </w:r>
    </w:p>
    <w:p w14:paraId="55E6D82F" w14:textId="77777777" w:rsidR="00C356E5" w:rsidRDefault="00000000">
      <w:pPr>
        <w:pStyle w:val="Titre2"/>
      </w:pPr>
      <w:bookmarkStart w:id="15" w:name="_Toc233219850"/>
      <w:r>
        <w:t>4.1 Rôles &amp; permissions</w:t>
      </w:r>
      <w:bookmarkEnd w:id="15"/>
    </w:p>
    <w:p w14:paraId="140058B8" w14:textId="77777777" w:rsidR="00C356E5" w:rsidRDefault="00000000">
      <w:pPr>
        <w:spacing w:after="160"/>
      </w:pPr>
      <w:r>
        <w:t>Réservé au super-admin. Gestion des comptes administrateurs : création de comptes admin/support/admin pays, attribution des rôles, réinitialisation de mots de passe.</w:t>
      </w:r>
    </w:p>
    <w:p w14:paraId="6C5855EB" w14:textId="77777777" w:rsidR="00C356E5" w:rsidRDefault="00000000">
      <w:pPr>
        <w:pStyle w:val="Titre2"/>
      </w:pPr>
      <w:bookmarkStart w:id="16" w:name="_Toc233219851"/>
      <w:r>
        <w:t>4.2 Journal d'audit</w:t>
      </w:r>
      <w:bookmarkEnd w:id="16"/>
    </w:p>
    <w:p w14:paraId="13E518BA" w14:textId="77777777" w:rsidR="00C356E5" w:rsidRDefault="00000000">
      <w:pPr>
        <w:spacing w:after="160"/>
      </w:pPr>
      <w:r>
        <w:t>Historique horodaté de toutes les actions sensibles effectuées par les administrateurs (validation de chauffeur, changement de statut, modification tarifaire, etc.), avec l'identité de l'auteur de chaque action. Un compteur affiche le nombre d'entrées du jour.</w:t>
      </w:r>
    </w:p>
    <w:p w14:paraId="56F250E4" w14:textId="77777777" w:rsidR="00C356E5" w:rsidRDefault="00000000">
      <w:pPr>
        <w:spacing w:after="160"/>
      </w:pPr>
      <w:r>
        <w:t>Couverture cahier des charges : §7 (traçabilité et conformité juridique des opérations administratives).</w:t>
      </w:r>
    </w:p>
    <w:p w14:paraId="291612F2" w14:textId="77777777" w:rsidR="00C356E5" w:rsidRDefault="00000000">
      <w:pPr>
        <w:pStyle w:val="Titre2"/>
      </w:pPr>
      <w:bookmarkStart w:id="17" w:name="_Toc233219852"/>
      <w:r>
        <w:t>4.3 Anti-fraude</w:t>
      </w:r>
      <w:bookmarkEnd w:id="17"/>
    </w:p>
    <w:p w14:paraId="4EE198C4" w14:textId="77777777" w:rsidR="00C356E5" w:rsidRDefault="00000000">
      <w:pPr>
        <w:spacing w:after="160"/>
      </w:pPr>
      <w:r>
        <w:t>Tableau des signaux et alertes de fraude détectés automatiquement (comportements suspects, anomalies de paiement, multi-comptes). Un compteur signale les alertes des 24 dernières heures. Accessible également au rôle Support pour un premier traitement.</w:t>
      </w:r>
    </w:p>
    <w:p w14:paraId="3FAE82A7" w14:textId="77777777" w:rsidR="00C356E5" w:rsidRDefault="00000000">
      <w:pPr>
        <w:spacing w:after="160"/>
      </w:pPr>
      <w:r>
        <w:t>Couverture cahier des charges : §5 (intégrité du système d'attribution et de paiement).</w:t>
      </w:r>
    </w:p>
    <w:p w14:paraId="24D70647" w14:textId="77777777" w:rsidR="00C356E5" w:rsidRDefault="00000000">
      <w:pPr>
        <w:pStyle w:val="Titre2"/>
      </w:pPr>
      <w:bookmarkStart w:id="18" w:name="_Toc233219853"/>
      <w:r>
        <w:t>4.4 Assurance</w:t>
      </w:r>
      <w:bookmarkEnd w:id="18"/>
    </w:p>
    <w:p w14:paraId="6818A1D0" w14:textId="77777777" w:rsidR="00C356E5" w:rsidRDefault="00000000">
      <w:pPr>
        <w:spacing w:after="160"/>
      </w:pPr>
      <w:r>
        <w:t>Suivi des dossiers d'assurance des chauffeurs : validation des contrats soumis, contrôle des dates de renouvellement, alerte en cas d'expiration.</w:t>
      </w:r>
    </w:p>
    <w:p w14:paraId="1404A878" w14:textId="77777777" w:rsidR="00C356E5" w:rsidRDefault="00000000">
      <w:pPr>
        <w:spacing w:after="160"/>
      </w:pPr>
      <w:r>
        <w:t>Couverture cahier des charges : §4.4.4 (contrats d'assurance) ; §7 (conformité juridique — assurance obligatoire des chauffeurs).</w:t>
      </w:r>
    </w:p>
    <w:p w14:paraId="11BFB965" w14:textId="77777777" w:rsidR="00C356E5" w:rsidRDefault="00000000">
      <w:pPr>
        <w:pStyle w:val="Titre1"/>
        <w:pageBreakBefore/>
      </w:pPr>
      <w:bookmarkStart w:id="19" w:name="_Toc233219854"/>
      <w:r>
        <w:lastRenderedPageBreak/>
        <w:t>5. Croissance — fidélisation et indicateurs globaux</w:t>
      </w:r>
      <w:bookmarkEnd w:id="19"/>
    </w:p>
    <w:p w14:paraId="03381B35" w14:textId="77777777" w:rsidR="00C356E5" w:rsidRDefault="00000000">
      <w:pPr>
        <w:pStyle w:val="Titre2"/>
      </w:pPr>
      <w:bookmarkStart w:id="20" w:name="_Toc233219855"/>
      <w:r>
        <w:t>5.1 Récompenses</w:t>
      </w:r>
      <w:bookmarkEnd w:id="20"/>
    </w:p>
    <w:p w14:paraId="1A78669F" w14:textId="77777777" w:rsidR="00C356E5" w:rsidRDefault="00000000">
      <w:pPr>
        <w:spacing w:after="160"/>
      </w:pPr>
      <w:r>
        <w:t>Paramétrage du programme de fidélité : points gagnés par course (passager et chauffeur), bonus de parrainage, valeur de conversion d'un point en XOF, plafonds de partage quotidien. Le même écran regroupe la configuration des règles de pénalité chauffeur (annulations répétées, retards, etc.), affichée juste en dessous du programme de récompenses.</w:t>
      </w:r>
    </w:p>
    <w:p w14:paraId="1805953E" w14:textId="77777777" w:rsidR="00C356E5" w:rsidRDefault="00000000">
      <w:pPr>
        <w:spacing w:after="160"/>
      </w:pPr>
      <w:r>
        <w:t>Couverture cahier des charges : §4.4.2 (bonus) ; §5 (règles de pénalités).</w:t>
      </w:r>
    </w:p>
    <w:p w14:paraId="293B2DD6" w14:textId="77777777" w:rsidR="00C356E5" w:rsidRDefault="00000000">
      <w:pPr>
        <w:pStyle w:val="Titre2"/>
      </w:pPr>
      <w:bookmarkStart w:id="21" w:name="_Toc233219856"/>
      <w:r>
        <w:t>5.2 Métriques</w:t>
      </w:r>
      <w:bookmarkEnd w:id="21"/>
    </w:p>
    <w:p w14:paraId="5E5A3B10" w14:textId="77777777" w:rsidR="00C356E5" w:rsidRDefault="00000000">
      <w:pPr>
        <w:spacing w:after="160"/>
      </w:pPr>
      <w:r>
        <w:t>Vue globale des indicateurs clés de performance de la plateforme : nombre d'utilisateurs actifs, volume de courses, taux de complétion, répartition par catégorie de véhicule. Sert de tableau de bord de pilotage stratégique, distinct du suivi financier détaillé du module §3.3.</w:t>
      </w:r>
    </w:p>
    <w:p w14:paraId="4698CA3A" w14:textId="77777777" w:rsidR="00C356E5" w:rsidRDefault="00000000">
      <w:pPr>
        <w:spacing w:after="160"/>
      </w:pPr>
      <w:r>
        <w:t>Couverture cahier des charges : §4.4.3 (tableau de bord global) ; §9 (KPI de réussite).</w:t>
      </w:r>
    </w:p>
    <w:p w14:paraId="6E92DEBF" w14:textId="77777777" w:rsidR="00C356E5" w:rsidRDefault="00000000">
      <w:pPr>
        <w:pStyle w:val="Titre1"/>
        <w:pageBreakBefore/>
      </w:pPr>
      <w:bookmarkStart w:id="22" w:name="_Toc233219857"/>
      <w:r>
        <w:lastRenderedPageBreak/>
        <w:t>6. Annexe — correspondance avec le cahier des charges</w:t>
      </w:r>
      <w:bookmarkEnd w:id="22"/>
    </w:p>
    <w:p w14:paraId="137830C3" w14:textId="77777777" w:rsidR="00C356E5" w:rsidRDefault="00000000">
      <w:pPr>
        <w:spacing w:after="160"/>
      </w:pPr>
      <w:r>
        <w:t>Le tableau ci-dessous synthétise la couverture du chapitre 4.4 « Module Administrateur » par les écrans réels du back-office.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600"/>
      </w:tblGrid>
      <w:tr w:rsidR="00C356E5" w14:paraId="60874F98" w14:textId="77777777">
        <w:tblPrEx>
          <w:tblCellMar>
            <w:top w:w="0" w:type="dxa"/>
            <w:bottom w:w="0" w:type="dxa"/>
          </w:tblCellMar>
        </w:tblPrEx>
        <w:trPr>
          <w:tblHeader/>
        </w:trPr>
        <w:tc>
          <w:tcPr>
            <w:tcW w:w="2400" w:type="dxa"/>
            <w:shd w:val="solid" w:color="1F2A44" w:fill="1F2A44"/>
            <w:tcMar>
              <w:top w:w="80" w:type="dxa"/>
              <w:left w:w="100" w:type="dxa"/>
              <w:bottom w:w="80" w:type="dxa"/>
              <w:right w:w="100" w:type="dxa"/>
            </w:tcMar>
          </w:tcPr>
          <w:p w14:paraId="04F3678F" w14:textId="77777777" w:rsidR="00C356E5" w:rsidRDefault="00000000">
            <w:r>
              <w:rPr>
                <w:b/>
                <w:bCs/>
                <w:color w:val="FFFFFF"/>
                <w:sz w:val="20"/>
                <w:szCs w:val="20"/>
              </w:rPr>
              <w:t>Exigence (cahier des charges)</w:t>
            </w:r>
          </w:p>
        </w:tc>
        <w:tc>
          <w:tcPr>
            <w:tcW w:w="4200" w:type="dxa"/>
            <w:shd w:val="solid" w:color="1F2A44" w:fill="1F2A44"/>
            <w:tcMar>
              <w:top w:w="80" w:type="dxa"/>
              <w:left w:w="100" w:type="dxa"/>
              <w:bottom w:w="80" w:type="dxa"/>
              <w:right w:w="100" w:type="dxa"/>
            </w:tcMar>
          </w:tcPr>
          <w:p w14:paraId="08D88DB4" w14:textId="77777777" w:rsidR="00C356E5" w:rsidRDefault="00000000">
            <w:r>
              <w:rPr>
                <w:b/>
                <w:bCs/>
                <w:color w:val="FFFFFF"/>
                <w:sz w:val="20"/>
                <w:szCs w:val="20"/>
              </w:rPr>
              <w:t>Écran(s) back-office</w:t>
            </w:r>
          </w:p>
        </w:tc>
        <w:tc>
          <w:tcPr>
            <w:tcW w:w="3600" w:type="dxa"/>
            <w:shd w:val="solid" w:color="1F2A44" w:fill="1F2A44"/>
            <w:tcMar>
              <w:top w:w="80" w:type="dxa"/>
              <w:left w:w="100" w:type="dxa"/>
              <w:bottom w:w="80" w:type="dxa"/>
              <w:right w:w="100" w:type="dxa"/>
            </w:tcMar>
          </w:tcPr>
          <w:p w14:paraId="76C0E111" w14:textId="77777777" w:rsidR="00C356E5" w:rsidRDefault="00000000">
            <w:r>
              <w:rPr>
                <w:b/>
                <w:bCs/>
                <w:color w:val="FFFFFF"/>
                <w:sz w:val="20"/>
                <w:szCs w:val="20"/>
              </w:rPr>
              <w:t>Famille</w:t>
            </w:r>
          </w:p>
        </w:tc>
      </w:tr>
      <w:tr w:rsidR="00C356E5" w14:paraId="0E93D10C" w14:textId="77777777">
        <w:tblPrEx>
          <w:tblCellMar>
            <w:top w:w="0" w:type="dxa"/>
            <w:bottom w:w="0" w:type="dxa"/>
          </w:tblCellMar>
        </w:tblPrEx>
        <w:tc>
          <w:tcPr>
            <w:tcW w:w="2400" w:type="dxa"/>
            <w:tcMar>
              <w:top w:w="80" w:type="dxa"/>
              <w:left w:w="100" w:type="dxa"/>
              <w:bottom w:w="80" w:type="dxa"/>
              <w:right w:w="100" w:type="dxa"/>
            </w:tcMar>
          </w:tcPr>
          <w:p w14:paraId="4205752D" w14:textId="77777777" w:rsidR="00C356E5" w:rsidRDefault="00000000">
            <w:r>
              <w:rPr>
                <w:color w:val="000000"/>
                <w:sz w:val="20"/>
                <w:szCs w:val="20"/>
              </w:rPr>
              <w:t>4.4.1 Liste/recherche livreurs, clients, entreprises</w:t>
            </w:r>
          </w:p>
        </w:tc>
        <w:tc>
          <w:tcPr>
            <w:tcW w:w="4200" w:type="dxa"/>
            <w:tcMar>
              <w:top w:w="80" w:type="dxa"/>
              <w:left w:w="100" w:type="dxa"/>
              <w:bottom w:w="80" w:type="dxa"/>
              <w:right w:w="100" w:type="dxa"/>
            </w:tcMar>
          </w:tcPr>
          <w:p w14:paraId="666D1BF5" w14:textId="77777777" w:rsidR="00C356E5" w:rsidRDefault="00000000">
            <w:r>
              <w:rPr>
                <w:color w:val="000000"/>
                <w:sz w:val="20"/>
                <w:szCs w:val="20"/>
              </w:rPr>
              <w:t>Chauffeurs &amp; livreurs ; Utilisateurs</w:t>
            </w:r>
          </w:p>
        </w:tc>
        <w:tc>
          <w:tcPr>
            <w:tcW w:w="3600" w:type="dxa"/>
            <w:tcMar>
              <w:top w:w="80" w:type="dxa"/>
              <w:left w:w="100" w:type="dxa"/>
              <w:bottom w:w="80" w:type="dxa"/>
              <w:right w:w="100" w:type="dxa"/>
            </w:tcMar>
          </w:tcPr>
          <w:p w14:paraId="78131183" w14:textId="77777777" w:rsidR="00C356E5" w:rsidRDefault="00000000">
            <w:r>
              <w:rPr>
                <w:color w:val="000000"/>
                <w:sz w:val="20"/>
                <w:szCs w:val="20"/>
              </w:rPr>
              <w:t>Opérations</w:t>
            </w:r>
          </w:p>
        </w:tc>
      </w:tr>
      <w:tr w:rsidR="00C356E5" w14:paraId="01713AC0" w14:textId="77777777">
        <w:tblPrEx>
          <w:tblCellMar>
            <w:top w:w="0" w:type="dxa"/>
            <w:bottom w:w="0" w:type="dxa"/>
          </w:tblCellMar>
        </w:tblPrEx>
        <w:tc>
          <w:tcPr>
            <w:tcW w:w="2400" w:type="dxa"/>
            <w:tcMar>
              <w:top w:w="80" w:type="dxa"/>
              <w:left w:w="100" w:type="dxa"/>
              <w:bottom w:w="80" w:type="dxa"/>
              <w:right w:w="100" w:type="dxa"/>
            </w:tcMar>
          </w:tcPr>
          <w:p w14:paraId="57C7668A" w14:textId="77777777" w:rsidR="00C356E5" w:rsidRDefault="00000000">
            <w:r>
              <w:rPr>
                <w:color w:val="000000"/>
                <w:sz w:val="20"/>
                <w:szCs w:val="20"/>
              </w:rPr>
              <w:t>4.4.1 Validation des inscriptions</w:t>
            </w:r>
          </w:p>
        </w:tc>
        <w:tc>
          <w:tcPr>
            <w:tcW w:w="4200" w:type="dxa"/>
            <w:tcMar>
              <w:top w:w="80" w:type="dxa"/>
              <w:left w:w="100" w:type="dxa"/>
              <w:bottom w:w="80" w:type="dxa"/>
              <w:right w:w="100" w:type="dxa"/>
            </w:tcMar>
          </w:tcPr>
          <w:p w14:paraId="17B5AA48" w14:textId="77777777" w:rsidR="00C356E5" w:rsidRDefault="00000000">
            <w:r>
              <w:rPr>
                <w:color w:val="000000"/>
                <w:sz w:val="20"/>
                <w:szCs w:val="20"/>
              </w:rPr>
              <w:t>Chauffeurs &amp; livreurs (compteur « à valider »)</w:t>
            </w:r>
          </w:p>
        </w:tc>
        <w:tc>
          <w:tcPr>
            <w:tcW w:w="3600" w:type="dxa"/>
            <w:tcMar>
              <w:top w:w="80" w:type="dxa"/>
              <w:left w:w="100" w:type="dxa"/>
              <w:bottom w:w="80" w:type="dxa"/>
              <w:right w:w="100" w:type="dxa"/>
            </w:tcMar>
          </w:tcPr>
          <w:p w14:paraId="2F524015" w14:textId="77777777" w:rsidR="00C356E5" w:rsidRDefault="00000000">
            <w:r>
              <w:rPr>
                <w:color w:val="000000"/>
                <w:sz w:val="20"/>
                <w:szCs w:val="20"/>
              </w:rPr>
              <w:t>Opérations</w:t>
            </w:r>
          </w:p>
        </w:tc>
      </w:tr>
      <w:tr w:rsidR="00C356E5" w14:paraId="29781381" w14:textId="77777777">
        <w:tblPrEx>
          <w:tblCellMar>
            <w:top w:w="0" w:type="dxa"/>
            <w:bottom w:w="0" w:type="dxa"/>
          </w:tblCellMar>
        </w:tblPrEx>
        <w:tc>
          <w:tcPr>
            <w:tcW w:w="2400" w:type="dxa"/>
            <w:tcMar>
              <w:top w:w="80" w:type="dxa"/>
              <w:left w:w="100" w:type="dxa"/>
              <w:bottom w:w="80" w:type="dxa"/>
              <w:right w:w="100" w:type="dxa"/>
            </w:tcMar>
          </w:tcPr>
          <w:p w14:paraId="6FE79869" w14:textId="77777777" w:rsidR="00C356E5" w:rsidRDefault="00000000">
            <w:r>
              <w:rPr>
                <w:color w:val="000000"/>
                <w:sz w:val="20"/>
                <w:szCs w:val="20"/>
              </w:rPr>
              <w:t>4.4.1 Suspension / réactivation</w:t>
            </w:r>
          </w:p>
        </w:tc>
        <w:tc>
          <w:tcPr>
            <w:tcW w:w="4200" w:type="dxa"/>
            <w:tcMar>
              <w:top w:w="80" w:type="dxa"/>
              <w:left w:w="100" w:type="dxa"/>
              <w:bottom w:w="80" w:type="dxa"/>
              <w:right w:w="100" w:type="dxa"/>
            </w:tcMar>
          </w:tcPr>
          <w:p w14:paraId="22CEEAFC" w14:textId="77777777" w:rsidR="00C356E5" w:rsidRDefault="00000000">
            <w:r>
              <w:rPr>
                <w:color w:val="000000"/>
                <w:sz w:val="20"/>
                <w:szCs w:val="20"/>
              </w:rPr>
              <w:t>Chauffeurs &amp; livreurs ; Utilisateurs</w:t>
            </w:r>
          </w:p>
        </w:tc>
        <w:tc>
          <w:tcPr>
            <w:tcW w:w="3600" w:type="dxa"/>
            <w:tcMar>
              <w:top w:w="80" w:type="dxa"/>
              <w:left w:w="100" w:type="dxa"/>
              <w:bottom w:w="80" w:type="dxa"/>
              <w:right w:w="100" w:type="dxa"/>
            </w:tcMar>
          </w:tcPr>
          <w:p w14:paraId="771987B5" w14:textId="77777777" w:rsidR="00C356E5" w:rsidRDefault="00000000">
            <w:r>
              <w:rPr>
                <w:color w:val="000000"/>
                <w:sz w:val="20"/>
                <w:szCs w:val="20"/>
              </w:rPr>
              <w:t>Opérations</w:t>
            </w:r>
          </w:p>
        </w:tc>
      </w:tr>
      <w:tr w:rsidR="00C356E5" w14:paraId="0B30A13A" w14:textId="77777777">
        <w:tblPrEx>
          <w:tblCellMar>
            <w:top w:w="0" w:type="dxa"/>
            <w:bottom w:w="0" w:type="dxa"/>
          </w:tblCellMar>
        </w:tblPrEx>
        <w:tc>
          <w:tcPr>
            <w:tcW w:w="2400" w:type="dxa"/>
            <w:tcMar>
              <w:top w:w="80" w:type="dxa"/>
              <w:left w:w="100" w:type="dxa"/>
              <w:bottom w:w="80" w:type="dxa"/>
              <w:right w:w="100" w:type="dxa"/>
            </w:tcMar>
          </w:tcPr>
          <w:p w14:paraId="7E911327" w14:textId="77777777" w:rsidR="00C356E5" w:rsidRDefault="00000000">
            <w:r>
              <w:rPr>
                <w:color w:val="000000"/>
                <w:sz w:val="20"/>
                <w:szCs w:val="20"/>
              </w:rPr>
              <w:t>4.4.1 Gestion des litiges</w:t>
            </w:r>
          </w:p>
        </w:tc>
        <w:tc>
          <w:tcPr>
            <w:tcW w:w="4200" w:type="dxa"/>
            <w:tcMar>
              <w:top w:w="80" w:type="dxa"/>
              <w:left w:w="100" w:type="dxa"/>
              <w:bottom w:w="80" w:type="dxa"/>
              <w:right w:w="100" w:type="dxa"/>
            </w:tcMar>
          </w:tcPr>
          <w:p w14:paraId="1E98B076" w14:textId="77777777" w:rsidR="00C356E5" w:rsidRDefault="00000000">
            <w:r>
              <w:rPr>
                <w:color w:val="000000"/>
                <w:sz w:val="20"/>
                <w:szCs w:val="20"/>
              </w:rPr>
              <w:t>Utilisateurs ; Courses</w:t>
            </w:r>
          </w:p>
        </w:tc>
        <w:tc>
          <w:tcPr>
            <w:tcW w:w="3600" w:type="dxa"/>
            <w:tcMar>
              <w:top w:w="80" w:type="dxa"/>
              <w:left w:w="100" w:type="dxa"/>
              <w:bottom w:w="80" w:type="dxa"/>
              <w:right w:w="100" w:type="dxa"/>
            </w:tcMar>
          </w:tcPr>
          <w:p w14:paraId="62B66AEB" w14:textId="77777777" w:rsidR="00C356E5" w:rsidRDefault="00000000">
            <w:r>
              <w:rPr>
                <w:color w:val="000000"/>
                <w:sz w:val="20"/>
                <w:szCs w:val="20"/>
              </w:rPr>
              <w:t>Opérations</w:t>
            </w:r>
          </w:p>
        </w:tc>
      </w:tr>
      <w:tr w:rsidR="00C356E5" w14:paraId="377489DD" w14:textId="77777777">
        <w:tblPrEx>
          <w:tblCellMar>
            <w:top w:w="0" w:type="dxa"/>
            <w:bottom w:w="0" w:type="dxa"/>
          </w:tblCellMar>
        </w:tblPrEx>
        <w:tc>
          <w:tcPr>
            <w:tcW w:w="2400" w:type="dxa"/>
            <w:tcMar>
              <w:top w:w="80" w:type="dxa"/>
              <w:left w:w="100" w:type="dxa"/>
              <w:bottom w:w="80" w:type="dxa"/>
              <w:right w:w="100" w:type="dxa"/>
            </w:tcMar>
          </w:tcPr>
          <w:p w14:paraId="63A5D81A" w14:textId="77777777" w:rsidR="00C356E5" w:rsidRDefault="00000000">
            <w:r>
              <w:rPr>
                <w:color w:val="000000"/>
                <w:sz w:val="20"/>
                <w:szCs w:val="20"/>
              </w:rPr>
              <w:t>4.4.2 Zones géographiques</w:t>
            </w:r>
          </w:p>
        </w:tc>
        <w:tc>
          <w:tcPr>
            <w:tcW w:w="4200" w:type="dxa"/>
            <w:tcMar>
              <w:top w:w="80" w:type="dxa"/>
              <w:left w:w="100" w:type="dxa"/>
              <w:bottom w:w="80" w:type="dxa"/>
              <w:right w:w="100" w:type="dxa"/>
            </w:tcMar>
          </w:tcPr>
          <w:p w14:paraId="6C6059D3" w14:textId="77777777" w:rsidR="00C356E5" w:rsidRDefault="00000000">
            <w:r>
              <w:rPr>
                <w:color w:val="000000"/>
                <w:sz w:val="20"/>
                <w:szCs w:val="20"/>
              </w:rPr>
              <w:t>Programmes de marché</w:t>
            </w:r>
          </w:p>
        </w:tc>
        <w:tc>
          <w:tcPr>
            <w:tcW w:w="3600" w:type="dxa"/>
            <w:tcMar>
              <w:top w:w="80" w:type="dxa"/>
              <w:left w:w="100" w:type="dxa"/>
              <w:bottom w:w="80" w:type="dxa"/>
              <w:right w:w="100" w:type="dxa"/>
            </w:tcMar>
          </w:tcPr>
          <w:p w14:paraId="4762E192" w14:textId="77777777" w:rsidR="00C356E5" w:rsidRDefault="00000000">
            <w:r>
              <w:rPr>
                <w:color w:val="000000"/>
                <w:sz w:val="20"/>
                <w:szCs w:val="20"/>
              </w:rPr>
              <w:t>Finance</w:t>
            </w:r>
          </w:p>
        </w:tc>
      </w:tr>
      <w:tr w:rsidR="00C356E5" w14:paraId="7E0F9CF2" w14:textId="77777777">
        <w:tblPrEx>
          <w:tblCellMar>
            <w:top w:w="0" w:type="dxa"/>
            <w:bottom w:w="0" w:type="dxa"/>
          </w:tblCellMar>
        </w:tblPrEx>
        <w:tc>
          <w:tcPr>
            <w:tcW w:w="2400" w:type="dxa"/>
            <w:tcMar>
              <w:top w:w="80" w:type="dxa"/>
              <w:left w:w="100" w:type="dxa"/>
              <w:bottom w:w="80" w:type="dxa"/>
              <w:right w:w="100" w:type="dxa"/>
            </w:tcMar>
          </w:tcPr>
          <w:p w14:paraId="0CD9A560" w14:textId="77777777" w:rsidR="00C356E5" w:rsidRDefault="00000000">
            <w:r>
              <w:rPr>
                <w:color w:val="000000"/>
                <w:sz w:val="20"/>
                <w:szCs w:val="20"/>
              </w:rPr>
              <w:t>4.4.2 Grille tarifaire</w:t>
            </w:r>
          </w:p>
        </w:tc>
        <w:tc>
          <w:tcPr>
            <w:tcW w:w="4200" w:type="dxa"/>
            <w:tcMar>
              <w:top w:w="80" w:type="dxa"/>
              <w:left w:w="100" w:type="dxa"/>
              <w:bottom w:w="80" w:type="dxa"/>
              <w:right w:w="100" w:type="dxa"/>
            </w:tcMar>
          </w:tcPr>
          <w:p w14:paraId="14AA0F4C" w14:textId="77777777" w:rsidR="00C356E5" w:rsidRDefault="00000000">
            <w:r>
              <w:rPr>
                <w:color w:val="000000"/>
                <w:sz w:val="20"/>
                <w:szCs w:val="20"/>
              </w:rPr>
              <w:t>Tarifs &amp; commissions (5 sous-sections)</w:t>
            </w:r>
          </w:p>
        </w:tc>
        <w:tc>
          <w:tcPr>
            <w:tcW w:w="3600" w:type="dxa"/>
            <w:tcMar>
              <w:top w:w="80" w:type="dxa"/>
              <w:left w:w="100" w:type="dxa"/>
              <w:bottom w:w="80" w:type="dxa"/>
              <w:right w:w="100" w:type="dxa"/>
            </w:tcMar>
          </w:tcPr>
          <w:p w14:paraId="5B198BA8" w14:textId="77777777" w:rsidR="00C356E5" w:rsidRDefault="00000000">
            <w:r>
              <w:rPr>
                <w:color w:val="000000"/>
                <w:sz w:val="20"/>
                <w:szCs w:val="20"/>
              </w:rPr>
              <w:t>Finance</w:t>
            </w:r>
          </w:p>
        </w:tc>
      </w:tr>
      <w:tr w:rsidR="00C356E5" w14:paraId="56C07068" w14:textId="77777777">
        <w:tblPrEx>
          <w:tblCellMar>
            <w:top w:w="0" w:type="dxa"/>
            <w:bottom w:w="0" w:type="dxa"/>
          </w:tblCellMar>
        </w:tblPrEx>
        <w:tc>
          <w:tcPr>
            <w:tcW w:w="2400" w:type="dxa"/>
            <w:tcMar>
              <w:top w:w="80" w:type="dxa"/>
              <w:left w:w="100" w:type="dxa"/>
              <w:bottom w:w="80" w:type="dxa"/>
              <w:right w:w="100" w:type="dxa"/>
            </w:tcMar>
          </w:tcPr>
          <w:p w14:paraId="3804E5DA" w14:textId="77777777" w:rsidR="00C356E5" w:rsidRDefault="00000000">
            <w:r>
              <w:rPr>
                <w:color w:val="000000"/>
                <w:sz w:val="20"/>
                <w:szCs w:val="20"/>
              </w:rPr>
              <w:t>4.4.2 Commissions (~10 %)</w:t>
            </w:r>
          </w:p>
        </w:tc>
        <w:tc>
          <w:tcPr>
            <w:tcW w:w="4200" w:type="dxa"/>
            <w:tcMar>
              <w:top w:w="80" w:type="dxa"/>
              <w:left w:w="100" w:type="dxa"/>
              <w:bottom w:w="80" w:type="dxa"/>
              <w:right w:w="100" w:type="dxa"/>
            </w:tcMar>
          </w:tcPr>
          <w:p w14:paraId="2EF2B24A" w14:textId="77777777" w:rsidR="00C356E5" w:rsidRDefault="00000000">
            <w:r>
              <w:rPr>
                <w:color w:val="000000"/>
                <w:sz w:val="20"/>
                <w:szCs w:val="20"/>
              </w:rPr>
              <w:t>Tarifs &amp; commissions — grilles de commissions planifiées</w:t>
            </w:r>
          </w:p>
        </w:tc>
        <w:tc>
          <w:tcPr>
            <w:tcW w:w="3600" w:type="dxa"/>
            <w:tcMar>
              <w:top w:w="80" w:type="dxa"/>
              <w:left w:w="100" w:type="dxa"/>
              <w:bottom w:w="80" w:type="dxa"/>
              <w:right w:w="100" w:type="dxa"/>
            </w:tcMar>
          </w:tcPr>
          <w:p w14:paraId="2FAE8F69" w14:textId="77777777" w:rsidR="00C356E5" w:rsidRDefault="00000000">
            <w:r>
              <w:rPr>
                <w:color w:val="000000"/>
                <w:sz w:val="20"/>
                <w:szCs w:val="20"/>
              </w:rPr>
              <w:t>Finance</w:t>
            </w:r>
          </w:p>
        </w:tc>
      </w:tr>
      <w:tr w:rsidR="00C356E5" w14:paraId="2A0D9767" w14:textId="77777777">
        <w:tblPrEx>
          <w:tblCellMar>
            <w:top w:w="0" w:type="dxa"/>
            <w:bottom w:w="0" w:type="dxa"/>
          </w:tblCellMar>
        </w:tblPrEx>
        <w:tc>
          <w:tcPr>
            <w:tcW w:w="2400" w:type="dxa"/>
            <w:tcMar>
              <w:top w:w="80" w:type="dxa"/>
              <w:left w:w="100" w:type="dxa"/>
              <w:bottom w:w="80" w:type="dxa"/>
              <w:right w:w="100" w:type="dxa"/>
            </w:tcMar>
          </w:tcPr>
          <w:p w14:paraId="2FA527A4" w14:textId="77777777" w:rsidR="00C356E5" w:rsidRDefault="00000000">
            <w:r>
              <w:rPr>
                <w:color w:val="000000"/>
                <w:sz w:val="20"/>
                <w:szCs w:val="20"/>
              </w:rPr>
              <w:t>4.4.2 Bonus</w:t>
            </w:r>
          </w:p>
        </w:tc>
        <w:tc>
          <w:tcPr>
            <w:tcW w:w="4200" w:type="dxa"/>
            <w:tcMar>
              <w:top w:w="80" w:type="dxa"/>
              <w:left w:w="100" w:type="dxa"/>
              <w:bottom w:w="80" w:type="dxa"/>
              <w:right w:w="100" w:type="dxa"/>
            </w:tcMar>
          </w:tcPr>
          <w:p w14:paraId="6DEE7A98" w14:textId="77777777" w:rsidR="00C356E5" w:rsidRDefault="00000000">
            <w:r>
              <w:rPr>
                <w:color w:val="000000"/>
                <w:sz w:val="20"/>
                <w:szCs w:val="20"/>
              </w:rPr>
              <w:t>Récompenses ; Wallets</w:t>
            </w:r>
          </w:p>
        </w:tc>
        <w:tc>
          <w:tcPr>
            <w:tcW w:w="3600" w:type="dxa"/>
            <w:tcMar>
              <w:top w:w="80" w:type="dxa"/>
              <w:left w:w="100" w:type="dxa"/>
              <w:bottom w:w="80" w:type="dxa"/>
              <w:right w:w="100" w:type="dxa"/>
            </w:tcMar>
          </w:tcPr>
          <w:p w14:paraId="70E20603" w14:textId="77777777" w:rsidR="00C356E5" w:rsidRDefault="00000000">
            <w:r>
              <w:rPr>
                <w:color w:val="000000"/>
                <w:sz w:val="20"/>
                <w:szCs w:val="20"/>
              </w:rPr>
              <w:t>Finance / Croissance</w:t>
            </w:r>
          </w:p>
        </w:tc>
      </w:tr>
      <w:tr w:rsidR="00C356E5" w14:paraId="60976D6C" w14:textId="77777777">
        <w:tblPrEx>
          <w:tblCellMar>
            <w:top w:w="0" w:type="dxa"/>
            <w:bottom w:w="0" w:type="dxa"/>
          </w:tblCellMar>
        </w:tblPrEx>
        <w:tc>
          <w:tcPr>
            <w:tcW w:w="2400" w:type="dxa"/>
            <w:tcMar>
              <w:top w:w="80" w:type="dxa"/>
              <w:left w:w="100" w:type="dxa"/>
              <w:bottom w:w="80" w:type="dxa"/>
              <w:right w:w="100" w:type="dxa"/>
            </w:tcMar>
          </w:tcPr>
          <w:p w14:paraId="66761D10" w14:textId="77777777" w:rsidR="00C356E5" w:rsidRDefault="00000000">
            <w:r>
              <w:rPr>
                <w:color w:val="000000"/>
                <w:sz w:val="20"/>
                <w:szCs w:val="20"/>
              </w:rPr>
              <w:t>4.4.3 Tableau de bord global KPI</w:t>
            </w:r>
          </w:p>
        </w:tc>
        <w:tc>
          <w:tcPr>
            <w:tcW w:w="4200" w:type="dxa"/>
            <w:tcMar>
              <w:top w:w="80" w:type="dxa"/>
              <w:left w:w="100" w:type="dxa"/>
              <w:bottom w:w="80" w:type="dxa"/>
              <w:right w:w="100" w:type="dxa"/>
            </w:tcMar>
          </w:tcPr>
          <w:p w14:paraId="5C45D610" w14:textId="77777777" w:rsidR="00C356E5" w:rsidRDefault="00000000">
            <w:r>
              <w:rPr>
                <w:color w:val="000000"/>
                <w:sz w:val="20"/>
                <w:szCs w:val="20"/>
              </w:rPr>
              <w:t>Métriques</w:t>
            </w:r>
          </w:p>
        </w:tc>
        <w:tc>
          <w:tcPr>
            <w:tcW w:w="3600" w:type="dxa"/>
            <w:tcMar>
              <w:top w:w="80" w:type="dxa"/>
              <w:left w:w="100" w:type="dxa"/>
              <w:bottom w:w="80" w:type="dxa"/>
              <w:right w:w="100" w:type="dxa"/>
            </w:tcMar>
          </w:tcPr>
          <w:p w14:paraId="7E320930" w14:textId="77777777" w:rsidR="00C356E5" w:rsidRDefault="00000000">
            <w:r>
              <w:rPr>
                <w:color w:val="000000"/>
                <w:sz w:val="20"/>
                <w:szCs w:val="20"/>
              </w:rPr>
              <w:t>Croissance</w:t>
            </w:r>
          </w:p>
        </w:tc>
      </w:tr>
      <w:tr w:rsidR="00C356E5" w14:paraId="43F0AC34" w14:textId="77777777">
        <w:tblPrEx>
          <w:tblCellMar>
            <w:top w:w="0" w:type="dxa"/>
            <w:bottom w:w="0" w:type="dxa"/>
          </w:tblCellMar>
        </w:tblPrEx>
        <w:tc>
          <w:tcPr>
            <w:tcW w:w="2400" w:type="dxa"/>
            <w:tcMar>
              <w:top w:w="80" w:type="dxa"/>
              <w:left w:w="100" w:type="dxa"/>
              <w:bottom w:w="80" w:type="dxa"/>
              <w:right w:w="100" w:type="dxa"/>
            </w:tcMar>
          </w:tcPr>
          <w:p w14:paraId="2C4DB329" w14:textId="77777777" w:rsidR="00C356E5" w:rsidRDefault="00000000">
            <w:r>
              <w:rPr>
                <w:color w:val="000000"/>
                <w:sz w:val="20"/>
                <w:szCs w:val="20"/>
              </w:rPr>
              <w:t>4.4.3 Statistiques temps réel</w:t>
            </w:r>
          </w:p>
        </w:tc>
        <w:tc>
          <w:tcPr>
            <w:tcW w:w="4200" w:type="dxa"/>
            <w:tcMar>
              <w:top w:w="80" w:type="dxa"/>
              <w:left w:w="100" w:type="dxa"/>
              <w:bottom w:w="80" w:type="dxa"/>
              <w:right w:w="100" w:type="dxa"/>
            </w:tcMar>
          </w:tcPr>
          <w:p w14:paraId="3BDEE717" w14:textId="77777777" w:rsidR="00C356E5" w:rsidRDefault="00000000">
            <w:r>
              <w:rPr>
                <w:color w:val="000000"/>
                <w:sz w:val="20"/>
                <w:szCs w:val="20"/>
              </w:rPr>
              <w:t>Suivi financier KPI</w:t>
            </w:r>
          </w:p>
        </w:tc>
        <w:tc>
          <w:tcPr>
            <w:tcW w:w="3600" w:type="dxa"/>
            <w:tcMar>
              <w:top w:w="80" w:type="dxa"/>
              <w:left w:w="100" w:type="dxa"/>
              <w:bottom w:w="80" w:type="dxa"/>
              <w:right w:w="100" w:type="dxa"/>
            </w:tcMar>
          </w:tcPr>
          <w:p w14:paraId="715423DC" w14:textId="77777777" w:rsidR="00C356E5" w:rsidRDefault="00000000">
            <w:r>
              <w:rPr>
                <w:color w:val="000000"/>
                <w:sz w:val="20"/>
                <w:szCs w:val="20"/>
              </w:rPr>
              <w:t>Finance</w:t>
            </w:r>
          </w:p>
        </w:tc>
      </w:tr>
      <w:tr w:rsidR="00C356E5" w14:paraId="5FC86F6F" w14:textId="77777777">
        <w:tblPrEx>
          <w:tblCellMar>
            <w:top w:w="0" w:type="dxa"/>
            <w:bottom w:w="0" w:type="dxa"/>
          </w:tblCellMar>
        </w:tblPrEx>
        <w:tc>
          <w:tcPr>
            <w:tcW w:w="2400" w:type="dxa"/>
            <w:tcMar>
              <w:top w:w="80" w:type="dxa"/>
              <w:left w:w="100" w:type="dxa"/>
              <w:bottom w:w="80" w:type="dxa"/>
              <w:right w:w="100" w:type="dxa"/>
            </w:tcMar>
          </w:tcPr>
          <w:p w14:paraId="030B1558" w14:textId="77777777" w:rsidR="00C356E5" w:rsidRDefault="00000000">
            <w:r>
              <w:rPr>
                <w:color w:val="000000"/>
                <w:sz w:val="20"/>
                <w:szCs w:val="20"/>
              </w:rPr>
              <w:t>4.4.3 Rapports téléchargeables</w:t>
            </w:r>
          </w:p>
        </w:tc>
        <w:tc>
          <w:tcPr>
            <w:tcW w:w="4200" w:type="dxa"/>
            <w:tcMar>
              <w:top w:w="80" w:type="dxa"/>
              <w:left w:w="100" w:type="dxa"/>
              <w:bottom w:w="80" w:type="dxa"/>
              <w:right w:w="100" w:type="dxa"/>
            </w:tcMar>
          </w:tcPr>
          <w:p w14:paraId="5B3E8B43" w14:textId="77777777" w:rsidR="00C356E5" w:rsidRDefault="00000000">
            <w:r>
              <w:rPr>
                <w:color w:val="000000"/>
                <w:sz w:val="20"/>
                <w:szCs w:val="20"/>
              </w:rPr>
              <w:t>Suivi financier KPI (export CSV)</w:t>
            </w:r>
          </w:p>
        </w:tc>
        <w:tc>
          <w:tcPr>
            <w:tcW w:w="3600" w:type="dxa"/>
            <w:tcMar>
              <w:top w:w="80" w:type="dxa"/>
              <w:left w:w="100" w:type="dxa"/>
              <w:bottom w:w="80" w:type="dxa"/>
              <w:right w:w="100" w:type="dxa"/>
            </w:tcMar>
          </w:tcPr>
          <w:p w14:paraId="09716F53" w14:textId="77777777" w:rsidR="00C356E5" w:rsidRDefault="00000000">
            <w:r>
              <w:rPr>
                <w:color w:val="000000"/>
                <w:sz w:val="20"/>
                <w:szCs w:val="20"/>
              </w:rPr>
              <w:t>Finance</w:t>
            </w:r>
          </w:p>
        </w:tc>
      </w:tr>
      <w:tr w:rsidR="00C356E5" w14:paraId="3B072BB7" w14:textId="77777777">
        <w:tblPrEx>
          <w:tblCellMar>
            <w:top w:w="0" w:type="dxa"/>
            <w:bottom w:w="0" w:type="dxa"/>
          </w:tblCellMar>
        </w:tblPrEx>
        <w:tc>
          <w:tcPr>
            <w:tcW w:w="2400" w:type="dxa"/>
            <w:tcMar>
              <w:top w:w="80" w:type="dxa"/>
              <w:left w:w="100" w:type="dxa"/>
              <w:bottom w:w="80" w:type="dxa"/>
              <w:right w:w="100" w:type="dxa"/>
            </w:tcMar>
          </w:tcPr>
          <w:p w14:paraId="2767DC94" w14:textId="77777777" w:rsidR="00C356E5" w:rsidRDefault="00000000">
            <w:r>
              <w:rPr>
                <w:color w:val="000000"/>
                <w:sz w:val="20"/>
                <w:szCs w:val="20"/>
              </w:rPr>
              <w:t>4.4.4 Contrats d'assurance</w:t>
            </w:r>
          </w:p>
        </w:tc>
        <w:tc>
          <w:tcPr>
            <w:tcW w:w="4200" w:type="dxa"/>
            <w:tcMar>
              <w:top w:w="80" w:type="dxa"/>
              <w:left w:w="100" w:type="dxa"/>
              <w:bottom w:w="80" w:type="dxa"/>
              <w:right w:w="100" w:type="dxa"/>
            </w:tcMar>
          </w:tcPr>
          <w:p w14:paraId="5685D8C7" w14:textId="77777777" w:rsidR="00C356E5" w:rsidRDefault="00000000">
            <w:r>
              <w:rPr>
                <w:color w:val="000000"/>
                <w:sz w:val="20"/>
                <w:szCs w:val="20"/>
              </w:rPr>
              <w:t>Assurance</w:t>
            </w:r>
          </w:p>
        </w:tc>
        <w:tc>
          <w:tcPr>
            <w:tcW w:w="3600" w:type="dxa"/>
            <w:tcMar>
              <w:top w:w="80" w:type="dxa"/>
              <w:left w:w="100" w:type="dxa"/>
              <w:bottom w:w="80" w:type="dxa"/>
              <w:right w:w="100" w:type="dxa"/>
            </w:tcMar>
          </w:tcPr>
          <w:p w14:paraId="67DA4147" w14:textId="77777777" w:rsidR="00C356E5" w:rsidRDefault="00000000">
            <w:r>
              <w:rPr>
                <w:color w:val="000000"/>
                <w:sz w:val="20"/>
                <w:szCs w:val="20"/>
              </w:rPr>
              <w:t>Sécurité</w:t>
            </w:r>
          </w:p>
        </w:tc>
      </w:tr>
      <w:tr w:rsidR="00C356E5" w14:paraId="69580B16" w14:textId="77777777">
        <w:tblPrEx>
          <w:tblCellMar>
            <w:top w:w="0" w:type="dxa"/>
            <w:bottom w:w="0" w:type="dxa"/>
          </w:tblCellMar>
        </w:tblPrEx>
        <w:tc>
          <w:tcPr>
            <w:tcW w:w="2400" w:type="dxa"/>
            <w:tcMar>
              <w:top w:w="80" w:type="dxa"/>
              <w:left w:w="100" w:type="dxa"/>
              <w:bottom w:w="80" w:type="dxa"/>
              <w:right w:w="100" w:type="dxa"/>
            </w:tcMar>
          </w:tcPr>
          <w:p w14:paraId="1D24ED0A" w14:textId="77777777" w:rsidR="00C356E5" w:rsidRDefault="00000000">
            <w:r>
              <w:rPr>
                <w:color w:val="000000"/>
                <w:sz w:val="20"/>
                <w:szCs w:val="20"/>
              </w:rPr>
              <w:t>4.4.4 Comptes B2B</w:t>
            </w:r>
          </w:p>
        </w:tc>
        <w:tc>
          <w:tcPr>
            <w:tcW w:w="4200" w:type="dxa"/>
            <w:tcMar>
              <w:top w:w="80" w:type="dxa"/>
              <w:left w:w="100" w:type="dxa"/>
              <w:bottom w:w="80" w:type="dxa"/>
              <w:right w:w="100" w:type="dxa"/>
            </w:tcMar>
          </w:tcPr>
          <w:p w14:paraId="2CA65F24" w14:textId="77777777" w:rsidR="00C356E5" w:rsidRDefault="00000000">
            <w:r>
              <w:rPr>
                <w:color w:val="000000"/>
                <w:sz w:val="20"/>
                <w:szCs w:val="20"/>
              </w:rPr>
              <w:t>Facturation</w:t>
            </w:r>
          </w:p>
        </w:tc>
        <w:tc>
          <w:tcPr>
            <w:tcW w:w="3600" w:type="dxa"/>
            <w:tcMar>
              <w:top w:w="80" w:type="dxa"/>
              <w:left w:w="100" w:type="dxa"/>
              <w:bottom w:w="80" w:type="dxa"/>
              <w:right w:w="100" w:type="dxa"/>
            </w:tcMar>
          </w:tcPr>
          <w:p w14:paraId="059CBF00" w14:textId="77777777" w:rsidR="00C356E5" w:rsidRDefault="00000000">
            <w:r>
              <w:rPr>
                <w:color w:val="000000"/>
                <w:sz w:val="20"/>
                <w:szCs w:val="20"/>
              </w:rPr>
              <w:t>Finance</w:t>
            </w:r>
          </w:p>
        </w:tc>
      </w:tr>
      <w:tr w:rsidR="00C356E5" w14:paraId="1F0CBE16" w14:textId="77777777">
        <w:tblPrEx>
          <w:tblCellMar>
            <w:top w:w="0" w:type="dxa"/>
            <w:bottom w:w="0" w:type="dxa"/>
          </w:tblCellMar>
        </w:tblPrEx>
        <w:tc>
          <w:tcPr>
            <w:tcW w:w="2400" w:type="dxa"/>
            <w:tcMar>
              <w:top w:w="80" w:type="dxa"/>
              <w:left w:w="100" w:type="dxa"/>
              <w:bottom w:w="80" w:type="dxa"/>
              <w:right w:w="100" w:type="dxa"/>
            </w:tcMar>
          </w:tcPr>
          <w:p w14:paraId="71AE2BA6" w14:textId="77777777" w:rsidR="00C356E5" w:rsidRDefault="00000000">
            <w:r>
              <w:rPr>
                <w:color w:val="000000"/>
                <w:sz w:val="20"/>
                <w:szCs w:val="20"/>
              </w:rPr>
              <w:t>4.4.4 Validation des paiements</w:t>
            </w:r>
          </w:p>
        </w:tc>
        <w:tc>
          <w:tcPr>
            <w:tcW w:w="4200" w:type="dxa"/>
            <w:tcMar>
              <w:top w:w="80" w:type="dxa"/>
              <w:left w:w="100" w:type="dxa"/>
              <w:bottom w:w="80" w:type="dxa"/>
              <w:right w:w="100" w:type="dxa"/>
            </w:tcMar>
          </w:tcPr>
          <w:p w14:paraId="41CD6548" w14:textId="77777777" w:rsidR="00C356E5" w:rsidRDefault="00000000">
            <w:r>
              <w:rPr>
                <w:color w:val="000000"/>
                <w:sz w:val="20"/>
                <w:szCs w:val="20"/>
              </w:rPr>
              <w:t>Facturation ; Wallets</w:t>
            </w:r>
          </w:p>
        </w:tc>
        <w:tc>
          <w:tcPr>
            <w:tcW w:w="3600" w:type="dxa"/>
            <w:tcMar>
              <w:top w:w="80" w:type="dxa"/>
              <w:left w:w="100" w:type="dxa"/>
              <w:bottom w:w="80" w:type="dxa"/>
              <w:right w:w="100" w:type="dxa"/>
            </w:tcMar>
          </w:tcPr>
          <w:p w14:paraId="7FB35D3C" w14:textId="77777777" w:rsidR="00C356E5" w:rsidRDefault="00000000">
            <w:r>
              <w:rPr>
                <w:color w:val="000000"/>
                <w:sz w:val="20"/>
                <w:szCs w:val="20"/>
              </w:rPr>
              <w:t>Finance</w:t>
            </w:r>
          </w:p>
        </w:tc>
      </w:tr>
    </w:tbl>
    <w:p w14:paraId="46E50C10" w14:textId="77777777" w:rsidR="00C356E5" w:rsidRDefault="00C356E5">
      <w:pPr>
        <w:spacing w:after="160"/>
      </w:pPr>
    </w:p>
    <w:p w14:paraId="5C0C92E2" w14:textId="77777777" w:rsidR="00C356E5" w:rsidRDefault="00000000">
      <w:pPr>
        <w:spacing w:after="160"/>
      </w:pPr>
      <w:r>
        <w:t>Exigences transverses couvertes hors §4.4 :</w:t>
      </w:r>
    </w:p>
    <w:p w14:paraId="696BD678" w14:textId="77777777" w:rsidR="00C356E5" w:rsidRDefault="00000000">
      <w:pPr>
        <w:pStyle w:val="Paragraphedeliste"/>
        <w:numPr>
          <w:ilvl w:val="0"/>
          <w:numId w:val="1"/>
        </w:numPr>
        <w:spacing w:after="80"/>
      </w:pPr>
      <w:r>
        <w:t>§5 Règles de Gestion (commission, tarification, attribution équitable, pénalités) — Tarifs &amp; commissions, Courses, Récompenses (pénalités), Anti-fraude.</w:t>
      </w:r>
    </w:p>
    <w:p w14:paraId="690FA8C9" w14:textId="77777777" w:rsidR="00C356E5" w:rsidRDefault="00000000">
      <w:pPr>
        <w:pStyle w:val="Paragraphedeliste"/>
        <w:numPr>
          <w:ilvl w:val="0"/>
          <w:numId w:val="1"/>
        </w:numPr>
        <w:spacing w:after="80"/>
      </w:pPr>
      <w:r>
        <w:t>§7 Conformité Juridique (assurance, traçabilité) — Assurance, Journal d'audit.</w:t>
      </w:r>
    </w:p>
    <w:p w14:paraId="18CB1624" w14:textId="77777777" w:rsidR="00C356E5" w:rsidRDefault="00000000">
      <w:pPr>
        <w:pStyle w:val="Paragraphedeliste"/>
        <w:numPr>
          <w:ilvl w:val="0"/>
          <w:numId w:val="1"/>
        </w:numPr>
        <w:spacing w:after="80"/>
      </w:pPr>
      <w:r>
        <w:t>§9 KPI de réussite — Métriques, Suivi financier KPI.</w:t>
      </w:r>
    </w:p>
    <w:p w14:paraId="421D24DE" w14:textId="77777777" w:rsidR="00C356E5" w:rsidRDefault="00000000">
      <w:pPr>
        <w:pStyle w:val="Titre2"/>
      </w:pPr>
      <w:bookmarkStart w:id="23" w:name="_Toc233219858"/>
      <w:r>
        <w:t>Note sur les captures d'écran</w:t>
      </w:r>
      <w:bookmarkEnd w:id="23"/>
    </w:p>
    <w:p w14:paraId="731C1E8E" w14:textId="77777777" w:rsidR="00C356E5" w:rsidRDefault="00000000">
      <w:pPr>
        <w:spacing w:after="160"/>
      </w:pPr>
      <w:r>
        <w:t xml:space="preserve">Cette version du manuel décrit chaque écran de façon détaillée à partir d'une revue directe de l'application en production (connexion super-admin). Les captures d'écran n'ont pas pu être intégrées dans cette session : l'outil de capture du navigateur ne permet pas d'enregistrer les images sur disque, et l'alternative (capture d'écran du </w:t>
      </w:r>
      <w:r>
        <w:lastRenderedPageBreak/>
        <w:t>bureau) nécessite l'activation des autorisations Accessibilité et Enregistrement d'écran pour l'application Claude, non encore accordées. Une version illustrée pourra être produite dès que ces autorisations seront activées, ou en fournissant des captures prises manuellement.</w:t>
      </w:r>
    </w:p>
    <w:sectPr w:rsidR="00C356E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901E7A"/>
    <w:multiLevelType w:val="hybridMultilevel"/>
    <w:tmpl w:val="9378C560"/>
    <w:lvl w:ilvl="0" w:tplc="9F38D124">
      <w:start w:val="1"/>
      <w:numFmt w:val="bullet"/>
      <w:lvlText w:val="●"/>
      <w:lvlJc w:val="left"/>
      <w:pPr>
        <w:ind w:left="720" w:hanging="360"/>
      </w:pPr>
    </w:lvl>
    <w:lvl w:ilvl="1" w:tplc="DE5C24D6">
      <w:start w:val="1"/>
      <w:numFmt w:val="bullet"/>
      <w:lvlText w:val="○"/>
      <w:lvlJc w:val="left"/>
      <w:pPr>
        <w:ind w:left="1440" w:hanging="360"/>
      </w:pPr>
    </w:lvl>
    <w:lvl w:ilvl="2" w:tplc="68DACFB6">
      <w:start w:val="1"/>
      <w:numFmt w:val="bullet"/>
      <w:lvlText w:val="■"/>
      <w:lvlJc w:val="left"/>
      <w:pPr>
        <w:ind w:left="2160" w:hanging="360"/>
      </w:pPr>
    </w:lvl>
    <w:lvl w:ilvl="3" w:tplc="1FB83164">
      <w:start w:val="1"/>
      <w:numFmt w:val="bullet"/>
      <w:lvlText w:val="●"/>
      <w:lvlJc w:val="left"/>
      <w:pPr>
        <w:ind w:left="2880" w:hanging="360"/>
      </w:pPr>
    </w:lvl>
    <w:lvl w:ilvl="4" w:tplc="3434136A">
      <w:start w:val="1"/>
      <w:numFmt w:val="bullet"/>
      <w:lvlText w:val="○"/>
      <w:lvlJc w:val="left"/>
      <w:pPr>
        <w:ind w:left="3600" w:hanging="360"/>
      </w:pPr>
    </w:lvl>
    <w:lvl w:ilvl="5" w:tplc="23AE2B72">
      <w:start w:val="1"/>
      <w:numFmt w:val="bullet"/>
      <w:lvlText w:val="■"/>
      <w:lvlJc w:val="left"/>
      <w:pPr>
        <w:ind w:left="4320" w:hanging="360"/>
      </w:pPr>
    </w:lvl>
    <w:lvl w:ilvl="6" w:tplc="0EBCC17E">
      <w:start w:val="1"/>
      <w:numFmt w:val="bullet"/>
      <w:lvlText w:val="●"/>
      <w:lvlJc w:val="left"/>
      <w:pPr>
        <w:ind w:left="5040" w:hanging="360"/>
      </w:pPr>
    </w:lvl>
    <w:lvl w:ilvl="7" w:tplc="BB729E1E">
      <w:start w:val="1"/>
      <w:numFmt w:val="bullet"/>
      <w:lvlText w:val="●"/>
      <w:lvlJc w:val="left"/>
      <w:pPr>
        <w:ind w:left="5760" w:hanging="360"/>
      </w:pPr>
    </w:lvl>
    <w:lvl w:ilvl="8" w:tplc="82C8D724">
      <w:start w:val="1"/>
      <w:numFmt w:val="bullet"/>
      <w:lvlText w:val="●"/>
      <w:lvlJc w:val="left"/>
      <w:pPr>
        <w:ind w:left="6480" w:hanging="360"/>
      </w:pPr>
    </w:lvl>
  </w:abstractNum>
  <w:num w:numId="1" w16cid:durableId="4128993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6E5"/>
    <w:rsid w:val="002B3FAE"/>
    <w:rsid w:val="008864C2"/>
    <w:rsid w:val="00982D42"/>
    <w:rsid w:val="00C356E5"/>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decimalSymbol w:val=","/>
  <w:listSeparator w:val=";"/>
  <w14:docId w14:val="55AA0998"/>
  <w15:docId w15:val="{2EDE4481-7510-CF42-B952-ABC46D41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fr-TG"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F2A44"/>
      <w:sz w:val="32"/>
      <w:szCs w:val="32"/>
    </w:rPr>
  </w:style>
  <w:style w:type="paragraph" w:styleId="Titre2">
    <w:name w:val="heading 2"/>
    <w:uiPriority w:val="9"/>
    <w:unhideWhenUsed/>
    <w:qFormat/>
    <w:pPr>
      <w:spacing w:before="280" w:after="160"/>
      <w:outlineLvl w:val="1"/>
    </w:pPr>
    <w:rPr>
      <w:b/>
      <w:bCs/>
      <w:color w:val="2563EB"/>
      <w:sz w:val="26"/>
      <w:szCs w:val="26"/>
    </w:rPr>
  </w:style>
  <w:style w:type="paragraph" w:styleId="Titre3">
    <w:name w:val="heading 3"/>
    <w:uiPriority w:val="9"/>
    <w:semiHidden/>
    <w:unhideWhenUsed/>
    <w:qFormat/>
    <w:pPr>
      <w:spacing w:before="200" w:after="120"/>
      <w:outlineLvl w:val="2"/>
    </w:pPr>
    <w:rPr>
      <w:b/>
      <w:bCs/>
      <w:color w:val="1F2A4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82D42"/>
    <w:pPr>
      <w:spacing w:after="100"/>
    </w:pPr>
  </w:style>
  <w:style w:type="paragraph" w:styleId="TM2">
    <w:name w:val="toc 2"/>
    <w:basedOn w:val="Normal"/>
    <w:next w:val="Normal"/>
    <w:autoRedefine/>
    <w:uiPriority w:val="39"/>
    <w:unhideWhenUsed/>
    <w:rsid w:val="00982D4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2212</Words>
  <Characters>12168</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2026-06-24T19:58:00Z</dcterms:created>
  <dcterms:modified xsi:type="dcterms:W3CDTF">2026-06-24T19:58:00Z</dcterms:modified>
</cp:coreProperties>
</file>