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F5BE" w14:textId="53A7C0F2" w:rsidR="00C55B1E" w:rsidRDefault="00C55B1E" w:rsidP="00C55B1E">
      <w:pPr>
        <w:jc w:val="center"/>
        <w:rPr>
          <w:rFonts w:ascii="Times New Roman" w:hAnsi="Times New Roman" w:cs="Times New Roman"/>
          <w:b/>
          <w:bCs/>
          <w:sz w:val="28"/>
          <w:szCs w:val="28"/>
        </w:rPr>
      </w:pPr>
      <w:r w:rsidRPr="00C55B1E">
        <w:rPr>
          <w:rFonts w:ascii="Times New Roman" w:hAnsi="Times New Roman" w:cs="Times New Roman"/>
          <w:b/>
          <w:bCs/>
          <w:sz w:val="28"/>
          <w:szCs w:val="28"/>
        </w:rPr>
        <w:t>"System and Method for Privacy-Preserving Equity Management Using Zero-Knowledge Proofs with Schema-per-Tenant Isolation and Metered Cryptographic Operations"</w:t>
      </w:r>
    </w:p>
    <w:p w14:paraId="11D30AD7" w14:textId="77777777" w:rsidR="00C55B1E" w:rsidRDefault="00C55B1E" w:rsidP="00590C44">
      <w:pPr>
        <w:rPr>
          <w:rFonts w:ascii="Times New Roman" w:hAnsi="Times New Roman" w:cs="Times New Roman"/>
          <w:b/>
          <w:bCs/>
          <w:sz w:val="28"/>
          <w:szCs w:val="28"/>
        </w:rPr>
      </w:pPr>
    </w:p>
    <w:p w14:paraId="67AD102E" w14:textId="00890694" w:rsidR="00E87160" w:rsidRPr="00E87160" w:rsidRDefault="00E87160" w:rsidP="00EF1124">
      <w:pPr>
        <w:ind w:firstLine="720"/>
        <w:rPr>
          <w:rFonts w:ascii="Times New Roman" w:hAnsi="Times New Roman" w:cs="Times New Roman"/>
          <w:b/>
          <w:bCs/>
          <w:sz w:val="28"/>
          <w:szCs w:val="28"/>
        </w:rPr>
      </w:pPr>
      <w:r w:rsidRPr="00E87160">
        <w:rPr>
          <w:rFonts w:ascii="Times New Roman" w:hAnsi="Times New Roman" w:cs="Times New Roman"/>
          <w:b/>
          <w:bCs/>
          <w:sz w:val="28"/>
          <w:szCs w:val="28"/>
        </w:rPr>
        <w:t xml:space="preserve">Draft of Abstract for </w:t>
      </w:r>
      <w:proofErr w:type="spellStart"/>
      <w:r w:rsidRPr="00E87160">
        <w:rPr>
          <w:rFonts w:ascii="Times New Roman" w:hAnsi="Times New Roman" w:cs="Times New Roman"/>
          <w:b/>
          <w:bCs/>
          <w:sz w:val="28"/>
          <w:szCs w:val="28"/>
        </w:rPr>
        <w:t>Tableicity’s</w:t>
      </w:r>
      <w:proofErr w:type="spellEnd"/>
      <w:r w:rsidRPr="00E87160">
        <w:rPr>
          <w:rFonts w:ascii="Times New Roman" w:hAnsi="Times New Roman" w:cs="Times New Roman"/>
          <w:b/>
          <w:bCs/>
          <w:sz w:val="28"/>
          <w:szCs w:val="28"/>
        </w:rPr>
        <w:t xml:space="preserve"> PPA  </w:t>
      </w:r>
    </w:p>
    <w:p w14:paraId="4C78808D" w14:textId="77777777" w:rsidR="00EF1124" w:rsidRDefault="00E87160" w:rsidP="00EF1124">
      <w:pPr>
        <w:rPr>
          <w:rFonts w:ascii="Times New Roman" w:hAnsi="Times New Roman" w:cs="Times New Roman"/>
          <w:sz w:val="28"/>
          <w:szCs w:val="28"/>
        </w:rPr>
      </w:pPr>
      <w:r w:rsidRPr="00E87160">
        <w:rPr>
          <w:rFonts w:ascii="Times New Roman" w:hAnsi="Times New Roman" w:cs="Times New Roman"/>
          <w:sz w:val="28"/>
          <w:szCs w:val="28"/>
        </w:rPr>
        <w:t xml:space="preserve">The present invention, Tableicity, is a privacy-first equity management platform designed to secure sensitive stakeholder data for private companies through advanced cryptographic techniques and isolated data </w:t>
      </w:r>
      <w:proofErr w:type="gramStart"/>
      <w:r w:rsidRPr="00E87160">
        <w:rPr>
          <w:rFonts w:ascii="Times New Roman" w:hAnsi="Times New Roman" w:cs="Times New Roman"/>
          <w:sz w:val="28"/>
          <w:szCs w:val="28"/>
        </w:rPr>
        <w:t>architectures</w:t>
      </w:r>
      <w:proofErr w:type="gramEnd"/>
      <w:r w:rsidRPr="00E87160">
        <w:rPr>
          <w:rFonts w:ascii="Times New Roman" w:hAnsi="Times New Roman" w:cs="Times New Roman"/>
          <w:sz w:val="28"/>
          <w:szCs w:val="28"/>
        </w:rPr>
        <w:t xml:space="preserve">. The system employs a Schema-per-Tenant isolation architecture to prevent cross-tenant data leakage, ensuring each user’s data resides in a dedicated database schema. Central to the invention is the integration of Zero-Knowledge Proofs (ZKPs) via the NOIR circuit framework, enabling privacy-preserving verification of equity data without exposing underlying information. </w:t>
      </w:r>
    </w:p>
    <w:p w14:paraId="0B93E954" w14:textId="6D87303F" w:rsidR="00E87160" w:rsidRDefault="00E87160" w:rsidP="00EF1124">
      <w:pPr>
        <w:ind w:firstLine="720"/>
        <w:rPr>
          <w:rFonts w:ascii="Times New Roman" w:hAnsi="Times New Roman" w:cs="Times New Roman"/>
          <w:sz w:val="28"/>
          <w:szCs w:val="28"/>
        </w:rPr>
      </w:pPr>
      <w:r w:rsidRPr="00E87160">
        <w:rPr>
          <w:rFonts w:ascii="Times New Roman" w:hAnsi="Times New Roman" w:cs="Times New Roman"/>
          <w:sz w:val="28"/>
          <w:szCs w:val="28"/>
        </w:rPr>
        <w:t xml:space="preserve">A functional Seeded Sandbox environment allows new users to experience atomic-metered ZKP generation and verification using mock data, mirroring production constraints for trust-building onboarding. Access and monetization are governed by a computationally invariant four-gate middleware, controlled by a global Dual-Configuration Feature Gate that toggles between Beta and Production configurations via a single </w:t>
      </w:r>
      <w:proofErr w:type="spellStart"/>
      <w:r w:rsidRPr="00E87160">
        <w:rPr>
          <w:rFonts w:ascii="Times New Roman" w:hAnsi="Times New Roman" w:cs="Times New Roman"/>
          <w:sz w:val="28"/>
          <w:szCs w:val="28"/>
        </w:rPr>
        <w:t>boolean</w:t>
      </w:r>
      <w:proofErr w:type="spellEnd"/>
      <w:r w:rsidRPr="00E87160">
        <w:rPr>
          <w:rFonts w:ascii="Times New Roman" w:hAnsi="Times New Roman" w:cs="Times New Roman"/>
          <w:sz w:val="28"/>
          <w:szCs w:val="28"/>
        </w:rPr>
        <w:t xml:space="preserve"> constant, activating a monetization wall across all tenants simultaneously. This invention addresses critical privacy and security gaps in traditional cap table management, offering a scalable, user-centric solution for stealth startups and pre-IPO entities.</w:t>
      </w:r>
    </w:p>
    <w:p w14:paraId="57704136" w14:textId="65FB1CA7" w:rsidR="00E87160" w:rsidRPr="00E87160" w:rsidRDefault="00E87160" w:rsidP="00EF1124">
      <w:pPr>
        <w:jc w:val="center"/>
        <w:rPr>
          <w:rFonts w:ascii="Times New Roman" w:hAnsi="Times New Roman" w:cs="Times New Roman"/>
          <w:b/>
          <w:bCs/>
          <w:sz w:val="28"/>
          <w:szCs w:val="28"/>
        </w:rPr>
      </w:pPr>
      <w:r w:rsidRPr="00E87160">
        <w:rPr>
          <w:rFonts w:ascii="Times New Roman" w:hAnsi="Times New Roman" w:cs="Times New Roman"/>
          <w:b/>
          <w:bCs/>
          <w:sz w:val="28"/>
          <w:szCs w:val="28"/>
        </w:rPr>
        <w:t>Beginning of Section: Background of the Invention</w:t>
      </w:r>
    </w:p>
    <w:p w14:paraId="3B84F5D7" w14:textId="2AD8679B" w:rsidR="00E87160" w:rsidRPr="00E87160" w:rsidRDefault="00E87160" w:rsidP="00EF1124">
      <w:pPr>
        <w:ind w:firstLine="720"/>
        <w:rPr>
          <w:rFonts w:ascii="Times New Roman" w:hAnsi="Times New Roman" w:cs="Times New Roman"/>
          <w:b/>
          <w:bCs/>
          <w:sz w:val="28"/>
          <w:szCs w:val="28"/>
        </w:rPr>
      </w:pPr>
      <w:r w:rsidRPr="00E87160">
        <w:rPr>
          <w:rFonts w:ascii="Times New Roman" w:hAnsi="Times New Roman" w:cs="Times New Roman"/>
          <w:b/>
          <w:bCs/>
          <w:sz w:val="28"/>
          <w:szCs w:val="28"/>
        </w:rPr>
        <w:t xml:space="preserve">Background of the Invention </w:t>
      </w:r>
    </w:p>
    <w:p w14:paraId="325B1EB5" w14:textId="77777777" w:rsidR="004107EB" w:rsidRDefault="00E87160" w:rsidP="00EF1124">
      <w:pPr>
        <w:rPr>
          <w:rFonts w:ascii="Times New Roman" w:hAnsi="Times New Roman" w:cs="Times New Roman"/>
          <w:sz w:val="28"/>
          <w:szCs w:val="28"/>
        </w:rPr>
      </w:pPr>
      <w:r w:rsidRPr="00E87160">
        <w:rPr>
          <w:rFonts w:ascii="Times New Roman" w:hAnsi="Times New Roman" w:cs="Times New Roman"/>
          <w:sz w:val="28"/>
          <w:szCs w:val="28"/>
        </w:rPr>
        <w:t xml:space="preserve">The field of equity management for private companies has long been plagued by significant challenges in maintaining the privacy and security of sensitive stakeholder data. Traditional cap table management platforms, such as those offered by competitors like Carta and Cake Equity, often rely on centralized data storage models where sensitive information—such as ownership stakes, investor identities, and transaction details—is </w:t>
      </w:r>
      <w:r w:rsidRPr="00E87160">
        <w:rPr>
          <w:rFonts w:ascii="Times New Roman" w:hAnsi="Times New Roman" w:cs="Times New Roman"/>
          <w:sz w:val="28"/>
          <w:szCs w:val="28"/>
        </w:rPr>
        <w:lastRenderedPageBreak/>
        <w:t xml:space="preserve">stored in databases accessible to platform administrators or vulnerable to breaches. This "public-by-default" approach poses substantial risks for stealth startups, high-net-worth investors, and pre-IPO companies, who cannot afford their proprietary equity structures to be exposed to competitors or compromised through data leaks. High-profile incidents, such as Carta’s 2024 secondaries controversy, have further eroded trust in centralized systems, highlighting the potential for even the perception of privileged access to damage market confidence. </w:t>
      </w:r>
    </w:p>
    <w:p w14:paraId="132CF55A" w14:textId="5C513495" w:rsidR="00E87160" w:rsidRDefault="00E87160" w:rsidP="004107EB">
      <w:pPr>
        <w:ind w:firstLine="720"/>
        <w:rPr>
          <w:rFonts w:ascii="Times New Roman" w:hAnsi="Times New Roman" w:cs="Times New Roman"/>
          <w:sz w:val="28"/>
          <w:szCs w:val="28"/>
        </w:rPr>
      </w:pPr>
      <w:r w:rsidRPr="00E87160">
        <w:rPr>
          <w:rFonts w:ascii="Times New Roman" w:hAnsi="Times New Roman" w:cs="Times New Roman"/>
          <w:sz w:val="28"/>
          <w:szCs w:val="28"/>
        </w:rPr>
        <w:t xml:space="preserve">Moreover, existing solutions frequently depend on conventional encryption and role-based access controls, which, while offering some protection, still permit data processing by employees or </w:t>
      </w:r>
      <w:proofErr w:type="spellStart"/>
      <w:r w:rsidRPr="00E87160">
        <w:rPr>
          <w:rFonts w:ascii="Times New Roman" w:hAnsi="Times New Roman" w:cs="Times New Roman"/>
          <w:sz w:val="28"/>
          <w:szCs w:val="28"/>
        </w:rPr>
        <w:t>subprocessors</w:t>
      </w:r>
      <w:proofErr w:type="spellEnd"/>
      <w:r w:rsidRPr="00E87160">
        <w:rPr>
          <w:rFonts w:ascii="Times New Roman" w:hAnsi="Times New Roman" w:cs="Times New Roman"/>
          <w:sz w:val="28"/>
          <w:szCs w:val="28"/>
        </w:rPr>
        <w:t xml:space="preserve">, as acknowledged in privacy policies of major platforms. This inherent visibility undermines the sovereignty of company data, particularly in regulated jurisdictions like the European Union, where GDPR imposes stringent requirements on data residency and exposure, or in the United States, where SEC regulations (e.g., Regulation S-P) mandate robust incident response and breach notification protocols. Manual processes, such as Excel spreadsheets and email-based transfers, exacerbate these issues by introducing human error and further security vulnerabilities, often costing companies significant administrative overhead with fees ranging from $15,000 to $50,000 annually for legacy transfer agent services. </w:t>
      </w:r>
    </w:p>
    <w:p w14:paraId="574DC1B3" w14:textId="08828B76" w:rsidR="00E87160" w:rsidRDefault="00E87160" w:rsidP="00E87160">
      <w:pPr>
        <w:ind w:firstLine="720"/>
        <w:rPr>
          <w:rFonts w:ascii="Times New Roman" w:hAnsi="Times New Roman" w:cs="Times New Roman"/>
          <w:sz w:val="28"/>
          <w:szCs w:val="28"/>
        </w:rPr>
      </w:pPr>
      <w:r w:rsidRPr="00E87160">
        <w:rPr>
          <w:rFonts w:ascii="Times New Roman" w:hAnsi="Times New Roman" w:cs="Times New Roman"/>
          <w:sz w:val="28"/>
          <w:szCs w:val="28"/>
        </w:rPr>
        <w:t>The need for a transformative solution in equity management is evident—one that prioritizes data invisibility by design, eliminates centralized points of exposure, and automates compliance with regulatory frameworks. Such a solution must empower founders and stakeholders with control over their sensitive information, while providing a seamless, scalable user experience that addresses the inefficiencies of outdated systems. The present invention seeks to address these critical gaps by introducing a novel approach to privacy and security in cap table management, fundamentally redefining trust and sovereignty in the fintech landscape. ### End of Section: Background of the Invention</w:t>
      </w:r>
    </w:p>
    <w:p w14:paraId="16641202" w14:textId="77777777" w:rsidR="004107EB" w:rsidRDefault="004107EB" w:rsidP="00E87160">
      <w:pPr>
        <w:ind w:firstLine="720"/>
        <w:rPr>
          <w:rFonts w:ascii="Times New Roman" w:hAnsi="Times New Roman" w:cs="Times New Roman"/>
          <w:sz w:val="28"/>
          <w:szCs w:val="28"/>
        </w:rPr>
      </w:pPr>
    </w:p>
    <w:p w14:paraId="0F4E1231" w14:textId="2C99B5C1" w:rsidR="00EF1124" w:rsidRDefault="004107EB" w:rsidP="00EF1124">
      <w:pPr>
        <w:jc w:val="center"/>
        <w:rPr>
          <w:rFonts w:ascii="Times New Roman" w:hAnsi="Times New Roman" w:cs="Times New Roman"/>
          <w:b/>
          <w:bCs/>
          <w:sz w:val="28"/>
          <w:szCs w:val="28"/>
        </w:rPr>
      </w:pPr>
      <w:proofErr w:type="gramStart"/>
      <w:r w:rsidRPr="004107EB">
        <w:rPr>
          <w:rFonts w:ascii="Times New Roman" w:hAnsi="Times New Roman" w:cs="Times New Roman"/>
          <w:b/>
          <w:bCs/>
          <w:sz w:val="28"/>
          <w:szCs w:val="28"/>
        </w:rPr>
        <w:lastRenderedPageBreak/>
        <w:t>Beginning of</w:t>
      </w:r>
      <w:proofErr w:type="gramEnd"/>
      <w:r w:rsidRPr="004107EB">
        <w:rPr>
          <w:rFonts w:ascii="Times New Roman" w:hAnsi="Times New Roman" w:cs="Times New Roman"/>
          <w:b/>
          <w:bCs/>
          <w:sz w:val="28"/>
          <w:szCs w:val="28"/>
        </w:rPr>
        <w:t xml:space="preserve"> Section: Summary of the Invention</w:t>
      </w:r>
    </w:p>
    <w:p w14:paraId="04DF3F10" w14:textId="67B245A0" w:rsidR="004107EB" w:rsidRPr="004107EB" w:rsidRDefault="004107EB" w:rsidP="00EF1124">
      <w:pPr>
        <w:ind w:firstLine="720"/>
        <w:rPr>
          <w:rFonts w:ascii="Times New Roman" w:hAnsi="Times New Roman" w:cs="Times New Roman"/>
          <w:b/>
          <w:bCs/>
          <w:sz w:val="28"/>
          <w:szCs w:val="28"/>
        </w:rPr>
      </w:pPr>
      <w:r w:rsidRPr="004107EB">
        <w:rPr>
          <w:rFonts w:ascii="Times New Roman" w:hAnsi="Times New Roman" w:cs="Times New Roman"/>
          <w:b/>
          <w:bCs/>
          <w:sz w:val="28"/>
          <w:szCs w:val="28"/>
        </w:rPr>
        <w:t xml:space="preserve">Summary of the Invention </w:t>
      </w:r>
    </w:p>
    <w:p w14:paraId="3EF18D25" w14:textId="533DCC9B" w:rsidR="004107EB" w:rsidRDefault="004107EB" w:rsidP="00EF1124">
      <w:pPr>
        <w:rPr>
          <w:rFonts w:ascii="Times New Roman" w:hAnsi="Times New Roman" w:cs="Times New Roman"/>
          <w:sz w:val="28"/>
          <w:szCs w:val="28"/>
        </w:rPr>
      </w:pPr>
      <w:r w:rsidRPr="004107EB">
        <w:rPr>
          <w:rFonts w:ascii="Times New Roman" w:hAnsi="Times New Roman" w:cs="Times New Roman"/>
          <w:sz w:val="28"/>
          <w:szCs w:val="28"/>
        </w:rPr>
        <w:t>The present invention, Tableicity, is a groundbreaking privacy-first equity management platform designed to address the critical security and trust deficiencies inherent in traditional cap table management systems. Unlike conventional platforms that rely on centralized data storage models susceptible to breaches and unauthorized access, Tableicity introduces a novel architecture that prioritizes data invisibility and user sovereignty through advanced cryptographic techniques and isolated data environments. At the core of the system is a Schema-per-Tenant isolation architecture, which ensures complete separation of stakeholder data by maintaining dedicated database schemas for each user or tenant, thereby preventing cross-tenant data leakage and enhancing security in a multi-tenant SaaS environment.</w:t>
      </w:r>
    </w:p>
    <w:p w14:paraId="52B3B8F3" w14:textId="5EA2B689"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sz w:val="28"/>
          <w:szCs w:val="28"/>
        </w:rPr>
        <w:t>Tableicity leverages Zero-Knowledge Proofs (ZKPs) implemented through the NOIR circuit framework to enable privacy-preserving verification of equity data, such as ownership thresholds or transaction compliance, without exposing sensitive underlying information to platform administrators or external parties. This cryptographic approach fundamentally differentiates the invention from existing solutions by ensuring that even the system itself remains blind to raw data during processing and verification. Additionally, the invention features a functional Seeded Sandbox environment that provides new users with a controlled, simulated cap table experience, allowing them to generate and verify atomic-metered ZK proofs using mock data under the same security constraints as the production environment, thus building trust and facilitating onboarding for stealth startups and pre-IPO entities unfamiliar with advanced privacy technologies.</w:t>
      </w:r>
    </w:p>
    <w:p w14:paraId="48B555C3" w14:textId="3BC86EF9"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sz w:val="28"/>
          <w:szCs w:val="28"/>
        </w:rPr>
        <w:t xml:space="preserve">Further enhancing its innovative design, Tableicity incorporates a computationally invariant four-gate middleware for access control and monetization, governed by a global Dual-Configuration Feature Gate. This mechanism utilizes a single compile-time </w:t>
      </w:r>
      <w:proofErr w:type="spellStart"/>
      <w:r w:rsidRPr="004107EB">
        <w:rPr>
          <w:rFonts w:ascii="Times New Roman" w:hAnsi="Times New Roman" w:cs="Times New Roman"/>
          <w:sz w:val="28"/>
          <w:szCs w:val="28"/>
        </w:rPr>
        <w:t>boolean</w:t>
      </w:r>
      <w:proofErr w:type="spellEnd"/>
      <w:r w:rsidRPr="004107EB">
        <w:rPr>
          <w:rFonts w:ascii="Times New Roman" w:hAnsi="Times New Roman" w:cs="Times New Roman"/>
          <w:sz w:val="28"/>
          <w:szCs w:val="28"/>
        </w:rPr>
        <w:t xml:space="preserve"> constant (BETA_MODE) to toggle between Beta and Production configurations, enabling a simultaneous, state-wide transition that activates a monetization wall across all </w:t>
      </w:r>
      <w:r w:rsidRPr="004107EB">
        <w:rPr>
          <w:rFonts w:ascii="Times New Roman" w:hAnsi="Times New Roman" w:cs="Times New Roman"/>
          <w:sz w:val="28"/>
          <w:szCs w:val="28"/>
        </w:rPr>
        <w:lastRenderedPageBreak/>
        <w:t>tenant schemas without altering underlying code paths. This kill switch pattern offers a seamless shift from open beta access to tiered, paid access, ensuring scalability and business model flexibility. Complementary privacy layers, such as an Encrypted View system with hashed display formats, provide additional visual data protection, while rigorous testing and validation infrastructure guarantees system reliability and cryptographic integrity.</w:t>
      </w:r>
    </w:p>
    <w:p w14:paraId="5863EC47" w14:textId="4134A143"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sz w:val="28"/>
          <w:szCs w:val="28"/>
        </w:rPr>
        <w:t>In summary, Tableicity redefines equity management by delivering a secure, scalable, and user-centric platform that empowers founders and stakeholders with unprecedented control over their sensitive data. The invention addresses the privacy, security, and compliance challenges of traditional systems, offering a transformative solution that sets a new standard for trust and efficiency in the fintech landscape.</w:t>
      </w:r>
    </w:p>
    <w:p w14:paraId="42BAA6C4" w14:textId="77777777" w:rsidR="004107EB" w:rsidRDefault="004107EB" w:rsidP="00E87160">
      <w:pPr>
        <w:ind w:firstLine="720"/>
        <w:rPr>
          <w:rFonts w:ascii="Times New Roman" w:hAnsi="Times New Roman" w:cs="Times New Roman"/>
          <w:sz w:val="28"/>
          <w:szCs w:val="28"/>
        </w:rPr>
      </w:pPr>
    </w:p>
    <w:p w14:paraId="7696324E" w14:textId="158DB598" w:rsidR="00EF1124" w:rsidRDefault="004107EB" w:rsidP="00EF1124">
      <w:pPr>
        <w:ind w:firstLine="720"/>
        <w:jc w:val="center"/>
        <w:rPr>
          <w:rFonts w:ascii="Times New Roman" w:hAnsi="Times New Roman" w:cs="Times New Roman"/>
          <w:b/>
          <w:bCs/>
          <w:sz w:val="28"/>
          <w:szCs w:val="28"/>
        </w:rPr>
      </w:pPr>
      <w:r w:rsidRPr="004107EB">
        <w:rPr>
          <w:rFonts w:ascii="Times New Roman" w:hAnsi="Times New Roman" w:cs="Times New Roman"/>
          <w:b/>
          <w:bCs/>
          <w:sz w:val="28"/>
          <w:szCs w:val="28"/>
        </w:rPr>
        <w:t>Beginning of Section: Detailed Description</w:t>
      </w:r>
    </w:p>
    <w:p w14:paraId="00005105" w14:textId="28D6DAD1"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b/>
          <w:bCs/>
          <w:sz w:val="28"/>
          <w:szCs w:val="28"/>
        </w:rPr>
        <w:t>Detailed Description</w:t>
      </w:r>
    </w:p>
    <w:p w14:paraId="4A3D33ED" w14:textId="09D65ED2" w:rsidR="004107EB" w:rsidRDefault="004107EB" w:rsidP="00EF1124">
      <w:pPr>
        <w:rPr>
          <w:rFonts w:ascii="Times New Roman" w:hAnsi="Times New Roman" w:cs="Times New Roman"/>
          <w:sz w:val="28"/>
          <w:szCs w:val="28"/>
        </w:rPr>
      </w:pPr>
      <w:r w:rsidRPr="004107EB">
        <w:rPr>
          <w:rFonts w:ascii="Times New Roman" w:hAnsi="Times New Roman" w:cs="Times New Roman"/>
          <w:sz w:val="28"/>
          <w:szCs w:val="28"/>
        </w:rPr>
        <w:t>The present invention, Tableicity, provides a privacy-first equity management platform utilizing a Schema-per-Tenant isolation architecture to ensure complete cryptographic separation of stakeholder data. The system features a functional Sandbox environment allowing for atomic-metered Zero-Knowledge (ZK) proof generation using identical NOIR circuit constraints as the production environment. Access and monetization are managed via a computationally invariant four-gate middleware, controlled by a global Dual-Configuration Feature Gate that allows for a simultaneous, state-wide transition between Beta and Production configurations without modification to the underlying code paths.</w:t>
      </w:r>
    </w:p>
    <w:p w14:paraId="119B20D7" w14:textId="78B9FC05"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b/>
          <w:bCs/>
          <w:sz w:val="28"/>
          <w:szCs w:val="28"/>
        </w:rPr>
        <w:t>1. Overview of the System Architecture</w:t>
      </w:r>
    </w:p>
    <w:p w14:paraId="18EE50DD" w14:textId="75CB4175" w:rsidR="004107EB" w:rsidRDefault="004107EB" w:rsidP="00EF1124">
      <w:pPr>
        <w:rPr>
          <w:rFonts w:ascii="Times New Roman" w:hAnsi="Times New Roman" w:cs="Times New Roman"/>
          <w:sz w:val="28"/>
          <w:szCs w:val="28"/>
        </w:rPr>
      </w:pPr>
      <w:r w:rsidRPr="004107EB">
        <w:rPr>
          <w:rFonts w:ascii="Times New Roman" w:hAnsi="Times New Roman" w:cs="Times New Roman"/>
          <w:sz w:val="28"/>
          <w:szCs w:val="28"/>
        </w:rPr>
        <w:t xml:space="preserve">Tableicity is designed to address the critical privacy and security gaps in traditional cap table management by introducing a multi-layered, cryptographically secure architecture tailored for private companies, including stealth startups and pre-IPO entities. The system operates as a cloud-native Software-as-a-Service (SaaS) platform, leveraging advanced </w:t>
      </w:r>
      <w:r w:rsidRPr="004107EB">
        <w:rPr>
          <w:rFonts w:ascii="Times New Roman" w:hAnsi="Times New Roman" w:cs="Times New Roman"/>
          <w:sz w:val="28"/>
          <w:szCs w:val="28"/>
        </w:rPr>
        <w:lastRenderedPageBreak/>
        <w:t>infrastructure to deliver scalability, efficiency, and regulatory compliance. At its foundation, Tableicity employs a Schema-per-Tenant isolation architecture, implemented through PostgreSQL schemas (e.g., `tenant_{slug}` as defined in `server/</w:t>
      </w:r>
      <w:proofErr w:type="spellStart"/>
      <w:r w:rsidRPr="004107EB">
        <w:rPr>
          <w:rFonts w:ascii="Times New Roman" w:hAnsi="Times New Roman" w:cs="Times New Roman"/>
          <w:sz w:val="28"/>
          <w:szCs w:val="28"/>
        </w:rPr>
        <w:t>tenant.ts</w:t>
      </w:r>
      <w:proofErr w:type="spellEnd"/>
      <w:r w:rsidRPr="004107EB">
        <w:rPr>
          <w:rFonts w:ascii="Times New Roman" w:hAnsi="Times New Roman" w:cs="Times New Roman"/>
          <w:sz w:val="28"/>
          <w:szCs w:val="28"/>
        </w:rPr>
        <w:t>`), ensuring that each tenant’s data—such as equity records, stakeholder identities, and transaction details—resides in a dedicated, isolated database schema. This design prevents cross-tenant data leakage, a significant risk in conventional multi-tenant systems, and aligns with stringent data residency requirements such as those imposed by GDPR in the European Union.</w:t>
      </w:r>
    </w:p>
    <w:p w14:paraId="5EABA5D5" w14:textId="743690A0"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sz w:val="28"/>
          <w:szCs w:val="28"/>
        </w:rPr>
        <w:t>The system’s architecture is composed of multiple functional layers, as detailed in a comprehensive component inventory. These layers include Noir circuits for ZKP generation, a server-side proof engine, data schema and storage modules, seeding scripts for onboarding, frontend ZKP interaction pages, privacy mode toggles, and sidebar integrations, spanning 24 specific files across the codebase. Each layer interacts seamlessly through defined API call paths and data flows, ensuring that sensitive operations, such as proof generation and verification, maintain data invisibility even to platform administrators.</w:t>
      </w:r>
    </w:p>
    <w:p w14:paraId="0C7D3A20" w14:textId="114D7401" w:rsidR="004107EB" w:rsidRDefault="004107EB" w:rsidP="00E87160">
      <w:pPr>
        <w:ind w:firstLine="720"/>
        <w:rPr>
          <w:rFonts w:ascii="Times New Roman" w:hAnsi="Times New Roman" w:cs="Times New Roman"/>
          <w:sz w:val="28"/>
          <w:szCs w:val="28"/>
        </w:rPr>
      </w:pPr>
      <w:r w:rsidRPr="004107EB">
        <w:rPr>
          <w:rFonts w:ascii="Times New Roman" w:hAnsi="Times New Roman" w:cs="Times New Roman"/>
          <w:b/>
          <w:bCs/>
          <w:sz w:val="28"/>
          <w:szCs w:val="28"/>
        </w:rPr>
        <w:t>2. Schema-per-Tenant Isolation for Data Security</w:t>
      </w:r>
    </w:p>
    <w:p w14:paraId="5F964A3E" w14:textId="3D915BD8" w:rsidR="004107EB" w:rsidRDefault="004107EB" w:rsidP="00EF1124">
      <w:pPr>
        <w:rPr>
          <w:rFonts w:ascii="Times New Roman" w:hAnsi="Times New Roman" w:cs="Times New Roman"/>
          <w:sz w:val="28"/>
          <w:szCs w:val="28"/>
        </w:rPr>
      </w:pPr>
      <w:r w:rsidRPr="004107EB">
        <w:rPr>
          <w:rFonts w:ascii="Times New Roman" w:hAnsi="Times New Roman" w:cs="Times New Roman"/>
          <w:sz w:val="28"/>
          <w:szCs w:val="28"/>
        </w:rPr>
        <w:t xml:space="preserve">Central to </w:t>
      </w:r>
      <w:proofErr w:type="spellStart"/>
      <w:r w:rsidRPr="004107EB">
        <w:rPr>
          <w:rFonts w:ascii="Times New Roman" w:hAnsi="Times New Roman" w:cs="Times New Roman"/>
          <w:sz w:val="28"/>
          <w:szCs w:val="28"/>
        </w:rPr>
        <w:t>Tableicity’s</w:t>
      </w:r>
      <w:proofErr w:type="spellEnd"/>
      <w:r w:rsidRPr="004107EB">
        <w:rPr>
          <w:rFonts w:ascii="Times New Roman" w:hAnsi="Times New Roman" w:cs="Times New Roman"/>
          <w:sz w:val="28"/>
          <w:szCs w:val="28"/>
        </w:rPr>
        <w:t xml:space="preserve"> security model is the Schema-per-Tenant isolation mechanism, which creates a distinct PostgreSQL schema for each tenant upon account creation (via `CREATE SCHEMA </w:t>
      </w:r>
      <w:proofErr w:type="gramStart"/>
      <w:r w:rsidRPr="004107EB">
        <w:rPr>
          <w:rFonts w:ascii="Times New Roman" w:hAnsi="Times New Roman" w:cs="Times New Roman"/>
          <w:sz w:val="28"/>
          <w:szCs w:val="28"/>
        </w:rPr>
        <w:t>tenant_{</w:t>
      </w:r>
      <w:proofErr w:type="gramEnd"/>
      <w:r w:rsidRPr="004107EB">
        <w:rPr>
          <w:rFonts w:ascii="Times New Roman" w:hAnsi="Times New Roman" w:cs="Times New Roman"/>
          <w:sz w:val="28"/>
          <w:szCs w:val="28"/>
        </w:rPr>
        <w:t>slug}`). This approach, unlike horizontal sharding or shared database models common in legacy platforms, ensures complete cryptographic and logical separation of data. Each schema contains a full set of tables specific to the tenant, including equity records, commitment hashes, and proof usage tracking, preventing any cross-tenant access or data exposure. This isolation is further enforced through tenant-specific middleware (`</w:t>
      </w:r>
      <w:proofErr w:type="spellStart"/>
      <w:r w:rsidRPr="004107EB">
        <w:rPr>
          <w:rFonts w:ascii="Times New Roman" w:hAnsi="Times New Roman" w:cs="Times New Roman"/>
          <w:sz w:val="28"/>
          <w:szCs w:val="28"/>
        </w:rPr>
        <w:t>tenantMiddleware</w:t>
      </w:r>
      <w:proofErr w:type="spellEnd"/>
      <w:r w:rsidRPr="004107EB">
        <w:rPr>
          <w:rFonts w:ascii="Times New Roman" w:hAnsi="Times New Roman" w:cs="Times New Roman"/>
          <w:sz w:val="28"/>
          <w:szCs w:val="28"/>
        </w:rPr>
        <w:t>` in the codebase), which resolves tenant context from session data (stored via `express-session` and `connect-</w:t>
      </w:r>
      <w:proofErr w:type="spellStart"/>
      <w:r w:rsidRPr="004107EB">
        <w:rPr>
          <w:rFonts w:ascii="Times New Roman" w:hAnsi="Times New Roman" w:cs="Times New Roman"/>
          <w:sz w:val="28"/>
          <w:szCs w:val="28"/>
        </w:rPr>
        <w:t>pg</w:t>
      </w:r>
      <w:proofErr w:type="spellEnd"/>
      <w:r w:rsidRPr="004107EB">
        <w:rPr>
          <w:rFonts w:ascii="Times New Roman" w:hAnsi="Times New Roman" w:cs="Times New Roman"/>
          <w:sz w:val="28"/>
          <w:szCs w:val="28"/>
        </w:rPr>
        <w:t>-simple`) and applies defense-in-depth `</w:t>
      </w:r>
      <w:proofErr w:type="spellStart"/>
      <w:r w:rsidRPr="004107EB">
        <w:rPr>
          <w:rFonts w:ascii="Times New Roman" w:hAnsi="Times New Roman" w:cs="Times New Roman"/>
          <w:sz w:val="28"/>
          <w:szCs w:val="28"/>
        </w:rPr>
        <w:t>tenantId</w:t>
      </w:r>
      <w:proofErr w:type="spellEnd"/>
      <w:r w:rsidRPr="004107EB">
        <w:rPr>
          <w:rFonts w:ascii="Times New Roman" w:hAnsi="Times New Roman" w:cs="Times New Roman"/>
          <w:sz w:val="28"/>
          <w:szCs w:val="28"/>
        </w:rPr>
        <w:t xml:space="preserve">` checks to restrict operations to the active schema. </w:t>
      </w:r>
      <w:r w:rsidRPr="004107EB">
        <w:rPr>
          <w:rFonts w:ascii="Times New Roman" w:hAnsi="Times New Roman" w:cs="Times New Roman"/>
          <w:sz w:val="28"/>
          <w:szCs w:val="28"/>
        </w:rPr>
        <w:lastRenderedPageBreak/>
        <w:t>This architecture serves as a critical “storage moat,” providing a robust defense against unauthorized access and aligning with regulatory mandates for data protection.</w:t>
      </w:r>
    </w:p>
    <w:p w14:paraId="71D8C0E8" w14:textId="183D2CE0" w:rsidR="00EF1AE3" w:rsidRPr="00EF1AE3" w:rsidRDefault="00EF1AE3" w:rsidP="00E87160">
      <w:pPr>
        <w:ind w:firstLine="720"/>
        <w:rPr>
          <w:rFonts w:ascii="Times New Roman" w:hAnsi="Times New Roman" w:cs="Times New Roman"/>
          <w:b/>
          <w:bCs/>
          <w:sz w:val="28"/>
          <w:szCs w:val="28"/>
        </w:rPr>
      </w:pPr>
      <w:r w:rsidRPr="00EF1AE3">
        <w:rPr>
          <w:rFonts w:ascii="Times New Roman" w:hAnsi="Times New Roman" w:cs="Times New Roman"/>
          <w:b/>
          <w:bCs/>
          <w:sz w:val="28"/>
          <w:szCs w:val="28"/>
        </w:rPr>
        <w:t xml:space="preserve">3. Zero-Knowledge Proofs via NOIR Circuit Framework </w:t>
      </w:r>
    </w:p>
    <w:p w14:paraId="746D2D12" w14:textId="1540CBD7" w:rsidR="00EF1AE3" w:rsidRDefault="00EF1AE3" w:rsidP="00EF1124">
      <w:pPr>
        <w:rPr>
          <w:rFonts w:ascii="Times New Roman" w:hAnsi="Times New Roman" w:cs="Times New Roman"/>
          <w:sz w:val="28"/>
          <w:szCs w:val="28"/>
        </w:rPr>
      </w:pPr>
      <w:r w:rsidRPr="00EF1AE3">
        <w:rPr>
          <w:rFonts w:ascii="Times New Roman" w:hAnsi="Times New Roman" w:cs="Times New Roman"/>
          <w:sz w:val="28"/>
          <w:szCs w:val="28"/>
        </w:rPr>
        <w:t>Tableicity revolutionizes equity management by integrating Zero-Knowledge Proofs (ZKPs) through the NOIR circuit framework, enabling privacy-preserving operations on sensitive data. The system processes equity data—such as ownership percentages or transfer validity—into cryptographic commitments without exposing raw information, even during verification. NOIR operates primarily on the server-side (contrary to initial assumptions of client-side processing), as detailed in the codebase (`proof-</w:t>
      </w:r>
      <w:proofErr w:type="spellStart"/>
      <w:r w:rsidRPr="00EF1AE3">
        <w:rPr>
          <w:rFonts w:ascii="Times New Roman" w:hAnsi="Times New Roman" w:cs="Times New Roman"/>
          <w:sz w:val="28"/>
          <w:szCs w:val="28"/>
        </w:rPr>
        <w:t>service.ts</w:t>
      </w:r>
      <w:proofErr w:type="spellEnd"/>
      <w:r w:rsidRPr="00EF1AE3">
        <w:rPr>
          <w:rFonts w:ascii="Times New Roman" w:hAnsi="Times New Roman" w:cs="Times New Roman"/>
          <w:sz w:val="28"/>
          <w:szCs w:val="28"/>
        </w:rPr>
        <w:t xml:space="preserve">`), for reasons including private input containment, large circuit artifact sizes, and WASM memory management constraints. The process involves a five-stage data transformation pipeline: raw cap table record to salt generation (32-byte random salts), SHA-256 commitment hash for fast integrity, Pedersen commitment for circuit compatibility (using the </w:t>
      </w:r>
      <w:proofErr w:type="spellStart"/>
      <w:r w:rsidRPr="00EF1AE3">
        <w:rPr>
          <w:rFonts w:ascii="Times New Roman" w:hAnsi="Times New Roman" w:cs="Times New Roman"/>
          <w:sz w:val="28"/>
          <w:szCs w:val="28"/>
        </w:rPr>
        <w:t>Grumpkin</w:t>
      </w:r>
      <w:proofErr w:type="spellEnd"/>
      <w:r w:rsidRPr="00EF1AE3">
        <w:rPr>
          <w:rFonts w:ascii="Times New Roman" w:hAnsi="Times New Roman" w:cs="Times New Roman"/>
          <w:sz w:val="28"/>
          <w:szCs w:val="28"/>
        </w:rPr>
        <w:t xml:space="preserve"> curve for binding and hiding properties), and finally, stored state in the database.</w:t>
      </w:r>
    </w:p>
    <w:p w14:paraId="3B04C048" w14:textId="173D06E0"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Two primary Noir circuits underpin this functionality: `</w:t>
      </w:r>
      <w:proofErr w:type="spellStart"/>
      <w:r w:rsidRPr="00EF1AE3">
        <w:rPr>
          <w:rFonts w:ascii="Times New Roman" w:hAnsi="Times New Roman" w:cs="Times New Roman"/>
          <w:sz w:val="28"/>
          <w:szCs w:val="28"/>
        </w:rPr>
        <w:t>test_hash</w:t>
      </w:r>
      <w:proofErr w:type="spellEnd"/>
      <w:r w:rsidRPr="00EF1AE3">
        <w:rPr>
          <w:rFonts w:ascii="Times New Roman" w:hAnsi="Times New Roman" w:cs="Times New Roman"/>
          <w:sz w:val="28"/>
          <w:szCs w:val="28"/>
        </w:rPr>
        <w:t>` for commitment validation and `</w:t>
      </w:r>
      <w:proofErr w:type="spellStart"/>
      <w:r w:rsidRPr="00EF1AE3">
        <w:rPr>
          <w:rFonts w:ascii="Times New Roman" w:hAnsi="Times New Roman" w:cs="Times New Roman"/>
          <w:sz w:val="28"/>
          <w:szCs w:val="28"/>
        </w:rPr>
        <w:t>ownership_threshold</w:t>
      </w:r>
      <w:proofErr w:type="spellEnd"/>
      <w:r w:rsidRPr="00EF1AE3">
        <w:rPr>
          <w:rFonts w:ascii="Times New Roman" w:hAnsi="Times New Roman" w:cs="Times New Roman"/>
          <w:sz w:val="28"/>
          <w:szCs w:val="28"/>
        </w:rPr>
        <w:t xml:space="preserve">` for enforcing integrity and threshold comparisons (e.g., verifying if a stakeholder owns at least a specified percentage), leveraging mathematical constraints like the Discrete Logarithm Problem and u64 limits. Proof generation employs the </w:t>
      </w:r>
      <w:proofErr w:type="spellStart"/>
      <w:r w:rsidRPr="00EF1AE3">
        <w:rPr>
          <w:rFonts w:ascii="Times New Roman" w:hAnsi="Times New Roman" w:cs="Times New Roman"/>
          <w:sz w:val="28"/>
          <w:szCs w:val="28"/>
        </w:rPr>
        <w:t>UltraHonk</w:t>
      </w:r>
      <w:proofErr w:type="spellEnd"/>
      <w:r w:rsidRPr="00EF1AE3">
        <w:rPr>
          <w:rFonts w:ascii="Times New Roman" w:hAnsi="Times New Roman" w:cs="Times New Roman"/>
          <w:sz w:val="28"/>
          <w:szCs w:val="28"/>
        </w:rPr>
        <w:t xml:space="preserve"> protocol, with performance optimizations such as circuit caching and </w:t>
      </w:r>
      <w:proofErr w:type="spellStart"/>
      <w:r w:rsidRPr="00EF1AE3">
        <w:rPr>
          <w:rFonts w:ascii="Times New Roman" w:hAnsi="Times New Roman" w:cs="Times New Roman"/>
          <w:sz w:val="28"/>
          <w:szCs w:val="28"/>
        </w:rPr>
        <w:t>TanStack</w:t>
      </w:r>
      <w:proofErr w:type="spellEnd"/>
      <w:r w:rsidRPr="00EF1AE3">
        <w:rPr>
          <w:rFonts w:ascii="Times New Roman" w:hAnsi="Times New Roman" w:cs="Times New Roman"/>
          <w:sz w:val="28"/>
          <w:szCs w:val="28"/>
        </w:rPr>
        <w:t xml:space="preserve"> Query caching to ensure scalability for a growing user base. Security measures, including tamper resistance and UUID unpredictability, protect proof integrity, while verification is offered through dual paths: internal cryptographic re-verification (via WASM pairing checks for authenticated users) and public status-based lookups (unauthenticated, efficient endpoint in `proof-</w:t>
      </w:r>
      <w:proofErr w:type="spellStart"/>
      <w:r w:rsidRPr="00EF1AE3">
        <w:rPr>
          <w:rFonts w:ascii="Times New Roman" w:hAnsi="Times New Roman" w:cs="Times New Roman"/>
          <w:sz w:val="28"/>
          <w:szCs w:val="28"/>
        </w:rPr>
        <w:t>routes.ts</w:t>
      </w:r>
      <w:proofErr w:type="spellEnd"/>
      <w:r w:rsidRPr="00EF1AE3">
        <w:rPr>
          <w:rFonts w:ascii="Times New Roman" w:hAnsi="Times New Roman" w:cs="Times New Roman"/>
          <w:sz w:val="28"/>
          <w:szCs w:val="28"/>
        </w:rPr>
        <w:t>` with CORS and rate limiting). This ZKP system ensures that sensitive data remains invisible, addressing a core deficiency in traditional platforms like Carta, where data exposure is a persistent risk.</w:t>
      </w:r>
    </w:p>
    <w:p w14:paraId="75F80E5E" w14:textId="53911884"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b/>
          <w:bCs/>
          <w:sz w:val="28"/>
          <w:szCs w:val="28"/>
        </w:rPr>
        <w:lastRenderedPageBreak/>
        <w:t>4. Functional Seeded Sandbox for User Onboarding</w:t>
      </w:r>
    </w:p>
    <w:p w14:paraId="0F30ECED" w14:textId="0582620C"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 xml:space="preserve">Tableicity introduces a novel Seeded Sandbox environment designed to facilitate user onboarding by providing a controlled, simulated cap table management experience that builds trust in the platform’s </w:t>
      </w:r>
      <w:proofErr w:type="gramStart"/>
      <w:r w:rsidRPr="00EF1AE3">
        <w:rPr>
          <w:rFonts w:ascii="Times New Roman" w:hAnsi="Times New Roman" w:cs="Times New Roman"/>
          <w:sz w:val="28"/>
          <w:szCs w:val="28"/>
        </w:rPr>
        <w:t>privacy-first</w:t>
      </w:r>
      <w:proofErr w:type="gramEnd"/>
      <w:r w:rsidRPr="00EF1AE3">
        <w:rPr>
          <w:rFonts w:ascii="Times New Roman" w:hAnsi="Times New Roman" w:cs="Times New Roman"/>
          <w:sz w:val="28"/>
          <w:szCs w:val="28"/>
        </w:rPr>
        <w:t xml:space="preserve"> model. This feature is particularly critical for stealth startups and pre-IPO companies unfamiliar with advanced cryptographic technologies like Zero-Knowledge Proofs (ZKPs). The Sandbox, implemented via the `</w:t>
      </w:r>
      <w:proofErr w:type="spellStart"/>
      <w:proofErr w:type="gramStart"/>
      <w:r w:rsidRPr="00EF1AE3">
        <w:rPr>
          <w:rFonts w:ascii="Times New Roman" w:hAnsi="Times New Roman" w:cs="Times New Roman"/>
          <w:sz w:val="28"/>
          <w:szCs w:val="28"/>
        </w:rPr>
        <w:t>seedZkpData</w:t>
      </w:r>
      <w:proofErr w:type="spellEnd"/>
      <w:r w:rsidRPr="00EF1AE3">
        <w:rPr>
          <w:rFonts w:ascii="Times New Roman" w:hAnsi="Times New Roman" w:cs="Times New Roman"/>
          <w:sz w:val="28"/>
          <w:szCs w:val="28"/>
        </w:rPr>
        <w:t>(</w:t>
      </w:r>
      <w:proofErr w:type="gramEnd"/>
      <w:r w:rsidRPr="00EF1AE3">
        <w:rPr>
          <w:rFonts w:ascii="Times New Roman" w:hAnsi="Times New Roman" w:cs="Times New Roman"/>
          <w:sz w:val="28"/>
          <w:szCs w:val="28"/>
        </w:rPr>
        <w:t xml:space="preserve">)` function in the codebase, seeds mock equity data (e.g., 4 securities with random 32-byte salts and SHA-256 commitment hashes) into a tenant’s isolated schema upon account creation. This mock data mirrors realistic cap table structures, allowing users to interact with the system’s privacy features without risking exposure </w:t>
      </w:r>
      <w:proofErr w:type="gramStart"/>
      <w:r w:rsidRPr="00EF1AE3">
        <w:rPr>
          <w:rFonts w:ascii="Times New Roman" w:hAnsi="Times New Roman" w:cs="Times New Roman"/>
          <w:sz w:val="28"/>
          <w:szCs w:val="28"/>
        </w:rPr>
        <w:t>of</w:t>
      </w:r>
      <w:proofErr w:type="gramEnd"/>
      <w:r w:rsidRPr="00EF1AE3">
        <w:rPr>
          <w:rFonts w:ascii="Times New Roman" w:hAnsi="Times New Roman" w:cs="Times New Roman"/>
          <w:sz w:val="28"/>
          <w:szCs w:val="28"/>
        </w:rPr>
        <w:t xml:space="preserve"> real equity information.</w:t>
      </w:r>
    </w:p>
    <w:p w14:paraId="70886025" w14:textId="146E58F2"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A distinguishing aspect of the Sandbox is its ability to support a functional cryptographic trial, where pre-seeded synthetic proofs (identified by a `</w:t>
      </w:r>
      <w:proofErr w:type="spellStart"/>
      <w:r w:rsidRPr="00EF1AE3">
        <w:rPr>
          <w:rFonts w:ascii="Times New Roman" w:hAnsi="Times New Roman" w:cs="Times New Roman"/>
          <w:sz w:val="28"/>
          <w:szCs w:val="28"/>
        </w:rPr>
        <w:t>seed_demo</w:t>
      </w:r>
      <w:proofErr w:type="spellEnd"/>
      <w:r w:rsidRPr="00EF1AE3">
        <w:rPr>
          <w:rFonts w:ascii="Times New Roman" w:hAnsi="Times New Roman" w:cs="Times New Roman"/>
          <w:sz w:val="28"/>
          <w:szCs w:val="28"/>
        </w:rPr>
        <w:t>_` prefix) and live-generated proofs coexist within the same verification pipeline. Synthetic proofs do not require Noir circuit execution, avoiding WASM latency during initial onboarding, while live proofs—limited to a metered allocation (e.g., 10 per month in beta mode as defined in `proof-</w:t>
      </w:r>
      <w:proofErr w:type="spellStart"/>
      <w:r w:rsidRPr="00EF1AE3">
        <w:rPr>
          <w:rFonts w:ascii="Times New Roman" w:hAnsi="Times New Roman" w:cs="Times New Roman"/>
          <w:sz w:val="28"/>
          <w:szCs w:val="28"/>
        </w:rPr>
        <w:t>config.ts</w:t>
      </w:r>
      <w:proofErr w:type="spellEnd"/>
      <w:r w:rsidRPr="00EF1AE3">
        <w:rPr>
          <w:rFonts w:ascii="Times New Roman" w:hAnsi="Times New Roman" w:cs="Times New Roman"/>
          <w:sz w:val="28"/>
          <w:szCs w:val="28"/>
        </w:rPr>
        <w:t xml:space="preserve">`)—utilize real cryptographic operations against seeded data. This allocation is tracked server-side via atomic PostgreSQL </w:t>
      </w:r>
      <w:proofErr w:type="spellStart"/>
      <w:r w:rsidRPr="00EF1AE3">
        <w:rPr>
          <w:rFonts w:ascii="Times New Roman" w:hAnsi="Times New Roman" w:cs="Times New Roman"/>
          <w:sz w:val="28"/>
          <w:szCs w:val="28"/>
        </w:rPr>
        <w:t>upserts</w:t>
      </w:r>
      <w:proofErr w:type="spellEnd"/>
      <w:r w:rsidRPr="00EF1AE3">
        <w:rPr>
          <w:rFonts w:ascii="Times New Roman" w:hAnsi="Times New Roman" w:cs="Times New Roman"/>
          <w:sz w:val="28"/>
          <w:szCs w:val="28"/>
        </w:rPr>
        <w:t xml:space="preserve"> (`</w:t>
      </w:r>
      <w:proofErr w:type="spellStart"/>
      <w:proofErr w:type="gramStart"/>
      <w:r w:rsidRPr="00EF1AE3">
        <w:rPr>
          <w:rFonts w:ascii="Times New Roman" w:hAnsi="Times New Roman" w:cs="Times New Roman"/>
          <w:sz w:val="28"/>
          <w:szCs w:val="28"/>
        </w:rPr>
        <w:t>incrementProofUsage</w:t>
      </w:r>
      <w:proofErr w:type="spellEnd"/>
      <w:r w:rsidRPr="00EF1AE3">
        <w:rPr>
          <w:rFonts w:ascii="Times New Roman" w:hAnsi="Times New Roman" w:cs="Times New Roman"/>
          <w:sz w:val="28"/>
          <w:szCs w:val="28"/>
        </w:rPr>
        <w:t>(</w:t>
      </w:r>
      <w:proofErr w:type="gramEnd"/>
      <w:r w:rsidRPr="00EF1AE3">
        <w:rPr>
          <w:rFonts w:ascii="Times New Roman" w:hAnsi="Times New Roman" w:cs="Times New Roman"/>
          <w:sz w:val="28"/>
          <w:szCs w:val="28"/>
        </w:rPr>
        <w:t>)` in `</w:t>
      </w:r>
      <w:proofErr w:type="spellStart"/>
      <w:r w:rsidRPr="00EF1AE3">
        <w:rPr>
          <w:rFonts w:ascii="Times New Roman" w:hAnsi="Times New Roman" w:cs="Times New Roman"/>
          <w:sz w:val="28"/>
          <w:szCs w:val="28"/>
        </w:rPr>
        <w:t>storage.ts</w:t>
      </w:r>
      <w:proofErr w:type="spellEnd"/>
      <w:r w:rsidRPr="00EF1AE3">
        <w:rPr>
          <w:rFonts w:ascii="Times New Roman" w:hAnsi="Times New Roman" w:cs="Times New Roman"/>
          <w:sz w:val="28"/>
          <w:szCs w:val="28"/>
        </w:rPr>
        <w:t>`), ensuring failed attempts do not deplete the user’s limit, a reliability feature that enhances user experience. The Sandbox operates under identical security constraints as the production environment, with time-to-live (TTL) differences (1 year for demo proofs vs. 72 hours for real proofs) to manage data persistence.</w:t>
      </w:r>
    </w:p>
    <w:p w14:paraId="17B887A2" w14:textId="29DCFA95"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The user journey in the Sandbox includes generating and verifying ZK proofs through a tailored interface, supported by a Security Ritual UX (implemented in `</w:t>
      </w:r>
      <w:proofErr w:type="spellStart"/>
      <w:r w:rsidRPr="00EF1AE3">
        <w:rPr>
          <w:rFonts w:ascii="Times New Roman" w:hAnsi="Times New Roman" w:cs="Times New Roman"/>
          <w:sz w:val="28"/>
          <w:szCs w:val="28"/>
        </w:rPr>
        <w:t>PrivacyVault.tsx</w:t>
      </w:r>
      <w:proofErr w:type="spellEnd"/>
      <w:r w:rsidRPr="00EF1AE3">
        <w:rPr>
          <w:rFonts w:ascii="Times New Roman" w:hAnsi="Times New Roman" w:cs="Times New Roman"/>
          <w:sz w:val="28"/>
          <w:szCs w:val="28"/>
        </w:rPr>
        <w:t>`) that guides users through proof generation with visual feedback (e.g., `</w:t>
      </w:r>
      <w:proofErr w:type="spellStart"/>
      <w:r w:rsidRPr="00EF1AE3">
        <w:rPr>
          <w:rFonts w:ascii="Times New Roman" w:hAnsi="Times New Roman" w:cs="Times New Roman"/>
          <w:sz w:val="28"/>
          <w:szCs w:val="28"/>
        </w:rPr>
        <w:t>requestAnimationFrame</w:t>
      </w:r>
      <w:proofErr w:type="spellEnd"/>
      <w:r w:rsidRPr="00EF1AE3">
        <w:rPr>
          <w:rFonts w:ascii="Times New Roman" w:hAnsi="Times New Roman" w:cs="Times New Roman"/>
          <w:sz w:val="28"/>
          <w:szCs w:val="28"/>
        </w:rPr>
        <w:t xml:space="preserve">`-based animations capped at 98% to indicate near-completion). This onboarding mechanism not only reduces the learning curve but also demonstrates </w:t>
      </w:r>
      <w:r w:rsidRPr="00EF1AE3">
        <w:rPr>
          <w:rFonts w:ascii="Times New Roman" w:hAnsi="Times New Roman" w:cs="Times New Roman"/>
          <w:sz w:val="28"/>
          <w:szCs w:val="28"/>
        </w:rPr>
        <w:lastRenderedPageBreak/>
        <w:t>the system’s mathematical integrity, positioning Tableicity as a unique solution compared to competitors like Carta, who lack interactive, privacy-preserving trial environments.</w:t>
      </w:r>
    </w:p>
    <w:p w14:paraId="2D488AB4" w14:textId="7DA40DEF" w:rsidR="00EF1AE3" w:rsidRPr="00EF1AE3" w:rsidRDefault="00EF1AE3" w:rsidP="00E87160">
      <w:pPr>
        <w:ind w:firstLine="720"/>
        <w:rPr>
          <w:rFonts w:ascii="Times New Roman" w:hAnsi="Times New Roman" w:cs="Times New Roman"/>
          <w:b/>
          <w:bCs/>
          <w:sz w:val="28"/>
          <w:szCs w:val="28"/>
        </w:rPr>
      </w:pPr>
      <w:r w:rsidRPr="00EF1AE3">
        <w:rPr>
          <w:rFonts w:ascii="Times New Roman" w:hAnsi="Times New Roman" w:cs="Times New Roman"/>
          <w:b/>
          <w:bCs/>
          <w:sz w:val="28"/>
          <w:szCs w:val="28"/>
        </w:rPr>
        <w:t xml:space="preserve">5. Dual-Configuration Feature Gating for Access and Monetization </w:t>
      </w:r>
    </w:p>
    <w:p w14:paraId="4D63DAA4" w14:textId="484C2C33"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Tableicity incorporates a sophisticated access control and monetization mechanism through a computationally invariant four-gate middleware architecture, governed by a global Dual-Configuration Feature Gate. This system, detailed in `proof-</w:t>
      </w:r>
      <w:proofErr w:type="spellStart"/>
      <w:r w:rsidRPr="00EF1AE3">
        <w:rPr>
          <w:rFonts w:ascii="Times New Roman" w:hAnsi="Times New Roman" w:cs="Times New Roman"/>
          <w:sz w:val="28"/>
          <w:szCs w:val="28"/>
        </w:rPr>
        <w:t>middleware.ts</w:t>
      </w:r>
      <w:proofErr w:type="spellEnd"/>
      <w:r w:rsidRPr="00EF1AE3">
        <w:rPr>
          <w:rFonts w:ascii="Times New Roman" w:hAnsi="Times New Roman" w:cs="Times New Roman"/>
          <w:sz w:val="28"/>
          <w:szCs w:val="28"/>
        </w:rPr>
        <w:t>` and `proof-</w:t>
      </w:r>
      <w:proofErr w:type="spellStart"/>
      <w:r w:rsidRPr="00EF1AE3">
        <w:rPr>
          <w:rFonts w:ascii="Times New Roman" w:hAnsi="Times New Roman" w:cs="Times New Roman"/>
          <w:sz w:val="28"/>
          <w:szCs w:val="28"/>
        </w:rPr>
        <w:t>config.ts</w:t>
      </w:r>
      <w:proofErr w:type="spellEnd"/>
      <w:r w:rsidRPr="00EF1AE3">
        <w:rPr>
          <w:rFonts w:ascii="Times New Roman" w:hAnsi="Times New Roman" w:cs="Times New Roman"/>
          <w:sz w:val="28"/>
          <w:szCs w:val="28"/>
        </w:rPr>
        <w:t>`, manages user permissions and billing for ZKP generation and verification events. The middleware operates through four distinct gates: a frontend feature flag to enable/disable UI elements, a server-side tier configuration check (based on tenant plan), the `</w:t>
      </w:r>
      <w:proofErr w:type="spellStart"/>
      <w:r w:rsidRPr="00EF1AE3">
        <w:rPr>
          <w:rFonts w:ascii="Times New Roman" w:hAnsi="Times New Roman" w:cs="Times New Roman"/>
          <w:sz w:val="28"/>
          <w:szCs w:val="28"/>
        </w:rPr>
        <w:t>checkProofAccess</w:t>
      </w:r>
      <w:proofErr w:type="spellEnd"/>
      <w:r w:rsidRPr="00EF1AE3">
        <w:rPr>
          <w:rFonts w:ascii="Times New Roman" w:hAnsi="Times New Roman" w:cs="Times New Roman"/>
          <w:sz w:val="28"/>
          <w:szCs w:val="28"/>
        </w:rPr>
        <w:t xml:space="preserve">` middleware to enforce limits, and race-condition-proof usage tracking via atomic PostgreSQL </w:t>
      </w:r>
      <w:proofErr w:type="spellStart"/>
      <w:r w:rsidRPr="00EF1AE3">
        <w:rPr>
          <w:rFonts w:ascii="Times New Roman" w:hAnsi="Times New Roman" w:cs="Times New Roman"/>
          <w:sz w:val="28"/>
          <w:szCs w:val="28"/>
        </w:rPr>
        <w:t>upserts</w:t>
      </w:r>
      <w:proofErr w:type="spellEnd"/>
      <w:r w:rsidRPr="00EF1AE3">
        <w:rPr>
          <w:rFonts w:ascii="Times New Roman" w:hAnsi="Times New Roman" w:cs="Times New Roman"/>
          <w:sz w:val="28"/>
          <w:szCs w:val="28"/>
        </w:rPr>
        <w:t xml:space="preserve"> (`INSERT ... ON CONFLICT DO UPDATE` in `</w:t>
      </w:r>
      <w:proofErr w:type="spellStart"/>
      <w:r w:rsidRPr="00EF1AE3">
        <w:rPr>
          <w:rFonts w:ascii="Times New Roman" w:hAnsi="Times New Roman" w:cs="Times New Roman"/>
          <w:sz w:val="28"/>
          <w:szCs w:val="28"/>
        </w:rPr>
        <w:t>storage.ts</w:t>
      </w:r>
      <w:proofErr w:type="spellEnd"/>
      <w:r w:rsidRPr="00EF1AE3">
        <w:rPr>
          <w:rFonts w:ascii="Times New Roman" w:hAnsi="Times New Roman" w:cs="Times New Roman"/>
          <w:sz w:val="28"/>
          <w:szCs w:val="28"/>
        </w:rPr>
        <w:t xml:space="preserve">`). This ensures that only successful proof generations </w:t>
      </w:r>
      <w:proofErr w:type="gramStart"/>
      <w:r w:rsidRPr="00EF1AE3">
        <w:rPr>
          <w:rFonts w:ascii="Times New Roman" w:hAnsi="Times New Roman" w:cs="Times New Roman"/>
          <w:sz w:val="28"/>
          <w:szCs w:val="28"/>
        </w:rPr>
        <w:t>increment</w:t>
      </w:r>
      <w:proofErr w:type="gramEnd"/>
      <w:r w:rsidRPr="00EF1AE3">
        <w:rPr>
          <w:rFonts w:ascii="Times New Roman" w:hAnsi="Times New Roman" w:cs="Times New Roman"/>
          <w:sz w:val="28"/>
          <w:szCs w:val="28"/>
        </w:rPr>
        <w:t xml:space="preserve"> the </w:t>
      </w:r>
      <w:proofErr w:type="gramStart"/>
      <w:r w:rsidRPr="00EF1AE3">
        <w:rPr>
          <w:rFonts w:ascii="Times New Roman" w:hAnsi="Times New Roman" w:cs="Times New Roman"/>
          <w:sz w:val="28"/>
          <w:szCs w:val="28"/>
        </w:rPr>
        <w:t>usage</w:t>
      </w:r>
      <w:proofErr w:type="gramEnd"/>
      <w:r w:rsidRPr="00EF1AE3">
        <w:rPr>
          <w:rFonts w:ascii="Times New Roman" w:hAnsi="Times New Roman" w:cs="Times New Roman"/>
          <w:sz w:val="28"/>
          <w:szCs w:val="28"/>
        </w:rPr>
        <w:t xml:space="preserve"> meter, protecting users from penalties for system failures.</w:t>
      </w:r>
    </w:p>
    <w:p w14:paraId="400F3C34" w14:textId="227FFF4A"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 xml:space="preserve">Central to this mechanism is a single compile-time </w:t>
      </w:r>
      <w:proofErr w:type="spellStart"/>
      <w:r w:rsidRPr="00EF1AE3">
        <w:rPr>
          <w:rFonts w:ascii="Times New Roman" w:hAnsi="Times New Roman" w:cs="Times New Roman"/>
          <w:sz w:val="28"/>
          <w:szCs w:val="28"/>
        </w:rPr>
        <w:t>boolean</w:t>
      </w:r>
      <w:proofErr w:type="spellEnd"/>
      <w:r w:rsidRPr="00EF1AE3">
        <w:rPr>
          <w:rFonts w:ascii="Times New Roman" w:hAnsi="Times New Roman" w:cs="Times New Roman"/>
          <w:sz w:val="28"/>
          <w:szCs w:val="28"/>
        </w:rPr>
        <w:t xml:space="preserve"> constant, `BETA_MODE` (set to `true` or `false` on line 7 of `proof-</w:t>
      </w:r>
      <w:proofErr w:type="spellStart"/>
      <w:r w:rsidRPr="00EF1AE3">
        <w:rPr>
          <w:rFonts w:ascii="Times New Roman" w:hAnsi="Times New Roman" w:cs="Times New Roman"/>
          <w:sz w:val="28"/>
          <w:szCs w:val="28"/>
        </w:rPr>
        <w:t>config.ts</w:t>
      </w:r>
      <w:proofErr w:type="spellEnd"/>
      <w:r w:rsidRPr="00EF1AE3">
        <w:rPr>
          <w:rFonts w:ascii="Times New Roman" w:hAnsi="Times New Roman" w:cs="Times New Roman"/>
          <w:sz w:val="28"/>
          <w:szCs w:val="28"/>
        </w:rPr>
        <w:t>`), which toggles the permission matrix between Beta and Production configurations. In Beta mode, all tiers have access to a set allocation (e.g., 10 proofs/month), while in Production mode, access is restricted to paid tiers based on subscription levels (`PROOF_TIER_BETA` vs. `PROOF_TIER_PRODUCTION` in `proof-</w:t>
      </w:r>
      <w:proofErr w:type="spellStart"/>
      <w:r w:rsidRPr="00EF1AE3">
        <w:rPr>
          <w:rFonts w:ascii="Times New Roman" w:hAnsi="Times New Roman" w:cs="Times New Roman"/>
          <w:sz w:val="28"/>
          <w:szCs w:val="28"/>
        </w:rPr>
        <w:t>config.ts</w:t>
      </w:r>
      <w:proofErr w:type="spellEnd"/>
      <w:r w:rsidRPr="00EF1AE3">
        <w:rPr>
          <w:rFonts w:ascii="Times New Roman" w:hAnsi="Times New Roman" w:cs="Times New Roman"/>
          <w:sz w:val="28"/>
          <w:szCs w:val="28"/>
        </w:rPr>
        <w:t>`). The middleware remains invariant, executing identical logic paths regardless of mode, with only the tier-limit data retrieved changing based on the `BETA_MODE` flag at module load time. This “kill switch” pattern enables a simultaneous, state-wide transition across all tenant schemas without code modifications, deployment differences, or per-tenant migrations, activating a monetization wall instantly when switched to Production mode. This innovative approach to SaaS monetization provides scalability and flexibility, distinguishing Tableicity from traditional equity management platforms.</w:t>
      </w:r>
    </w:p>
    <w:p w14:paraId="4557059E" w14:textId="77777777" w:rsidR="00EF1124" w:rsidRDefault="00EF1124" w:rsidP="00E87160">
      <w:pPr>
        <w:ind w:firstLine="720"/>
        <w:rPr>
          <w:rFonts w:ascii="Times New Roman" w:hAnsi="Times New Roman" w:cs="Times New Roman"/>
          <w:sz w:val="28"/>
          <w:szCs w:val="28"/>
        </w:rPr>
      </w:pPr>
    </w:p>
    <w:p w14:paraId="5F8ED4B1" w14:textId="061A9B11"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b/>
          <w:bCs/>
          <w:sz w:val="28"/>
          <w:szCs w:val="28"/>
        </w:rPr>
        <w:lastRenderedPageBreak/>
        <w:t>6. Complementary Privacy Layers with Encrypted View System</w:t>
      </w:r>
    </w:p>
    <w:p w14:paraId="01303455" w14:textId="0DD28040" w:rsidR="00EF1AE3" w:rsidRDefault="00EF1AE3" w:rsidP="00EF1124">
      <w:pPr>
        <w:rPr>
          <w:rFonts w:ascii="Times New Roman" w:hAnsi="Times New Roman" w:cs="Times New Roman"/>
          <w:sz w:val="28"/>
          <w:szCs w:val="28"/>
        </w:rPr>
      </w:pPr>
      <w:r w:rsidRPr="00EF1AE3">
        <w:rPr>
          <w:rFonts w:ascii="Times New Roman" w:hAnsi="Times New Roman" w:cs="Times New Roman"/>
          <w:sz w:val="28"/>
          <w:szCs w:val="28"/>
        </w:rPr>
        <w:t>Beyond ZKPs and schema isolation, Tableicity implements a complementary privacy layer through an Encrypted View system to further protect sensitive data during user interactions. This system, integrated into the frontend (`</w:t>
      </w:r>
      <w:proofErr w:type="spellStart"/>
      <w:r w:rsidRPr="00EF1AE3">
        <w:rPr>
          <w:rFonts w:ascii="Times New Roman" w:hAnsi="Times New Roman" w:cs="Times New Roman"/>
          <w:sz w:val="28"/>
          <w:szCs w:val="28"/>
        </w:rPr>
        <w:t>PrivacyModeToggle.tsx</w:t>
      </w:r>
      <w:proofErr w:type="spellEnd"/>
      <w:r w:rsidRPr="00EF1AE3">
        <w:rPr>
          <w:rFonts w:ascii="Times New Roman" w:hAnsi="Times New Roman" w:cs="Times New Roman"/>
          <w:sz w:val="28"/>
          <w:szCs w:val="28"/>
        </w:rPr>
        <w:t>`), employs HMAC-SHA-256 hashing with `</w:t>
      </w:r>
      <w:proofErr w:type="spellStart"/>
      <w:r w:rsidRPr="00EF1AE3">
        <w:rPr>
          <w:rFonts w:ascii="Times New Roman" w:hAnsi="Times New Roman" w:cs="Times New Roman"/>
          <w:sz w:val="28"/>
          <w:szCs w:val="28"/>
        </w:rPr>
        <w:t>companyId</w:t>
      </w:r>
      <w:proofErr w:type="spellEnd"/>
      <w:r w:rsidRPr="00EF1AE3">
        <w:rPr>
          <w:rFonts w:ascii="Times New Roman" w:hAnsi="Times New Roman" w:cs="Times New Roman"/>
          <w:sz w:val="28"/>
          <w:szCs w:val="28"/>
        </w:rPr>
        <w:t>` as the key to obscure displayed data (e.g., stakeholder identities or share counts) in visual interfaces. It features truncated display formats and custom privacy labels (e.g., `XXXX-XXXX` with an unambiguous charset), adhering to a display priority chain (label &gt; hash &gt; placeholder) to balance usability and security. Toggle persistence is managed via `</w:t>
      </w:r>
      <w:proofErr w:type="spellStart"/>
      <w:r w:rsidRPr="00EF1AE3">
        <w:rPr>
          <w:rFonts w:ascii="Times New Roman" w:hAnsi="Times New Roman" w:cs="Times New Roman"/>
          <w:sz w:val="28"/>
          <w:szCs w:val="28"/>
        </w:rPr>
        <w:t>localStorage</w:t>
      </w:r>
      <w:proofErr w:type="spellEnd"/>
      <w:r w:rsidRPr="00EF1AE3">
        <w:rPr>
          <w:rFonts w:ascii="Times New Roman" w:hAnsi="Times New Roman" w:cs="Times New Roman"/>
          <w:sz w:val="28"/>
          <w:szCs w:val="28"/>
        </w:rPr>
        <w:t>`, and role-based access control dictates visibility (e.g., staff can view, admins can edit), ensuring granular protection.</w:t>
      </w:r>
    </w:p>
    <w:p w14:paraId="3F2ADE3D" w14:textId="237ACB42"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 xml:space="preserve">This Encrypted View operates as part of a three-layer privacy stack alongside Schema-per-Tenant Isolation and ZKP verification, each addressing distinct threat vectors (e.g., database leaks, visual exposure, data processing). The combined user journey—from login to proof generation—ensures data remains protected at every interaction point, with no coupling between layers to maintain separation. This multi-layered approach enhances </w:t>
      </w:r>
      <w:proofErr w:type="spellStart"/>
      <w:r w:rsidRPr="00EF1AE3">
        <w:rPr>
          <w:rFonts w:ascii="Times New Roman" w:hAnsi="Times New Roman" w:cs="Times New Roman"/>
          <w:sz w:val="28"/>
          <w:szCs w:val="28"/>
        </w:rPr>
        <w:t>Tableicity’s</w:t>
      </w:r>
      <w:proofErr w:type="spellEnd"/>
      <w:r w:rsidRPr="00EF1AE3">
        <w:rPr>
          <w:rFonts w:ascii="Times New Roman" w:hAnsi="Times New Roman" w:cs="Times New Roman"/>
          <w:sz w:val="28"/>
          <w:szCs w:val="28"/>
        </w:rPr>
        <w:t xml:space="preserve"> defensibility against data exposure risks prevalent in centralized systems like Carta.</w:t>
      </w:r>
    </w:p>
    <w:p w14:paraId="6749249D" w14:textId="05378AC1" w:rsidR="00EF1AE3" w:rsidRPr="00EF1AE3" w:rsidRDefault="00EF1AE3" w:rsidP="00E87160">
      <w:pPr>
        <w:ind w:firstLine="720"/>
        <w:rPr>
          <w:rFonts w:ascii="Times New Roman" w:hAnsi="Times New Roman" w:cs="Times New Roman"/>
          <w:b/>
          <w:bCs/>
          <w:sz w:val="28"/>
          <w:szCs w:val="28"/>
        </w:rPr>
      </w:pPr>
      <w:r w:rsidRPr="00EF1AE3">
        <w:rPr>
          <w:rFonts w:ascii="Times New Roman" w:hAnsi="Times New Roman" w:cs="Times New Roman"/>
          <w:b/>
          <w:bCs/>
          <w:sz w:val="28"/>
          <w:szCs w:val="28"/>
        </w:rPr>
        <w:t>7. Testing and Validation Infrastructure for System Reliability</w:t>
      </w:r>
    </w:p>
    <w:p w14:paraId="702C32D7" w14:textId="41C96C36" w:rsidR="00EF1AE3" w:rsidRDefault="00EF1AE3" w:rsidP="00EF1124">
      <w:pPr>
        <w:rPr>
          <w:rFonts w:ascii="Times New Roman" w:hAnsi="Times New Roman" w:cs="Times New Roman"/>
          <w:sz w:val="28"/>
          <w:szCs w:val="28"/>
        </w:rPr>
      </w:pPr>
      <w:r w:rsidRPr="00EF1AE3">
        <w:rPr>
          <w:rFonts w:ascii="Times New Roman" w:hAnsi="Times New Roman" w:cs="Times New Roman"/>
          <w:sz w:val="28"/>
          <w:szCs w:val="28"/>
        </w:rPr>
        <w:t xml:space="preserve">Tableicity incorporates a robust testing and validation infrastructure to ensure the reliability, security, and cryptographic integrity of its privacy-first equity management platform. This infrastructure, detailed in the system documentation, is critical for demonstrating the utility and soundness of the invention to regulatory bodies and potential stakeholders. At the foundational level, a Gate 0 smoke test verifies the </w:t>
      </w:r>
      <w:proofErr w:type="spellStart"/>
      <w:r w:rsidRPr="00EF1AE3">
        <w:rPr>
          <w:rFonts w:ascii="Times New Roman" w:hAnsi="Times New Roman" w:cs="Times New Roman"/>
          <w:sz w:val="28"/>
          <w:szCs w:val="28"/>
        </w:rPr>
        <w:t>NoirJS</w:t>
      </w:r>
      <w:proofErr w:type="spellEnd"/>
      <w:r w:rsidRPr="00EF1AE3">
        <w:rPr>
          <w:rFonts w:ascii="Times New Roman" w:hAnsi="Times New Roman" w:cs="Times New Roman"/>
          <w:sz w:val="28"/>
          <w:szCs w:val="28"/>
        </w:rPr>
        <w:t xml:space="preserve"> pipeline, ensuring the core Zero-Knowledge Proof (ZKP) generation and verification processes function as intended before further integration. This is complemented by a comprehensive 5-test cryptographic unit suite that evaluates key system behaviors, including positive case validation (successful proof generation and verification), rejection </w:t>
      </w:r>
      <w:r w:rsidRPr="00EF1AE3">
        <w:rPr>
          <w:rFonts w:ascii="Times New Roman" w:hAnsi="Times New Roman" w:cs="Times New Roman"/>
          <w:sz w:val="28"/>
          <w:szCs w:val="28"/>
        </w:rPr>
        <w:lastRenderedPageBreak/>
        <w:t>handling (invalid inputs or constraints), mismatch detection (commitment discrepancies), tampering resistance (altered proof rejection), and threshold enforcement (e.g., ownership percentage checks via `</w:t>
      </w:r>
      <w:proofErr w:type="spellStart"/>
      <w:r w:rsidRPr="00EF1AE3">
        <w:rPr>
          <w:rFonts w:ascii="Times New Roman" w:hAnsi="Times New Roman" w:cs="Times New Roman"/>
          <w:sz w:val="28"/>
          <w:szCs w:val="28"/>
        </w:rPr>
        <w:t>ownership_threshold</w:t>
      </w:r>
      <w:proofErr w:type="spellEnd"/>
      <w:r w:rsidRPr="00EF1AE3">
        <w:rPr>
          <w:rFonts w:ascii="Times New Roman" w:hAnsi="Times New Roman" w:cs="Times New Roman"/>
          <w:sz w:val="28"/>
          <w:szCs w:val="28"/>
        </w:rPr>
        <w:t>` circuit).</w:t>
      </w:r>
    </w:p>
    <w:p w14:paraId="2EDDCB71" w14:textId="2E450A2D"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 xml:space="preserve">A security properties table maps these tests to essential cryptographic guarantees: soundness (proofs cannot be faked), binding (commitments cannot be altered post-generation), public input integrity (visible data remains consistent), and completeness (valid inputs always produce verifiable proofs). This rigorous validation framework, implemented across the codebase, underpins </w:t>
      </w:r>
      <w:proofErr w:type="spellStart"/>
      <w:r w:rsidRPr="00EF1AE3">
        <w:rPr>
          <w:rFonts w:ascii="Times New Roman" w:hAnsi="Times New Roman" w:cs="Times New Roman"/>
          <w:sz w:val="28"/>
          <w:szCs w:val="28"/>
        </w:rPr>
        <w:t>Tableicity’s</w:t>
      </w:r>
      <w:proofErr w:type="spellEnd"/>
      <w:r w:rsidRPr="00EF1AE3">
        <w:rPr>
          <w:rFonts w:ascii="Times New Roman" w:hAnsi="Times New Roman" w:cs="Times New Roman"/>
          <w:sz w:val="28"/>
          <w:szCs w:val="28"/>
        </w:rPr>
        <w:t xml:space="preserve"> reliability, distinguishing it from traditional platforms like Carta, where such cryptographic testing is absent due to their lack of ZKP architecture. Additionally, a commitment generation CLI tool allows developers to simulate and debug commitment creation outside the live environment, further ensuring system stability. These testing mechanisms provide concrete evidence of the invention’s operational integrity, supporting patent utility under USPTO requirements.</w:t>
      </w:r>
    </w:p>
    <w:p w14:paraId="2E00D927" w14:textId="0306BD3B" w:rsidR="00EF1AE3" w:rsidRPr="00EF1AE3" w:rsidRDefault="00EF1AE3" w:rsidP="00E87160">
      <w:pPr>
        <w:ind w:firstLine="720"/>
        <w:rPr>
          <w:rFonts w:ascii="Times New Roman" w:hAnsi="Times New Roman" w:cs="Times New Roman"/>
          <w:b/>
          <w:bCs/>
          <w:sz w:val="28"/>
          <w:szCs w:val="28"/>
        </w:rPr>
      </w:pPr>
      <w:r w:rsidRPr="00EF1AE3">
        <w:rPr>
          <w:rFonts w:ascii="Times New Roman" w:hAnsi="Times New Roman" w:cs="Times New Roman"/>
          <w:b/>
          <w:bCs/>
          <w:sz w:val="28"/>
          <w:szCs w:val="28"/>
        </w:rPr>
        <w:t xml:space="preserve">8. System Component Interactions and Data Flow </w:t>
      </w:r>
    </w:p>
    <w:p w14:paraId="6C9CC4F5" w14:textId="12785927" w:rsidR="00EF1AE3" w:rsidRDefault="00EF1AE3" w:rsidP="00E87160">
      <w:pPr>
        <w:ind w:firstLine="720"/>
        <w:rPr>
          <w:rFonts w:ascii="Times New Roman" w:hAnsi="Times New Roman" w:cs="Times New Roman"/>
          <w:sz w:val="28"/>
          <w:szCs w:val="28"/>
        </w:rPr>
      </w:pPr>
      <w:r w:rsidRPr="00EF1AE3">
        <w:rPr>
          <w:rFonts w:ascii="Times New Roman" w:hAnsi="Times New Roman" w:cs="Times New Roman"/>
          <w:sz w:val="28"/>
          <w:szCs w:val="28"/>
        </w:rPr>
        <w:t xml:space="preserve">The seamless operation of </w:t>
      </w:r>
      <w:proofErr w:type="spellStart"/>
      <w:r w:rsidRPr="00EF1AE3">
        <w:rPr>
          <w:rFonts w:ascii="Times New Roman" w:hAnsi="Times New Roman" w:cs="Times New Roman"/>
          <w:sz w:val="28"/>
          <w:szCs w:val="28"/>
        </w:rPr>
        <w:t>Tableicity’s</w:t>
      </w:r>
      <w:proofErr w:type="spellEnd"/>
      <w:r w:rsidRPr="00EF1AE3">
        <w:rPr>
          <w:rFonts w:ascii="Times New Roman" w:hAnsi="Times New Roman" w:cs="Times New Roman"/>
          <w:sz w:val="28"/>
          <w:szCs w:val="28"/>
        </w:rPr>
        <w:t xml:space="preserve"> privacy-first platform relies on well-defined interactions between its multi-layered components, ensuring data invisibility and user sovereignty at every stage. The system is structured across three primary layers: the browser layer (user interface), the server layer (processing and middleware), and the database layer (isolated storage). The browser layer includes four key pages and components (e.g., `</w:t>
      </w:r>
      <w:proofErr w:type="spellStart"/>
      <w:r w:rsidRPr="00EF1AE3">
        <w:rPr>
          <w:rFonts w:ascii="Times New Roman" w:hAnsi="Times New Roman" w:cs="Times New Roman"/>
          <w:sz w:val="28"/>
          <w:szCs w:val="28"/>
        </w:rPr>
        <w:t>PrivacyVault.tsx</w:t>
      </w:r>
      <w:proofErr w:type="spellEnd"/>
      <w:r w:rsidRPr="00EF1AE3">
        <w:rPr>
          <w:rFonts w:ascii="Times New Roman" w:hAnsi="Times New Roman" w:cs="Times New Roman"/>
          <w:sz w:val="28"/>
          <w:szCs w:val="28"/>
        </w:rPr>
        <w:t>` for proof generation, `</w:t>
      </w:r>
      <w:proofErr w:type="spellStart"/>
      <w:r w:rsidRPr="00EF1AE3">
        <w:rPr>
          <w:rFonts w:ascii="Times New Roman" w:hAnsi="Times New Roman" w:cs="Times New Roman"/>
          <w:sz w:val="28"/>
          <w:szCs w:val="28"/>
        </w:rPr>
        <w:t>PrivacyModeToggle.tsx</w:t>
      </w:r>
      <w:proofErr w:type="spellEnd"/>
      <w:r w:rsidRPr="00EF1AE3">
        <w:rPr>
          <w:rFonts w:ascii="Times New Roman" w:hAnsi="Times New Roman" w:cs="Times New Roman"/>
          <w:sz w:val="28"/>
          <w:szCs w:val="28"/>
        </w:rPr>
        <w:t>` for encrypted display), a custom hook for ZKP interactions, and a sidebar integration for navigation, all facilitating user engagement with privacy features. The server layer comprises API routes (`proof-</w:t>
      </w:r>
      <w:proofErr w:type="spellStart"/>
      <w:r w:rsidRPr="00EF1AE3">
        <w:rPr>
          <w:rFonts w:ascii="Times New Roman" w:hAnsi="Times New Roman" w:cs="Times New Roman"/>
          <w:sz w:val="28"/>
          <w:szCs w:val="28"/>
        </w:rPr>
        <w:t>routes.ts</w:t>
      </w:r>
      <w:proofErr w:type="spellEnd"/>
      <w:r w:rsidRPr="00EF1AE3">
        <w:rPr>
          <w:rFonts w:ascii="Times New Roman" w:hAnsi="Times New Roman" w:cs="Times New Roman"/>
          <w:sz w:val="28"/>
          <w:szCs w:val="28"/>
        </w:rPr>
        <w:t>`), proof services (`proof-</w:t>
      </w:r>
      <w:proofErr w:type="spellStart"/>
      <w:r w:rsidRPr="00EF1AE3">
        <w:rPr>
          <w:rFonts w:ascii="Times New Roman" w:hAnsi="Times New Roman" w:cs="Times New Roman"/>
          <w:sz w:val="28"/>
          <w:szCs w:val="28"/>
        </w:rPr>
        <w:t>service.ts</w:t>
      </w:r>
      <w:proofErr w:type="spellEnd"/>
      <w:r w:rsidRPr="00EF1AE3">
        <w:rPr>
          <w:rFonts w:ascii="Times New Roman" w:hAnsi="Times New Roman" w:cs="Times New Roman"/>
          <w:sz w:val="28"/>
          <w:szCs w:val="28"/>
        </w:rPr>
        <w:t>`), middleware for access control (`proof-</w:t>
      </w:r>
      <w:proofErr w:type="spellStart"/>
      <w:r w:rsidRPr="00EF1AE3">
        <w:rPr>
          <w:rFonts w:ascii="Times New Roman" w:hAnsi="Times New Roman" w:cs="Times New Roman"/>
          <w:sz w:val="28"/>
          <w:szCs w:val="28"/>
        </w:rPr>
        <w:t>middleware.ts</w:t>
      </w:r>
      <w:proofErr w:type="spellEnd"/>
      <w:r w:rsidRPr="00EF1AE3">
        <w:rPr>
          <w:rFonts w:ascii="Times New Roman" w:hAnsi="Times New Roman" w:cs="Times New Roman"/>
          <w:sz w:val="28"/>
          <w:szCs w:val="28"/>
        </w:rPr>
        <w:t>`), configuration settings (`proof-</w:t>
      </w:r>
      <w:proofErr w:type="spellStart"/>
      <w:r w:rsidRPr="00EF1AE3">
        <w:rPr>
          <w:rFonts w:ascii="Times New Roman" w:hAnsi="Times New Roman" w:cs="Times New Roman"/>
          <w:sz w:val="28"/>
          <w:szCs w:val="28"/>
        </w:rPr>
        <w:t>config.ts</w:t>
      </w:r>
      <w:proofErr w:type="spellEnd"/>
      <w:r w:rsidRPr="00EF1AE3">
        <w:rPr>
          <w:rFonts w:ascii="Times New Roman" w:hAnsi="Times New Roman" w:cs="Times New Roman"/>
          <w:sz w:val="28"/>
          <w:szCs w:val="28"/>
        </w:rPr>
        <w:t xml:space="preserve">`), and a WASM backend for cryptographic operations, handling the core logic of ZKP generation and verification. The database layer maintains five per-tenant tables within </w:t>
      </w:r>
      <w:r w:rsidRPr="00EF1AE3">
        <w:rPr>
          <w:rFonts w:ascii="Times New Roman" w:hAnsi="Times New Roman" w:cs="Times New Roman"/>
          <w:sz w:val="28"/>
          <w:szCs w:val="28"/>
        </w:rPr>
        <w:lastRenderedPageBreak/>
        <w:t>each isolated schema (e.g., equity records, commitment hashes, proof usage tracking), ensuring data separation.</w:t>
      </w:r>
    </w:p>
    <w:p w14:paraId="332AE153" w14:textId="0EF6D91A"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Data flow begins with user input in the browser (e.g., initiating a proof request via the Privacy Vault page), which triggers an API call to the server through authenticated routes (protected by `</w:t>
      </w:r>
      <w:proofErr w:type="spellStart"/>
      <w:r w:rsidRPr="00B85468">
        <w:rPr>
          <w:rFonts w:ascii="Times New Roman" w:hAnsi="Times New Roman" w:cs="Times New Roman"/>
          <w:sz w:val="28"/>
          <w:szCs w:val="28"/>
        </w:rPr>
        <w:t>requireAuth</w:t>
      </w:r>
      <w:proofErr w:type="spellEnd"/>
      <w:r w:rsidRPr="00B85468">
        <w:rPr>
          <w:rFonts w:ascii="Times New Roman" w:hAnsi="Times New Roman" w:cs="Times New Roman"/>
          <w:sz w:val="28"/>
          <w:szCs w:val="28"/>
        </w:rPr>
        <w:t>` and `</w:t>
      </w:r>
      <w:proofErr w:type="spellStart"/>
      <w:r w:rsidRPr="00B85468">
        <w:rPr>
          <w:rFonts w:ascii="Times New Roman" w:hAnsi="Times New Roman" w:cs="Times New Roman"/>
          <w:sz w:val="28"/>
          <w:szCs w:val="28"/>
        </w:rPr>
        <w:t>tenantMiddleware</w:t>
      </w:r>
      <w:proofErr w:type="spellEnd"/>
      <w:r w:rsidRPr="00B85468">
        <w:rPr>
          <w:rFonts w:ascii="Times New Roman" w:hAnsi="Times New Roman" w:cs="Times New Roman"/>
          <w:sz w:val="28"/>
          <w:szCs w:val="28"/>
        </w:rPr>
        <w:t>`). The server resolves tenant context from session data, applies the four-gate access control (feature flag, tier config, access check, usage tracking), and processes the request—either generating a ZKP using Noir circuits or retrieving a pre-seeded synthetic proof for Sandbox users. Results are stored in the tenant’s isolated schema and returned to the browser for display, with sensitive data obscured via the Encrypted View system. Public verification requests (unauthenticated) bypass proof generation, using a status-based lookup endpoint for efficiency. This end-to-end flow, mapped in detailed interaction diagrams, ensures privacy at every touchpoint, providing a scalable, secure framework that redefines equity management compared to centralized alternatives.</w:t>
      </w:r>
    </w:p>
    <w:p w14:paraId="79EB8302" w14:textId="5EEA9E40" w:rsidR="00B85468" w:rsidRPr="00B85468" w:rsidRDefault="00B85468" w:rsidP="00E87160">
      <w:pPr>
        <w:ind w:firstLine="720"/>
        <w:rPr>
          <w:rFonts w:ascii="Times New Roman" w:hAnsi="Times New Roman" w:cs="Times New Roman"/>
          <w:b/>
          <w:bCs/>
          <w:sz w:val="28"/>
          <w:szCs w:val="28"/>
        </w:rPr>
      </w:pPr>
      <w:r w:rsidRPr="00B85468">
        <w:rPr>
          <w:rFonts w:ascii="Times New Roman" w:hAnsi="Times New Roman" w:cs="Times New Roman"/>
          <w:b/>
          <w:bCs/>
          <w:sz w:val="28"/>
          <w:szCs w:val="28"/>
        </w:rPr>
        <w:t xml:space="preserve">9. Version Control and Reproducibility for Patent Evidence </w:t>
      </w:r>
    </w:p>
    <w:p w14:paraId="103380C2" w14:textId="3377119D"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 xml:space="preserve">To support the reproducibility and long-term validity of </w:t>
      </w:r>
      <w:proofErr w:type="spellStart"/>
      <w:r w:rsidRPr="00B85468">
        <w:rPr>
          <w:rFonts w:ascii="Times New Roman" w:hAnsi="Times New Roman" w:cs="Times New Roman"/>
          <w:sz w:val="28"/>
          <w:szCs w:val="28"/>
        </w:rPr>
        <w:t>Tableicity’s</w:t>
      </w:r>
      <w:proofErr w:type="spellEnd"/>
      <w:r w:rsidRPr="00B85468">
        <w:rPr>
          <w:rFonts w:ascii="Times New Roman" w:hAnsi="Times New Roman" w:cs="Times New Roman"/>
          <w:sz w:val="28"/>
          <w:szCs w:val="28"/>
        </w:rPr>
        <w:t xml:space="preserve"> system as required for patent enablement, the platform includes strict version lock documentation for its cryptographic dependencies. Core components such as `</w:t>
      </w:r>
      <w:proofErr w:type="spellStart"/>
      <w:r w:rsidRPr="00B85468">
        <w:rPr>
          <w:rFonts w:ascii="Times New Roman" w:hAnsi="Times New Roman" w:cs="Times New Roman"/>
          <w:sz w:val="28"/>
          <w:szCs w:val="28"/>
        </w:rPr>
        <w:t>nargo</w:t>
      </w:r>
      <w:proofErr w:type="spellEnd"/>
      <w:r w:rsidRPr="00B85468">
        <w:rPr>
          <w:rFonts w:ascii="Times New Roman" w:hAnsi="Times New Roman" w:cs="Times New Roman"/>
          <w:sz w:val="28"/>
          <w:szCs w:val="28"/>
        </w:rPr>
        <w:t>`, `</w:t>
      </w:r>
      <w:proofErr w:type="spellStart"/>
      <w:r w:rsidRPr="00B85468">
        <w:rPr>
          <w:rFonts w:ascii="Times New Roman" w:hAnsi="Times New Roman" w:cs="Times New Roman"/>
          <w:sz w:val="28"/>
          <w:szCs w:val="28"/>
        </w:rPr>
        <w:t>noir_js</w:t>
      </w:r>
      <w:proofErr w:type="spellEnd"/>
      <w:r w:rsidRPr="00B85468">
        <w:rPr>
          <w:rFonts w:ascii="Times New Roman" w:hAnsi="Times New Roman" w:cs="Times New Roman"/>
          <w:sz w:val="28"/>
          <w:szCs w:val="28"/>
        </w:rPr>
        <w:t>`, and `</w:t>
      </w:r>
      <w:proofErr w:type="spellStart"/>
      <w:r w:rsidRPr="00B85468">
        <w:rPr>
          <w:rFonts w:ascii="Times New Roman" w:hAnsi="Times New Roman" w:cs="Times New Roman"/>
          <w:sz w:val="28"/>
          <w:szCs w:val="28"/>
        </w:rPr>
        <w:t>backend_barretenberg</w:t>
      </w:r>
      <w:proofErr w:type="spellEnd"/>
      <w:r w:rsidRPr="00B85468">
        <w:rPr>
          <w:rFonts w:ascii="Times New Roman" w:hAnsi="Times New Roman" w:cs="Times New Roman"/>
          <w:sz w:val="28"/>
          <w:szCs w:val="28"/>
        </w:rPr>
        <w:t>` are locked at version 0.36.0, ensuring consistent behavior of ZKP generation and verification processes across development and production environments. Upgrade procedures are defined to maintain compatibility and security, with version-specific artifacts (e.g., compiled `</w:t>
      </w:r>
      <w:proofErr w:type="spellStart"/>
      <w:r w:rsidRPr="00B85468">
        <w:rPr>
          <w:rFonts w:ascii="Times New Roman" w:hAnsi="Times New Roman" w:cs="Times New Roman"/>
          <w:sz w:val="28"/>
          <w:szCs w:val="28"/>
        </w:rPr>
        <w:t>ownership_</w:t>
      </w:r>
      <w:proofErr w:type="gramStart"/>
      <w:r w:rsidRPr="00B85468">
        <w:rPr>
          <w:rFonts w:ascii="Times New Roman" w:hAnsi="Times New Roman" w:cs="Times New Roman"/>
          <w:sz w:val="28"/>
          <w:szCs w:val="28"/>
        </w:rPr>
        <w:t>threshold.json</w:t>
      </w:r>
      <w:proofErr w:type="spellEnd"/>
      <w:proofErr w:type="gramEnd"/>
      <w:r w:rsidRPr="00B85468">
        <w:rPr>
          <w:rFonts w:ascii="Times New Roman" w:hAnsi="Times New Roman" w:cs="Times New Roman"/>
          <w:sz w:val="28"/>
          <w:szCs w:val="28"/>
        </w:rPr>
        <w:t>`) preserved to replicate the system’s state at the time of filing. This meticulous versioning provides concrete evidence for USPTO examiners to verify the invention’s functionality, reinforcing the patent’s technical credibility and distinguishing Tableicity from less rigorously documented systems in the equity management space.</w:t>
      </w:r>
    </w:p>
    <w:p w14:paraId="2056AFBC" w14:textId="77777777" w:rsidR="002068B3" w:rsidRDefault="002068B3" w:rsidP="00E87160">
      <w:pPr>
        <w:ind w:firstLine="720"/>
        <w:rPr>
          <w:rFonts w:ascii="Times New Roman" w:hAnsi="Times New Roman" w:cs="Times New Roman"/>
          <w:sz w:val="28"/>
          <w:szCs w:val="28"/>
        </w:rPr>
      </w:pPr>
    </w:p>
    <w:p w14:paraId="29B5E5B7" w14:textId="77777777" w:rsidR="002068B3" w:rsidRDefault="002068B3" w:rsidP="00EF1124">
      <w:pPr>
        <w:rPr>
          <w:rFonts w:ascii="Times New Roman" w:hAnsi="Times New Roman" w:cs="Times New Roman"/>
          <w:sz w:val="28"/>
          <w:szCs w:val="28"/>
        </w:rPr>
      </w:pPr>
    </w:p>
    <w:p w14:paraId="55EF6E41" w14:textId="77777777" w:rsidR="002068B3" w:rsidRDefault="002068B3" w:rsidP="00E87160">
      <w:pPr>
        <w:ind w:firstLine="720"/>
        <w:rPr>
          <w:rFonts w:ascii="Times New Roman" w:hAnsi="Times New Roman" w:cs="Times New Roman"/>
          <w:sz w:val="28"/>
          <w:szCs w:val="28"/>
        </w:rPr>
      </w:pPr>
    </w:p>
    <w:p w14:paraId="2B49FB5C" w14:textId="69C5EC4B" w:rsidR="002068B3" w:rsidRDefault="00B85468" w:rsidP="00EF1124">
      <w:pPr>
        <w:ind w:firstLine="720"/>
        <w:jc w:val="center"/>
        <w:rPr>
          <w:rFonts w:ascii="Times New Roman" w:hAnsi="Times New Roman" w:cs="Times New Roman"/>
          <w:b/>
          <w:bCs/>
          <w:sz w:val="28"/>
          <w:szCs w:val="28"/>
        </w:rPr>
      </w:pPr>
      <w:r w:rsidRPr="00B85468">
        <w:rPr>
          <w:rFonts w:ascii="Times New Roman" w:hAnsi="Times New Roman" w:cs="Times New Roman"/>
          <w:b/>
          <w:bCs/>
          <w:sz w:val="28"/>
          <w:szCs w:val="28"/>
        </w:rPr>
        <w:t>Beginning of Section: Claims</w:t>
      </w:r>
    </w:p>
    <w:p w14:paraId="3BC357AE" w14:textId="00855150" w:rsidR="00B85468" w:rsidRPr="00B85468" w:rsidRDefault="00B85468" w:rsidP="00EF1124">
      <w:pPr>
        <w:ind w:firstLine="720"/>
        <w:rPr>
          <w:rFonts w:ascii="Times New Roman" w:hAnsi="Times New Roman" w:cs="Times New Roman"/>
          <w:b/>
          <w:bCs/>
          <w:sz w:val="28"/>
          <w:szCs w:val="28"/>
        </w:rPr>
      </w:pPr>
      <w:r w:rsidRPr="00B85468">
        <w:rPr>
          <w:rFonts w:ascii="Times New Roman" w:hAnsi="Times New Roman" w:cs="Times New Roman"/>
          <w:b/>
          <w:bCs/>
          <w:sz w:val="28"/>
          <w:szCs w:val="28"/>
        </w:rPr>
        <w:t>Claims</w:t>
      </w:r>
      <w:r w:rsidR="002068B3">
        <w:rPr>
          <w:rFonts w:ascii="Times New Roman" w:hAnsi="Times New Roman" w:cs="Times New Roman"/>
          <w:b/>
          <w:bCs/>
          <w:sz w:val="28"/>
          <w:szCs w:val="28"/>
        </w:rPr>
        <w:t xml:space="preserve"> - </w:t>
      </w:r>
      <w:r w:rsidRPr="00B85468">
        <w:rPr>
          <w:rFonts w:ascii="Times New Roman" w:hAnsi="Times New Roman" w:cs="Times New Roman"/>
          <w:b/>
          <w:bCs/>
          <w:sz w:val="28"/>
          <w:szCs w:val="28"/>
        </w:rPr>
        <w:t>What is claimed is:</w:t>
      </w:r>
    </w:p>
    <w:p w14:paraId="3A2FC2E2" w14:textId="77777777" w:rsidR="00CC14E7" w:rsidRDefault="00B85468" w:rsidP="00C55B1E">
      <w:pPr>
        <w:ind w:firstLine="720"/>
        <w:rPr>
          <w:rFonts w:ascii="Times New Roman" w:hAnsi="Times New Roman" w:cs="Times New Roman"/>
          <w:sz w:val="28"/>
          <w:szCs w:val="28"/>
        </w:rPr>
      </w:pPr>
      <w:r w:rsidRPr="00B85468">
        <w:rPr>
          <w:rFonts w:ascii="Times New Roman" w:hAnsi="Times New Roman" w:cs="Times New Roman"/>
          <w:sz w:val="28"/>
          <w:szCs w:val="28"/>
        </w:rPr>
        <w:t xml:space="preserve">1. A privacy-first equity management system for private companies, comprising: </w:t>
      </w:r>
    </w:p>
    <w:p w14:paraId="18D36A52" w14:textId="77777777" w:rsidR="00CC14E7" w:rsidRDefault="00B85468" w:rsidP="002068B3">
      <w:pPr>
        <w:rPr>
          <w:rFonts w:ascii="Times New Roman" w:hAnsi="Times New Roman" w:cs="Times New Roman"/>
          <w:sz w:val="28"/>
          <w:szCs w:val="28"/>
        </w:rPr>
      </w:pPr>
      <w:r w:rsidRPr="00B85468">
        <w:rPr>
          <w:rFonts w:ascii="Times New Roman" w:hAnsi="Times New Roman" w:cs="Times New Roman"/>
          <w:sz w:val="28"/>
          <w:szCs w:val="28"/>
        </w:rPr>
        <w:t xml:space="preserve">a. a Schema-per-Tenant isolation architecture implemented through dedicated database schemas for each tenant to ensure complete cryptographic separation of stakeholder </w:t>
      </w:r>
      <w:proofErr w:type="gramStart"/>
      <w:r w:rsidRPr="00B85468">
        <w:rPr>
          <w:rFonts w:ascii="Times New Roman" w:hAnsi="Times New Roman" w:cs="Times New Roman"/>
          <w:sz w:val="28"/>
          <w:szCs w:val="28"/>
        </w:rPr>
        <w:t>data;</w:t>
      </w:r>
      <w:proofErr w:type="gramEnd"/>
      <w:r w:rsidRPr="00B85468">
        <w:rPr>
          <w:rFonts w:ascii="Times New Roman" w:hAnsi="Times New Roman" w:cs="Times New Roman"/>
          <w:sz w:val="28"/>
          <w:szCs w:val="28"/>
        </w:rPr>
        <w:t xml:space="preserve"> </w:t>
      </w:r>
    </w:p>
    <w:p w14:paraId="55FB5734" w14:textId="77777777" w:rsidR="00CC14E7" w:rsidRDefault="00B85468" w:rsidP="00C55B1E">
      <w:pPr>
        <w:rPr>
          <w:rFonts w:ascii="Times New Roman" w:hAnsi="Times New Roman" w:cs="Times New Roman"/>
          <w:sz w:val="28"/>
          <w:szCs w:val="28"/>
        </w:rPr>
      </w:pPr>
      <w:r w:rsidRPr="00B85468">
        <w:rPr>
          <w:rFonts w:ascii="Times New Roman" w:hAnsi="Times New Roman" w:cs="Times New Roman"/>
          <w:sz w:val="28"/>
          <w:szCs w:val="28"/>
        </w:rPr>
        <w:t xml:space="preserve">b. a Zero-Knowledge Proof (ZKP) framework utilizing NOIR circuit constraints for privacy-preserving verification of equity data without exposing underlying </w:t>
      </w:r>
      <w:proofErr w:type="gramStart"/>
      <w:r w:rsidRPr="00B85468">
        <w:rPr>
          <w:rFonts w:ascii="Times New Roman" w:hAnsi="Times New Roman" w:cs="Times New Roman"/>
          <w:sz w:val="28"/>
          <w:szCs w:val="28"/>
        </w:rPr>
        <w:t>information;</w:t>
      </w:r>
      <w:proofErr w:type="gramEnd"/>
      <w:r w:rsidRPr="00B85468">
        <w:rPr>
          <w:rFonts w:ascii="Times New Roman" w:hAnsi="Times New Roman" w:cs="Times New Roman"/>
          <w:sz w:val="28"/>
          <w:szCs w:val="28"/>
        </w:rPr>
        <w:t xml:space="preserve"> </w:t>
      </w:r>
    </w:p>
    <w:p w14:paraId="713A5B62" w14:textId="01A29A05" w:rsidR="00B85468" w:rsidRDefault="00B85468" w:rsidP="00C55B1E">
      <w:pPr>
        <w:rPr>
          <w:rFonts w:ascii="Times New Roman" w:hAnsi="Times New Roman" w:cs="Times New Roman"/>
          <w:sz w:val="28"/>
          <w:szCs w:val="28"/>
        </w:rPr>
      </w:pPr>
      <w:r w:rsidRPr="00B85468">
        <w:rPr>
          <w:rFonts w:ascii="Times New Roman" w:hAnsi="Times New Roman" w:cs="Times New Roman"/>
          <w:sz w:val="28"/>
          <w:szCs w:val="28"/>
        </w:rPr>
        <w:t xml:space="preserve">c. a functional Seeded Sandbox environment enabling atomic-metered ZKP generation and verification using mock equity records under identical security constraints as a production environment; and </w:t>
      </w:r>
    </w:p>
    <w:p w14:paraId="590E0CFA" w14:textId="47390324" w:rsidR="00B85468" w:rsidRDefault="00B85468" w:rsidP="00C55B1E">
      <w:pPr>
        <w:rPr>
          <w:rFonts w:ascii="Times New Roman" w:hAnsi="Times New Roman" w:cs="Times New Roman"/>
          <w:sz w:val="28"/>
          <w:szCs w:val="28"/>
        </w:rPr>
      </w:pPr>
      <w:r w:rsidRPr="00B85468">
        <w:rPr>
          <w:rFonts w:ascii="Times New Roman" w:hAnsi="Times New Roman" w:cs="Times New Roman"/>
          <w:sz w:val="28"/>
          <w:szCs w:val="28"/>
        </w:rPr>
        <w:t>d. a computationally invariant four-gate middleware for access control and monetization, governed by a global configuration mechanism to toggle between operational states.</w:t>
      </w:r>
    </w:p>
    <w:p w14:paraId="4E3DD196" w14:textId="3FED3554"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2. The system of claim 1, wherein the Schema-per-Tenant isolation architecture prevents cross-tenant data leakage by maintaining distinct PostgreSQL schemas for each tenant, each containing tenant-specific tables for equity records and cryptographic commitments.</w:t>
      </w:r>
    </w:p>
    <w:p w14:paraId="70E9937D" w14:textId="55D04DA6"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 xml:space="preserve">3. The system of claim 1, wherein the ZKP framework processes equity data through a multi-stage transformation pipeline including salt generation, SHA-256 commitment hashing for integrity, and Pedersen commitment for circuit compatibility using the </w:t>
      </w:r>
      <w:proofErr w:type="spellStart"/>
      <w:r w:rsidRPr="00B85468">
        <w:rPr>
          <w:rFonts w:ascii="Times New Roman" w:hAnsi="Times New Roman" w:cs="Times New Roman"/>
          <w:sz w:val="28"/>
          <w:szCs w:val="28"/>
        </w:rPr>
        <w:t>Grumpkin</w:t>
      </w:r>
      <w:proofErr w:type="spellEnd"/>
      <w:r w:rsidRPr="00B85468">
        <w:rPr>
          <w:rFonts w:ascii="Times New Roman" w:hAnsi="Times New Roman" w:cs="Times New Roman"/>
          <w:sz w:val="28"/>
          <w:szCs w:val="28"/>
        </w:rPr>
        <w:t xml:space="preserve"> curve.</w:t>
      </w:r>
    </w:p>
    <w:p w14:paraId="0F10FCB3" w14:textId="298DFB73"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4. The system of claim 1, wherein the ZKP framework employs server-side proof generation to manage private input containment, circuit artifact size, and WASM memory constraints, ensuring scalability and security.</w:t>
      </w:r>
    </w:p>
    <w:p w14:paraId="6A1C5941" w14:textId="46813A97"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5. The system of claim 1, wherein the ZKP framework includes dual verification paths comprising an internal cryptographic re-verification path for authenticated users and a public status-based lookup path for unauthenticated external parties.</w:t>
      </w:r>
    </w:p>
    <w:p w14:paraId="189E4CA8" w14:textId="01E7511B"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lastRenderedPageBreak/>
        <w:t xml:space="preserve">6. The system of claim 1, wherein the NOIR circuit constraints include a </w:t>
      </w:r>
      <w:proofErr w:type="spellStart"/>
      <w:r w:rsidRPr="00B85468">
        <w:rPr>
          <w:rFonts w:ascii="Times New Roman" w:hAnsi="Times New Roman" w:cs="Times New Roman"/>
          <w:sz w:val="28"/>
          <w:szCs w:val="28"/>
        </w:rPr>
        <w:t>test_hash</w:t>
      </w:r>
      <w:proofErr w:type="spellEnd"/>
      <w:r w:rsidRPr="00B85468">
        <w:rPr>
          <w:rFonts w:ascii="Times New Roman" w:hAnsi="Times New Roman" w:cs="Times New Roman"/>
          <w:sz w:val="28"/>
          <w:szCs w:val="28"/>
        </w:rPr>
        <w:t xml:space="preserve"> circuit for commitment validation and an </w:t>
      </w:r>
      <w:proofErr w:type="spellStart"/>
      <w:r w:rsidRPr="00B85468">
        <w:rPr>
          <w:rFonts w:ascii="Times New Roman" w:hAnsi="Times New Roman" w:cs="Times New Roman"/>
          <w:sz w:val="28"/>
          <w:szCs w:val="28"/>
        </w:rPr>
        <w:t>ownership_threshold</w:t>
      </w:r>
      <w:proofErr w:type="spellEnd"/>
      <w:r w:rsidRPr="00B85468">
        <w:rPr>
          <w:rFonts w:ascii="Times New Roman" w:hAnsi="Times New Roman" w:cs="Times New Roman"/>
          <w:sz w:val="28"/>
          <w:szCs w:val="28"/>
        </w:rPr>
        <w:t xml:space="preserve"> circuit for enforcing integrity and threshold comparisons based on the Discrete Logarithm Problem.</w:t>
      </w:r>
    </w:p>
    <w:p w14:paraId="5F376F71" w14:textId="45C8C816"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7. The system of claim 1, wherein the Seeded Sandbox environment seeds mock equity data with pre-seeded synthetic proofs requiring no circuit execution and live-generated proofs using real cryptographic operations, coexisting in a unified verification pipeline.</w:t>
      </w:r>
    </w:p>
    <w:p w14:paraId="61C02FAC" w14:textId="6E4195FE"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8. The system of claim 7, wherein the Seeded Sandbox tracks live proof generation via atomic server-side increments in a usage-tracking table, ensuring failed attempts do not deplete a metered allocation.</w:t>
      </w:r>
    </w:p>
    <w:p w14:paraId="5EAABD25" w14:textId="330B5111"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 xml:space="preserve">9. The system of claim 1, wherein the four-gate middleware comprises a frontend feature flag, server-side tier configuration check, access enforcement mechanism, and race-condition-proof usage tracking via PostgreSQL </w:t>
      </w:r>
      <w:proofErr w:type="spellStart"/>
      <w:r w:rsidRPr="00B85468">
        <w:rPr>
          <w:rFonts w:ascii="Times New Roman" w:hAnsi="Times New Roman" w:cs="Times New Roman"/>
          <w:sz w:val="28"/>
          <w:szCs w:val="28"/>
        </w:rPr>
        <w:t>upserts</w:t>
      </w:r>
      <w:proofErr w:type="spellEnd"/>
      <w:r w:rsidRPr="00B85468">
        <w:rPr>
          <w:rFonts w:ascii="Times New Roman" w:hAnsi="Times New Roman" w:cs="Times New Roman"/>
          <w:sz w:val="28"/>
          <w:szCs w:val="28"/>
        </w:rPr>
        <w:t>.</w:t>
      </w:r>
    </w:p>
    <w:p w14:paraId="2EDEBB64" w14:textId="531FE7F2" w:rsidR="00B85468" w:rsidRDefault="00B85468" w:rsidP="00E87160">
      <w:pPr>
        <w:ind w:firstLine="720"/>
        <w:rPr>
          <w:rFonts w:ascii="Times New Roman" w:hAnsi="Times New Roman" w:cs="Times New Roman"/>
          <w:sz w:val="28"/>
          <w:szCs w:val="28"/>
        </w:rPr>
      </w:pPr>
      <w:r w:rsidRPr="00B85468">
        <w:rPr>
          <w:rFonts w:ascii="Times New Roman" w:hAnsi="Times New Roman" w:cs="Times New Roman"/>
          <w:sz w:val="28"/>
          <w:szCs w:val="28"/>
        </w:rPr>
        <w:t xml:space="preserve">10. The system of claim 1, wherein the global configuration mechanism utilizes a single compile-time </w:t>
      </w:r>
      <w:proofErr w:type="spellStart"/>
      <w:r w:rsidRPr="00B85468">
        <w:rPr>
          <w:rFonts w:ascii="Times New Roman" w:hAnsi="Times New Roman" w:cs="Times New Roman"/>
          <w:sz w:val="28"/>
          <w:szCs w:val="28"/>
        </w:rPr>
        <w:t>boolean</w:t>
      </w:r>
      <w:proofErr w:type="spellEnd"/>
      <w:r w:rsidRPr="00B85468">
        <w:rPr>
          <w:rFonts w:ascii="Times New Roman" w:hAnsi="Times New Roman" w:cs="Times New Roman"/>
          <w:sz w:val="28"/>
          <w:szCs w:val="28"/>
        </w:rPr>
        <w:t xml:space="preserve"> constant to toggle between Beta and Production configurations, activating a monetization wall across all tenant schemas simultaneously without code path modifications.</w:t>
      </w:r>
    </w:p>
    <w:p w14:paraId="0B7250D7" w14:textId="7A82BEF2" w:rsidR="00B85468"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11. The system of claim 1, further comprising a complementary privacy layer stack including an Encrypted View system that obscures displayed data using HMAC-SHA-256 hashing with a company-specific key, formatted via truncated display patterns and custom privacy labels.</w:t>
      </w:r>
    </w:p>
    <w:p w14:paraId="4D7C7051" w14:textId="69804FD5"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12. The system of claim 11, wherein the Encrypted View system adheres to a display priority chain of label over hash over placeholder, with toggle persistence managed via local storage and visibility governed by role-based access control.</w:t>
      </w:r>
    </w:p>
    <w:p w14:paraId="40BD999A" w14:textId="1B963D0D"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 xml:space="preserve">13. The system of claim 1, further comprising a testing and validation infrastructure including a Gate 0 smoke test for </w:t>
      </w:r>
      <w:proofErr w:type="spellStart"/>
      <w:r w:rsidRPr="00CC14E7">
        <w:rPr>
          <w:rFonts w:ascii="Times New Roman" w:hAnsi="Times New Roman" w:cs="Times New Roman"/>
          <w:sz w:val="28"/>
          <w:szCs w:val="28"/>
        </w:rPr>
        <w:t>NoirJS</w:t>
      </w:r>
      <w:proofErr w:type="spellEnd"/>
      <w:r w:rsidRPr="00CC14E7">
        <w:rPr>
          <w:rFonts w:ascii="Times New Roman" w:hAnsi="Times New Roman" w:cs="Times New Roman"/>
          <w:sz w:val="28"/>
          <w:szCs w:val="28"/>
        </w:rPr>
        <w:t xml:space="preserve"> pipeline verification and a cryptographic unit suite evaluating positive cases, rejections, mismatches, tampering resistance, and threshold enforcement.</w:t>
      </w:r>
    </w:p>
    <w:p w14:paraId="06EA5A4D" w14:textId="36E52325"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lastRenderedPageBreak/>
        <w:t>14. The system of claim 13, wherein the testing infrastructure maps to security properties including soundness, binding, public input integrity, and completeness, ensuring cryptographic reliability of ZKP operations.</w:t>
      </w:r>
    </w:p>
    <w:p w14:paraId="151C16A8" w14:textId="7256F483"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15. The system of claim 1, further comprising a multi-layered component architecture spanning browser, server, and database layers, with defined API call paths for user-initiated proof requests and public verification lookups, maintaining data invisibility at every interaction point.</w:t>
      </w:r>
    </w:p>
    <w:p w14:paraId="11CDC6AA" w14:textId="422875F3"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 xml:space="preserve">16. The system of claim 1, further comprising version lock documentation for cryptographic dependencies, including specific versions of </w:t>
      </w:r>
      <w:proofErr w:type="spellStart"/>
      <w:r w:rsidRPr="00CC14E7">
        <w:rPr>
          <w:rFonts w:ascii="Times New Roman" w:hAnsi="Times New Roman" w:cs="Times New Roman"/>
          <w:sz w:val="28"/>
          <w:szCs w:val="28"/>
        </w:rPr>
        <w:t>nargo</w:t>
      </w:r>
      <w:proofErr w:type="spellEnd"/>
      <w:r w:rsidRPr="00CC14E7">
        <w:rPr>
          <w:rFonts w:ascii="Times New Roman" w:hAnsi="Times New Roman" w:cs="Times New Roman"/>
          <w:sz w:val="28"/>
          <w:szCs w:val="28"/>
        </w:rPr>
        <w:t xml:space="preserve">, </w:t>
      </w:r>
      <w:proofErr w:type="spellStart"/>
      <w:r w:rsidRPr="00CC14E7">
        <w:rPr>
          <w:rFonts w:ascii="Times New Roman" w:hAnsi="Times New Roman" w:cs="Times New Roman"/>
          <w:sz w:val="28"/>
          <w:szCs w:val="28"/>
        </w:rPr>
        <w:t>noir_js</w:t>
      </w:r>
      <w:proofErr w:type="spellEnd"/>
      <w:r w:rsidRPr="00CC14E7">
        <w:rPr>
          <w:rFonts w:ascii="Times New Roman" w:hAnsi="Times New Roman" w:cs="Times New Roman"/>
          <w:sz w:val="28"/>
          <w:szCs w:val="28"/>
        </w:rPr>
        <w:t xml:space="preserve">, and </w:t>
      </w:r>
      <w:proofErr w:type="spellStart"/>
      <w:r w:rsidRPr="00CC14E7">
        <w:rPr>
          <w:rFonts w:ascii="Times New Roman" w:hAnsi="Times New Roman" w:cs="Times New Roman"/>
          <w:sz w:val="28"/>
          <w:szCs w:val="28"/>
        </w:rPr>
        <w:t>backend_barretenberg</w:t>
      </w:r>
      <w:proofErr w:type="spellEnd"/>
      <w:r w:rsidRPr="00CC14E7">
        <w:rPr>
          <w:rFonts w:ascii="Times New Roman" w:hAnsi="Times New Roman" w:cs="Times New Roman"/>
          <w:sz w:val="28"/>
          <w:szCs w:val="28"/>
        </w:rPr>
        <w:t>, to ensure reproducibility of ZKP generation and verification processes.</w:t>
      </w:r>
    </w:p>
    <w:p w14:paraId="1D666A44" w14:textId="77777777" w:rsidR="00CC14E7" w:rsidRDefault="00CC14E7" w:rsidP="00E87160">
      <w:pPr>
        <w:ind w:firstLine="720"/>
        <w:rPr>
          <w:rFonts w:ascii="Times New Roman" w:hAnsi="Times New Roman" w:cs="Times New Roman"/>
          <w:sz w:val="28"/>
          <w:szCs w:val="28"/>
        </w:rPr>
      </w:pPr>
      <w:r w:rsidRPr="00CC14E7">
        <w:rPr>
          <w:rFonts w:ascii="Times New Roman" w:hAnsi="Times New Roman" w:cs="Times New Roman"/>
          <w:sz w:val="28"/>
          <w:szCs w:val="28"/>
        </w:rPr>
        <w:t xml:space="preserve">17. A method for providing a functional cryptographic trial in a schema-isolated sandbox for equity management, comprising: </w:t>
      </w:r>
    </w:p>
    <w:p w14:paraId="33A64E87" w14:textId="4EBBA72E" w:rsidR="00CC14E7" w:rsidRDefault="00CC14E7" w:rsidP="00C55B1E">
      <w:pPr>
        <w:tabs>
          <w:tab w:val="left" w:pos="1710"/>
        </w:tabs>
        <w:rPr>
          <w:rFonts w:ascii="Times New Roman" w:hAnsi="Times New Roman" w:cs="Times New Roman"/>
          <w:sz w:val="28"/>
          <w:szCs w:val="28"/>
        </w:rPr>
      </w:pPr>
      <w:r w:rsidRPr="00CC14E7">
        <w:rPr>
          <w:rFonts w:ascii="Times New Roman" w:hAnsi="Times New Roman" w:cs="Times New Roman"/>
          <w:sz w:val="28"/>
          <w:szCs w:val="28"/>
        </w:rPr>
        <w:t xml:space="preserve">a. providing a multi-tenant architecture wherein a Seeded Sandbox operates within a dedicated, isolated database </w:t>
      </w:r>
      <w:proofErr w:type="gramStart"/>
      <w:r w:rsidRPr="00CC14E7">
        <w:rPr>
          <w:rFonts w:ascii="Times New Roman" w:hAnsi="Times New Roman" w:cs="Times New Roman"/>
          <w:sz w:val="28"/>
          <w:szCs w:val="28"/>
        </w:rPr>
        <w:t>schema;</w:t>
      </w:r>
      <w:proofErr w:type="gramEnd"/>
      <w:r w:rsidRPr="00CC14E7">
        <w:rPr>
          <w:rFonts w:ascii="Times New Roman" w:hAnsi="Times New Roman" w:cs="Times New Roman"/>
          <w:sz w:val="28"/>
          <w:szCs w:val="28"/>
        </w:rPr>
        <w:t xml:space="preserve"> </w:t>
      </w:r>
    </w:p>
    <w:p w14:paraId="37F4A674" w14:textId="77777777" w:rsidR="00DA5F2E" w:rsidRDefault="00CC14E7" w:rsidP="00C55B1E">
      <w:pPr>
        <w:rPr>
          <w:rFonts w:ascii="Times New Roman" w:hAnsi="Times New Roman" w:cs="Times New Roman"/>
          <w:sz w:val="28"/>
          <w:szCs w:val="28"/>
        </w:rPr>
      </w:pPr>
      <w:r w:rsidRPr="00CC14E7">
        <w:rPr>
          <w:rFonts w:ascii="Times New Roman" w:hAnsi="Times New Roman" w:cs="Times New Roman"/>
          <w:sz w:val="28"/>
          <w:szCs w:val="28"/>
        </w:rPr>
        <w:t xml:space="preserve">b. maintaining a unified verification pipeline where pre-seeded synthetic proofs, requiring no circuit execution, and live-generated Noir ZK-proofs coexist and are validated by the same </w:t>
      </w:r>
      <w:proofErr w:type="gramStart"/>
      <w:r w:rsidRPr="00CC14E7">
        <w:rPr>
          <w:rFonts w:ascii="Times New Roman" w:hAnsi="Times New Roman" w:cs="Times New Roman"/>
          <w:sz w:val="28"/>
          <w:szCs w:val="28"/>
        </w:rPr>
        <w:t>endpoint;</w:t>
      </w:r>
      <w:proofErr w:type="gramEnd"/>
      <w:r w:rsidRPr="00CC14E7">
        <w:rPr>
          <w:rFonts w:ascii="Times New Roman" w:hAnsi="Times New Roman" w:cs="Times New Roman"/>
          <w:sz w:val="28"/>
          <w:szCs w:val="28"/>
        </w:rPr>
        <w:t xml:space="preserve"> </w:t>
      </w:r>
    </w:p>
    <w:p w14:paraId="7796C875" w14:textId="29F85C2B" w:rsidR="00CC14E7" w:rsidRDefault="00CC14E7" w:rsidP="00C55B1E">
      <w:pPr>
        <w:rPr>
          <w:rFonts w:ascii="Times New Roman" w:hAnsi="Times New Roman" w:cs="Times New Roman"/>
          <w:sz w:val="28"/>
          <w:szCs w:val="28"/>
        </w:rPr>
      </w:pPr>
      <w:r w:rsidRPr="00CC14E7">
        <w:rPr>
          <w:rFonts w:ascii="Times New Roman" w:hAnsi="Times New Roman" w:cs="Times New Roman"/>
          <w:sz w:val="28"/>
          <w:szCs w:val="28"/>
        </w:rPr>
        <w:t xml:space="preserve">c. granting authenticated access to a plurality of live proof-generation cycles within the Sandbox, controlled by a four-gate verification architecture; and </w:t>
      </w:r>
    </w:p>
    <w:p w14:paraId="47A799F8" w14:textId="0B9675ED" w:rsidR="00CC14E7" w:rsidRDefault="00CC14E7" w:rsidP="00C55B1E">
      <w:pPr>
        <w:rPr>
          <w:rFonts w:ascii="Times New Roman" w:hAnsi="Times New Roman" w:cs="Times New Roman"/>
          <w:sz w:val="28"/>
          <w:szCs w:val="28"/>
        </w:rPr>
      </w:pPr>
      <w:r w:rsidRPr="00CC14E7">
        <w:rPr>
          <w:rFonts w:ascii="Times New Roman" w:hAnsi="Times New Roman" w:cs="Times New Roman"/>
          <w:sz w:val="28"/>
          <w:szCs w:val="28"/>
        </w:rPr>
        <w:t xml:space="preserve">d. executing an atomic server-side increment via PostgreSQL </w:t>
      </w:r>
      <w:proofErr w:type="spellStart"/>
      <w:r w:rsidRPr="00CC14E7">
        <w:rPr>
          <w:rFonts w:ascii="Times New Roman" w:hAnsi="Times New Roman" w:cs="Times New Roman"/>
          <w:sz w:val="28"/>
          <w:szCs w:val="28"/>
        </w:rPr>
        <w:t>upsert</w:t>
      </w:r>
      <w:proofErr w:type="spellEnd"/>
      <w:r w:rsidRPr="00CC14E7">
        <w:rPr>
          <w:rFonts w:ascii="Times New Roman" w:hAnsi="Times New Roman" w:cs="Times New Roman"/>
          <w:sz w:val="28"/>
          <w:szCs w:val="28"/>
        </w:rPr>
        <w:t xml:space="preserve"> of a usage-tracking table only upon successful generation of a valid ZK-proof, wherein failed generation attempts do not deplete the user’s metered allocation.</w:t>
      </w:r>
    </w:p>
    <w:p w14:paraId="5D56B981" w14:textId="77777777" w:rsidR="00CC14E7" w:rsidRDefault="00CC14E7" w:rsidP="00C55B1E">
      <w:pPr>
        <w:ind w:firstLine="720"/>
        <w:rPr>
          <w:rFonts w:ascii="Times New Roman" w:hAnsi="Times New Roman" w:cs="Times New Roman"/>
          <w:sz w:val="28"/>
          <w:szCs w:val="28"/>
        </w:rPr>
      </w:pPr>
      <w:r w:rsidRPr="00CC14E7">
        <w:rPr>
          <w:rFonts w:ascii="Times New Roman" w:hAnsi="Times New Roman" w:cs="Times New Roman"/>
          <w:sz w:val="28"/>
          <w:szCs w:val="28"/>
        </w:rPr>
        <w:t xml:space="preserve">18. A method for global configuration-aware feature gating in a privacy-first equity management system, comprising: </w:t>
      </w:r>
    </w:p>
    <w:p w14:paraId="16583F89" w14:textId="77777777" w:rsidR="00CC14E7" w:rsidRDefault="00CC14E7" w:rsidP="00C55B1E">
      <w:pPr>
        <w:rPr>
          <w:rFonts w:ascii="Times New Roman" w:hAnsi="Times New Roman" w:cs="Times New Roman"/>
          <w:sz w:val="28"/>
          <w:szCs w:val="28"/>
        </w:rPr>
      </w:pPr>
      <w:r w:rsidRPr="00CC14E7">
        <w:rPr>
          <w:rFonts w:ascii="Times New Roman" w:hAnsi="Times New Roman" w:cs="Times New Roman"/>
          <w:sz w:val="28"/>
          <w:szCs w:val="28"/>
        </w:rPr>
        <w:t xml:space="preserve">a. providing a simultaneous global state transition, wherein a single compile-time </w:t>
      </w:r>
      <w:proofErr w:type="spellStart"/>
      <w:r w:rsidRPr="00CC14E7">
        <w:rPr>
          <w:rFonts w:ascii="Times New Roman" w:hAnsi="Times New Roman" w:cs="Times New Roman"/>
          <w:sz w:val="28"/>
          <w:szCs w:val="28"/>
        </w:rPr>
        <w:t>boolean</w:t>
      </w:r>
      <w:proofErr w:type="spellEnd"/>
      <w:r w:rsidRPr="00CC14E7">
        <w:rPr>
          <w:rFonts w:ascii="Times New Roman" w:hAnsi="Times New Roman" w:cs="Times New Roman"/>
          <w:sz w:val="28"/>
          <w:szCs w:val="28"/>
        </w:rPr>
        <w:t xml:space="preserve"> constant toggles a permission matrix between a first configuration (Beta) and a second configuration (Production</w:t>
      </w:r>
      <w:proofErr w:type="gramStart"/>
      <w:r w:rsidRPr="00CC14E7">
        <w:rPr>
          <w:rFonts w:ascii="Times New Roman" w:hAnsi="Times New Roman" w:cs="Times New Roman"/>
          <w:sz w:val="28"/>
          <w:szCs w:val="28"/>
        </w:rPr>
        <w:t>);</w:t>
      </w:r>
      <w:proofErr w:type="gramEnd"/>
      <w:r w:rsidRPr="00CC14E7">
        <w:rPr>
          <w:rFonts w:ascii="Times New Roman" w:hAnsi="Times New Roman" w:cs="Times New Roman"/>
          <w:sz w:val="28"/>
          <w:szCs w:val="28"/>
        </w:rPr>
        <w:t xml:space="preserve"> </w:t>
      </w:r>
    </w:p>
    <w:p w14:paraId="197A7442" w14:textId="77777777" w:rsidR="00CC14E7" w:rsidRDefault="00CC14E7" w:rsidP="00C55B1E">
      <w:pPr>
        <w:rPr>
          <w:rFonts w:ascii="Times New Roman" w:hAnsi="Times New Roman" w:cs="Times New Roman"/>
          <w:sz w:val="28"/>
          <w:szCs w:val="28"/>
        </w:rPr>
      </w:pPr>
      <w:r w:rsidRPr="00CC14E7">
        <w:rPr>
          <w:rFonts w:ascii="Times New Roman" w:hAnsi="Times New Roman" w:cs="Times New Roman"/>
          <w:sz w:val="28"/>
          <w:szCs w:val="28"/>
        </w:rPr>
        <w:lastRenderedPageBreak/>
        <w:t xml:space="preserve">b. maintaining a computationally invariant four-gate verification middleware that executes identical logic paths across both configurations while retrieving disparate tier-limit data; and </w:t>
      </w:r>
    </w:p>
    <w:p w14:paraId="46A45532" w14:textId="6CA458C0" w:rsidR="00DA5F2E" w:rsidRDefault="00CC14E7" w:rsidP="00EF1124">
      <w:pPr>
        <w:rPr>
          <w:rFonts w:ascii="Times New Roman" w:hAnsi="Times New Roman" w:cs="Times New Roman"/>
          <w:sz w:val="28"/>
          <w:szCs w:val="28"/>
        </w:rPr>
      </w:pPr>
      <w:r w:rsidRPr="00CC14E7">
        <w:rPr>
          <w:rFonts w:ascii="Times New Roman" w:hAnsi="Times New Roman" w:cs="Times New Roman"/>
          <w:sz w:val="28"/>
          <w:szCs w:val="28"/>
        </w:rPr>
        <w:t xml:space="preserve">c. enabling a universal kill switch mechanism that activates a monetization wall across all tenant schemas simultaneously upon the state change of the single </w:t>
      </w:r>
      <w:proofErr w:type="spellStart"/>
      <w:r w:rsidRPr="00CC14E7">
        <w:rPr>
          <w:rFonts w:ascii="Times New Roman" w:hAnsi="Times New Roman" w:cs="Times New Roman"/>
          <w:sz w:val="28"/>
          <w:szCs w:val="28"/>
        </w:rPr>
        <w:t>boolean</w:t>
      </w:r>
      <w:proofErr w:type="spellEnd"/>
      <w:r w:rsidRPr="00CC14E7">
        <w:rPr>
          <w:rFonts w:ascii="Times New Roman" w:hAnsi="Times New Roman" w:cs="Times New Roman"/>
          <w:sz w:val="28"/>
          <w:szCs w:val="28"/>
        </w:rPr>
        <w:t xml:space="preserve"> constant.</w:t>
      </w:r>
    </w:p>
    <w:p w14:paraId="7413689D" w14:textId="77777777" w:rsidR="00EF1124" w:rsidRDefault="00EF1124" w:rsidP="00EF1124">
      <w:pPr>
        <w:rPr>
          <w:rFonts w:ascii="Times New Roman" w:hAnsi="Times New Roman" w:cs="Times New Roman"/>
          <w:sz w:val="28"/>
          <w:szCs w:val="28"/>
        </w:rPr>
      </w:pPr>
    </w:p>
    <w:p w14:paraId="5704D157" w14:textId="370F0B35" w:rsidR="00DA5F2E" w:rsidRDefault="00DA5F2E" w:rsidP="00B36F9F">
      <w:pPr>
        <w:ind w:left="990"/>
        <w:jc w:val="center"/>
        <w:rPr>
          <w:rFonts w:ascii="Times New Roman" w:hAnsi="Times New Roman" w:cs="Times New Roman"/>
          <w:b/>
          <w:bCs/>
          <w:sz w:val="28"/>
          <w:szCs w:val="28"/>
        </w:rPr>
      </w:pPr>
      <w:r w:rsidRPr="00DA5F2E">
        <w:rPr>
          <w:rFonts w:ascii="Times New Roman" w:hAnsi="Times New Roman" w:cs="Times New Roman"/>
          <w:b/>
          <w:bCs/>
          <w:sz w:val="28"/>
          <w:szCs w:val="28"/>
        </w:rPr>
        <w:t xml:space="preserve">Beginning of Section: Embodiments and Diagrams </w:t>
      </w:r>
    </w:p>
    <w:p w14:paraId="23C3347F" w14:textId="77777777" w:rsidR="00B36F9F" w:rsidRDefault="00DA5F2E" w:rsidP="00EF1124">
      <w:pPr>
        <w:ind w:firstLine="720"/>
        <w:rPr>
          <w:rFonts w:ascii="Times New Roman" w:hAnsi="Times New Roman" w:cs="Times New Roman"/>
          <w:b/>
          <w:bCs/>
          <w:sz w:val="28"/>
          <w:szCs w:val="28"/>
        </w:rPr>
      </w:pPr>
      <w:r w:rsidRPr="00DA5F2E">
        <w:rPr>
          <w:rFonts w:ascii="Times New Roman" w:hAnsi="Times New Roman" w:cs="Times New Roman"/>
          <w:b/>
          <w:bCs/>
          <w:sz w:val="28"/>
          <w:szCs w:val="28"/>
        </w:rPr>
        <w:t>1. Specific Embodiments of the Invention</w:t>
      </w:r>
      <w:r w:rsidR="00B36F9F">
        <w:rPr>
          <w:rFonts w:ascii="Times New Roman" w:hAnsi="Times New Roman" w:cs="Times New Roman"/>
          <w:b/>
          <w:bCs/>
          <w:sz w:val="28"/>
          <w:szCs w:val="28"/>
        </w:rPr>
        <w:t>:</w:t>
      </w:r>
    </w:p>
    <w:p w14:paraId="7D5C6B5F" w14:textId="50929DF9" w:rsidR="00DA5F2E" w:rsidRDefault="00DA5F2E" w:rsidP="00DA5F2E">
      <w:pPr>
        <w:rPr>
          <w:rFonts w:ascii="Times New Roman" w:hAnsi="Times New Roman" w:cs="Times New Roman"/>
          <w:sz w:val="28"/>
          <w:szCs w:val="28"/>
        </w:rPr>
      </w:pPr>
      <w:r w:rsidRPr="00DA5F2E">
        <w:rPr>
          <w:rFonts w:ascii="Times New Roman" w:hAnsi="Times New Roman" w:cs="Times New Roman"/>
          <w:sz w:val="28"/>
          <w:szCs w:val="28"/>
        </w:rPr>
        <w:t xml:space="preserve">The following embodiments illustrate specific implementations of Tableicity, a privacy-first equity management platform, as described in the foregoing sections. These embodiments are provided to enable one of ordinary </w:t>
      </w:r>
      <w:proofErr w:type="gramStart"/>
      <w:r w:rsidRPr="00DA5F2E">
        <w:rPr>
          <w:rFonts w:ascii="Times New Roman" w:hAnsi="Times New Roman" w:cs="Times New Roman"/>
          <w:sz w:val="28"/>
          <w:szCs w:val="28"/>
        </w:rPr>
        <w:t>skill</w:t>
      </w:r>
      <w:proofErr w:type="gramEnd"/>
      <w:r w:rsidRPr="00DA5F2E">
        <w:rPr>
          <w:rFonts w:ascii="Times New Roman" w:hAnsi="Times New Roman" w:cs="Times New Roman"/>
          <w:sz w:val="28"/>
          <w:szCs w:val="28"/>
        </w:rPr>
        <w:t xml:space="preserve"> in the art to make and use the invention and are not intended to limit the scope of the claims. Variations and modifications within the spirit and scope of the invention are contemplated and included.</w:t>
      </w:r>
    </w:p>
    <w:p w14:paraId="6B0621FC" w14:textId="37F68A21" w:rsidR="00B36F9F" w:rsidRDefault="00DA5F2E" w:rsidP="00DA5F2E">
      <w:pPr>
        <w:rPr>
          <w:rFonts w:ascii="Times New Roman" w:hAnsi="Times New Roman" w:cs="Times New Roman"/>
          <w:sz w:val="28"/>
          <w:szCs w:val="28"/>
        </w:rPr>
      </w:pPr>
      <w:r>
        <w:rPr>
          <w:rFonts w:ascii="Times New Roman" w:hAnsi="Times New Roman" w:cs="Times New Roman"/>
          <w:sz w:val="28"/>
          <w:szCs w:val="28"/>
        </w:rPr>
        <w:tab/>
      </w:r>
      <w:r w:rsidRPr="00B36F9F">
        <w:rPr>
          <w:rFonts w:ascii="Times New Roman" w:hAnsi="Times New Roman" w:cs="Times New Roman"/>
          <w:b/>
          <w:bCs/>
          <w:sz w:val="28"/>
          <w:szCs w:val="28"/>
        </w:rPr>
        <w:t>1.1 Embodiment 1: Founder Onboarding via Seeded Sandbox</w:t>
      </w:r>
    </w:p>
    <w:p w14:paraId="576DC094" w14:textId="77777777" w:rsidR="00B36F9F" w:rsidRPr="00B36F9F" w:rsidRDefault="00B36F9F" w:rsidP="00B36F9F">
      <w:pPr>
        <w:rPr>
          <w:rFonts w:ascii="Times New Roman" w:hAnsi="Times New Roman" w:cs="Times New Roman"/>
          <w:sz w:val="28"/>
          <w:szCs w:val="28"/>
        </w:rPr>
      </w:pPr>
      <w:r w:rsidRPr="00B36F9F">
        <w:rPr>
          <w:rFonts w:ascii="Times New Roman" w:hAnsi="Times New Roman" w:cs="Times New Roman"/>
          <w:sz w:val="28"/>
          <w:szCs w:val="28"/>
        </w:rPr>
        <w:t xml:space="preserve">As shown in FIG. 1, in </w:t>
      </w:r>
      <w:proofErr w:type="gramStart"/>
      <w:r w:rsidRPr="00B36F9F">
        <w:rPr>
          <w:rFonts w:ascii="Times New Roman" w:hAnsi="Times New Roman" w:cs="Times New Roman"/>
          <w:sz w:val="28"/>
          <w:szCs w:val="28"/>
        </w:rPr>
        <w:t>a first</w:t>
      </w:r>
      <w:proofErr w:type="gramEnd"/>
      <w:r w:rsidRPr="00B36F9F">
        <w:rPr>
          <w:rFonts w:ascii="Times New Roman" w:hAnsi="Times New Roman" w:cs="Times New Roman"/>
          <w:sz w:val="28"/>
          <w:szCs w:val="28"/>
        </w:rPr>
        <w:t xml:space="preserve"> embodiment, a founder of a stealth startup accesses Tableicity from a User Device (10) to manage their company's cap table with privacy as a priority. Upon account creation, the request passes through the Four-Gate Middleware (12), which enforces Authentication, Authorization, Tenant Routing, and Rate Limiting before reaching the Application Server (20). The Application Server (20) initializes a dedicated Database Schema (30) (e.g., tenant_startup123 via server/</w:t>
      </w:r>
      <w:proofErr w:type="spellStart"/>
      <w:r w:rsidRPr="00B36F9F">
        <w:rPr>
          <w:rFonts w:ascii="Times New Roman" w:hAnsi="Times New Roman" w:cs="Times New Roman"/>
          <w:sz w:val="28"/>
          <w:szCs w:val="28"/>
        </w:rPr>
        <w:t>tenant.ts</w:t>
      </w:r>
      <w:proofErr w:type="spellEnd"/>
      <w:r w:rsidRPr="00B36F9F">
        <w:rPr>
          <w:rFonts w:ascii="Times New Roman" w:hAnsi="Times New Roman" w:cs="Times New Roman"/>
          <w:sz w:val="28"/>
          <w:szCs w:val="28"/>
        </w:rPr>
        <w:t>) for the founder's company, ensuring Schema-per-Tenant Isolation, whereby each tenant's data resides in a structurally separated schema (30, 32, 34) with no cross-tenant data access.</w:t>
      </w:r>
    </w:p>
    <w:p w14:paraId="2881D731"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As further shown in FIG. 2, the founder is directed to the Seeded Sandbox environment, where mock equity data (e.g., 4 securities with SHA-256 commitment hashes) is pre-seeded into the Mock Securities Data Store (52) using the </w:t>
      </w:r>
      <w:proofErr w:type="spellStart"/>
      <w:proofErr w:type="gramStart"/>
      <w:r w:rsidRPr="00B36F9F">
        <w:rPr>
          <w:rFonts w:ascii="Times New Roman" w:hAnsi="Times New Roman" w:cs="Times New Roman"/>
          <w:sz w:val="28"/>
          <w:szCs w:val="28"/>
        </w:rPr>
        <w:t>seedZkpData</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Initialization Function (50). The founder interacts with the Privacy Vault Interface (54) (</w:t>
      </w:r>
      <w:proofErr w:type="spellStart"/>
      <w:r w:rsidRPr="00B36F9F">
        <w:rPr>
          <w:rFonts w:ascii="Times New Roman" w:hAnsi="Times New Roman" w:cs="Times New Roman"/>
          <w:sz w:val="28"/>
          <w:szCs w:val="28"/>
        </w:rPr>
        <w:t>PrivacyVault.tsx</w:t>
      </w:r>
      <w:proofErr w:type="spellEnd"/>
      <w:r w:rsidRPr="00B36F9F">
        <w:rPr>
          <w:rFonts w:ascii="Times New Roman" w:hAnsi="Times New Roman" w:cs="Times New Roman"/>
          <w:sz w:val="28"/>
          <w:szCs w:val="28"/>
        </w:rPr>
        <w:t xml:space="preserve">) to initiate a live Zero-Knowledge Proof (ZKP) </w:t>
      </w:r>
      <w:r w:rsidRPr="00B36F9F">
        <w:rPr>
          <w:rFonts w:ascii="Times New Roman" w:hAnsi="Times New Roman" w:cs="Times New Roman"/>
          <w:sz w:val="28"/>
          <w:szCs w:val="28"/>
        </w:rPr>
        <w:lastRenderedPageBreak/>
        <w:t>generation cycle, limited to a metered allocation (e.g., 10 proofs in beta mode) as enforced by the Proof Allocation Meter (56) (per proof-</w:t>
      </w:r>
      <w:proofErr w:type="spellStart"/>
      <w:r w:rsidRPr="00B36F9F">
        <w:rPr>
          <w:rFonts w:ascii="Times New Roman" w:hAnsi="Times New Roman" w:cs="Times New Roman"/>
          <w:sz w:val="28"/>
          <w:szCs w:val="28"/>
        </w:rPr>
        <w:t>config.ts</w:t>
      </w:r>
      <w:proofErr w:type="spellEnd"/>
      <w:r w:rsidRPr="00B36F9F">
        <w:rPr>
          <w:rFonts w:ascii="Times New Roman" w:hAnsi="Times New Roman" w:cs="Times New Roman"/>
          <w:sz w:val="28"/>
          <w:szCs w:val="28"/>
        </w:rPr>
        <w:t>).</w:t>
      </w:r>
    </w:p>
    <w:p w14:paraId="18293C15"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Referring to FIG. 3, the method proceeds through sequential steps: at Step 102, the system authenticates the user and initializes the tenant schema; at Step 104, the Seeded Sandbox is initialized with mock equity data; at Step 106, the user requests ZKP generation via the Privacy Vault Interface (54). If the Proof Allocation Meter (56) confirms remaining allocation, the process advances to Step 108, where the Application Server (20) processes the request server-side (proof-</w:t>
      </w:r>
      <w:proofErr w:type="spellStart"/>
      <w:r w:rsidRPr="00B36F9F">
        <w:rPr>
          <w:rFonts w:ascii="Times New Roman" w:hAnsi="Times New Roman" w:cs="Times New Roman"/>
          <w:sz w:val="28"/>
          <w:szCs w:val="28"/>
        </w:rPr>
        <w:t>service.ts</w:t>
      </w:r>
      <w:proofErr w:type="spellEnd"/>
      <w:r w:rsidRPr="00B36F9F">
        <w:rPr>
          <w:rFonts w:ascii="Times New Roman" w:hAnsi="Times New Roman" w:cs="Times New Roman"/>
          <w:sz w:val="28"/>
          <w:szCs w:val="28"/>
        </w:rPr>
        <w:t xml:space="preserve">), invoking the NOIR Circuit Engine (40) to generate </w:t>
      </w:r>
      <w:proofErr w:type="gramStart"/>
      <w:r w:rsidRPr="00B36F9F">
        <w:rPr>
          <w:rFonts w:ascii="Times New Roman" w:hAnsi="Times New Roman" w:cs="Times New Roman"/>
          <w:sz w:val="28"/>
          <w:szCs w:val="28"/>
        </w:rPr>
        <w:t>a proof</w:t>
      </w:r>
      <w:proofErr w:type="gramEnd"/>
      <w:r w:rsidRPr="00B36F9F">
        <w:rPr>
          <w:rFonts w:ascii="Times New Roman" w:hAnsi="Times New Roman" w:cs="Times New Roman"/>
          <w:sz w:val="28"/>
          <w:szCs w:val="28"/>
        </w:rPr>
        <w:t xml:space="preserve"> using the </w:t>
      </w:r>
      <w:proofErr w:type="spellStart"/>
      <w:r w:rsidRPr="00B36F9F">
        <w:rPr>
          <w:rFonts w:ascii="Times New Roman" w:hAnsi="Times New Roman" w:cs="Times New Roman"/>
          <w:sz w:val="28"/>
          <w:szCs w:val="28"/>
        </w:rPr>
        <w:t>ownership_threshold</w:t>
      </w:r>
      <w:proofErr w:type="spellEnd"/>
      <w:r w:rsidRPr="00B36F9F">
        <w:rPr>
          <w:rFonts w:ascii="Times New Roman" w:hAnsi="Times New Roman" w:cs="Times New Roman"/>
          <w:sz w:val="28"/>
          <w:szCs w:val="28"/>
        </w:rPr>
        <w:t xml:space="preserve"> circuit to verify a mock </w:t>
      </w:r>
      <w:proofErr w:type="gramStart"/>
      <w:r w:rsidRPr="00B36F9F">
        <w:rPr>
          <w:rFonts w:ascii="Times New Roman" w:hAnsi="Times New Roman" w:cs="Times New Roman"/>
          <w:sz w:val="28"/>
          <w:szCs w:val="28"/>
        </w:rPr>
        <w:t>stakeholder's ownership</w:t>
      </w:r>
      <w:proofErr w:type="gramEnd"/>
      <w:r w:rsidRPr="00B36F9F">
        <w:rPr>
          <w:rFonts w:ascii="Times New Roman" w:hAnsi="Times New Roman" w:cs="Times New Roman"/>
          <w:sz w:val="28"/>
          <w:szCs w:val="28"/>
        </w:rPr>
        <w:t xml:space="preserve"> percentage without exposing underlying data.</w:t>
      </w:r>
    </w:p>
    <w:p w14:paraId="00F2BDD6"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 xml:space="preserve">As illustrated in FIG. 4, at Step 110, the proof's success is tracked via an atomic PostgreSQL </w:t>
      </w:r>
      <w:proofErr w:type="spellStart"/>
      <w:r w:rsidRPr="00B36F9F">
        <w:rPr>
          <w:rFonts w:ascii="Times New Roman" w:hAnsi="Times New Roman" w:cs="Times New Roman"/>
          <w:sz w:val="28"/>
          <w:szCs w:val="28"/>
        </w:rPr>
        <w:t>upsert</w:t>
      </w:r>
      <w:proofErr w:type="spellEnd"/>
      <w:r w:rsidRPr="00B36F9F">
        <w:rPr>
          <w:rFonts w:ascii="Times New Roman" w:hAnsi="Times New Roman" w:cs="Times New Roman"/>
          <w:sz w:val="28"/>
          <w:szCs w:val="28"/>
        </w:rPr>
        <w:t xml:space="preserve"> (</w:t>
      </w:r>
      <w:proofErr w:type="spellStart"/>
      <w:proofErr w:type="gramStart"/>
      <w:r w:rsidRPr="00B36F9F">
        <w:rPr>
          <w:rFonts w:ascii="Times New Roman" w:hAnsi="Times New Roman" w:cs="Times New Roman"/>
          <w:sz w:val="28"/>
          <w:szCs w:val="28"/>
        </w:rPr>
        <w:t>incrementProofUsage</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in </w:t>
      </w:r>
      <w:proofErr w:type="spellStart"/>
      <w:r w:rsidRPr="00B36F9F">
        <w:rPr>
          <w:rFonts w:ascii="Times New Roman" w:hAnsi="Times New Roman" w:cs="Times New Roman"/>
          <w:sz w:val="28"/>
          <w:szCs w:val="28"/>
        </w:rPr>
        <w:t>storage.ts</w:t>
      </w:r>
      <w:proofErr w:type="spellEnd"/>
      <w:r w:rsidRPr="00B36F9F">
        <w:rPr>
          <w:rFonts w:ascii="Times New Roman" w:hAnsi="Times New Roman" w:cs="Times New Roman"/>
          <w:sz w:val="28"/>
          <w:szCs w:val="28"/>
        </w:rPr>
        <w:t xml:space="preserve">) (66), where the proof record and usage counter are committed atomically (68) within a single database transaction. Upon successful </w:t>
      </w:r>
      <w:proofErr w:type="gramStart"/>
      <w:r w:rsidRPr="00B36F9F">
        <w:rPr>
          <w:rFonts w:ascii="Times New Roman" w:hAnsi="Times New Roman" w:cs="Times New Roman"/>
          <w:sz w:val="28"/>
          <w:szCs w:val="28"/>
        </w:rPr>
        <w:t>commit</w:t>
      </w:r>
      <w:proofErr w:type="gramEnd"/>
      <w:r w:rsidRPr="00B36F9F">
        <w:rPr>
          <w:rFonts w:ascii="Times New Roman" w:hAnsi="Times New Roman" w:cs="Times New Roman"/>
          <w:sz w:val="28"/>
          <w:szCs w:val="28"/>
        </w:rPr>
        <w:t>, a Verification URL (42) is returned at Step 112 for sharing with a potential investor.</w:t>
      </w:r>
    </w:p>
    <w:p w14:paraId="7B6963CD"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As depicted in FIG. 5, the Security Ritual UX guides the founder through the process with visual feedback. The interface transitions from the IDLE state (80) to the PROCESSING state (82), where the progress animation advances from 0% to 97%. Upon reaching the threshold, the system enters the 98% CAP state (84), where the display is held via </w:t>
      </w:r>
      <w:proofErr w:type="spellStart"/>
      <w:r w:rsidRPr="00B36F9F">
        <w:rPr>
          <w:rFonts w:ascii="Times New Roman" w:hAnsi="Times New Roman" w:cs="Times New Roman"/>
          <w:sz w:val="28"/>
          <w:szCs w:val="28"/>
        </w:rPr>
        <w:t>requestAnimationFrame</w:t>
      </w:r>
      <w:proofErr w:type="spellEnd"/>
      <w:r w:rsidRPr="00B36F9F">
        <w:rPr>
          <w:rFonts w:ascii="Times New Roman" w:hAnsi="Times New Roman" w:cs="Times New Roman"/>
          <w:sz w:val="28"/>
          <w:szCs w:val="28"/>
        </w:rPr>
        <w:t> to prevent premature completion indication. Only upon receipt of server-side proof verification from the Application Server (20) does the interface transition to the VERIFIED state (86), displaying the Verification URL (42) at 100% and building trust in the platform's privacy capabilities before the founder transitions to live data management.</w:t>
      </w:r>
    </w:p>
    <w:p w14:paraId="388818E2"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1.2 Embodiment 2: Public Verification by External Party</w:t>
      </w:r>
    </w:p>
    <w:p w14:paraId="582F6214" w14:textId="77777777" w:rsidR="00B36F9F" w:rsidRPr="00B36F9F" w:rsidRDefault="00B36F9F" w:rsidP="00B36F9F">
      <w:pPr>
        <w:rPr>
          <w:rFonts w:ascii="Times New Roman" w:hAnsi="Times New Roman" w:cs="Times New Roman"/>
          <w:sz w:val="28"/>
          <w:szCs w:val="28"/>
        </w:rPr>
      </w:pPr>
      <w:r w:rsidRPr="00B36F9F">
        <w:rPr>
          <w:rFonts w:ascii="Times New Roman" w:hAnsi="Times New Roman" w:cs="Times New Roman"/>
          <w:sz w:val="28"/>
          <w:szCs w:val="28"/>
        </w:rPr>
        <w:t xml:space="preserve">In a second embodiment, as shown in FIG. 1, an external auditor or investor receives a Verification URL (42) from a Tableicity user to confirm an equity-related statement (e.g., ownership threshold) without accessing sensitive data. Unlike the authenticated flow of </w:t>
      </w:r>
      <w:r w:rsidRPr="00B36F9F">
        <w:rPr>
          <w:rFonts w:ascii="Times New Roman" w:hAnsi="Times New Roman" w:cs="Times New Roman"/>
          <w:sz w:val="28"/>
          <w:szCs w:val="28"/>
        </w:rPr>
        <w:lastRenderedPageBreak/>
        <w:t>Embodiment 1, the external party's User Device (10) directs to a public verification endpoint (proof-</w:t>
      </w:r>
      <w:proofErr w:type="spellStart"/>
      <w:r w:rsidRPr="00B36F9F">
        <w:rPr>
          <w:rFonts w:ascii="Times New Roman" w:hAnsi="Times New Roman" w:cs="Times New Roman"/>
          <w:sz w:val="28"/>
          <w:szCs w:val="28"/>
        </w:rPr>
        <w:t>routes.ts</w:t>
      </w:r>
      <w:proofErr w:type="spellEnd"/>
      <w:r w:rsidRPr="00B36F9F">
        <w:rPr>
          <w:rFonts w:ascii="Times New Roman" w:hAnsi="Times New Roman" w:cs="Times New Roman"/>
          <w:sz w:val="28"/>
          <w:szCs w:val="28"/>
        </w:rPr>
        <w:t>) on the Application Server (20), which is unauthenticated and rate-limited for efficiency — bypassing the full Four-Gate Middleware (12) authentication and authorization gates while retaining the Rate Limiting gate.</w:t>
      </w:r>
    </w:p>
    <w:p w14:paraId="2CD27A26"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Referring to FIG. 1, the Application Server (20) performs a status-based lookup on the stored proof (identified by a unique </w:t>
      </w:r>
      <w:proofErr w:type="spellStart"/>
      <w:r w:rsidRPr="00B36F9F">
        <w:rPr>
          <w:rFonts w:ascii="Times New Roman" w:hAnsi="Times New Roman" w:cs="Times New Roman"/>
          <w:sz w:val="28"/>
          <w:szCs w:val="28"/>
        </w:rPr>
        <w:t>proofId</w:t>
      </w:r>
      <w:proofErr w:type="spellEnd"/>
      <w:r w:rsidRPr="00B36F9F">
        <w:rPr>
          <w:rFonts w:ascii="Times New Roman" w:hAnsi="Times New Roman" w:cs="Times New Roman"/>
          <w:sz w:val="28"/>
          <w:szCs w:val="28"/>
        </w:rPr>
        <w:t>) within the tenant's isolated Database Schema (30), bypassing cryptographic re-verification via the NOIR Circuit Engine (40) to minimize computational overhead. The Schema-per-Tenant Isolation ensures the lookup is confined to the originating tenant's schema (30), with no cross-tenant data access to adjacent schemas (32, 34).</w:t>
      </w:r>
    </w:p>
    <w:p w14:paraId="21A4D853"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The result is displayed on a public page (</w:t>
      </w:r>
      <w:proofErr w:type="spellStart"/>
      <w:r w:rsidRPr="00B36F9F">
        <w:rPr>
          <w:rFonts w:ascii="Times New Roman" w:hAnsi="Times New Roman" w:cs="Times New Roman"/>
          <w:sz w:val="28"/>
          <w:szCs w:val="28"/>
        </w:rPr>
        <w:t>PublicVerify.tsx</w:t>
      </w:r>
      <w:proofErr w:type="spellEnd"/>
      <w:r w:rsidRPr="00B36F9F">
        <w:rPr>
          <w:rFonts w:ascii="Times New Roman" w:hAnsi="Times New Roman" w:cs="Times New Roman"/>
          <w:sz w:val="28"/>
          <w:szCs w:val="28"/>
        </w:rPr>
        <w:t xml:space="preserve">) with one of four states corresponding to the Security Ritual UX state model depicted in FIG. 5: "Verified" (mapping to the VERIFIED state (86)), "Invalid" (mapping to the ERROR state (88)), "Expired," or "Not Found" — ensuring no raw data or tenant-specific information is exposed. This embodiment demonstrates </w:t>
      </w:r>
      <w:proofErr w:type="spellStart"/>
      <w:r w:rsidRPr="00B36F9F">
        <w:rPr>
          <w:rFonts w:ascii="Times New Roman" w:hAnsi="Times New Roman" w:cs="Times New Roman"/>
          <w:sz w:val="28"/>
          <w:szCs w:val="28"/>
        </w:rPr>
        <w:t>Tableicity's</w:t>
      </w:r>
      <w:proofErr w:type="spellEnd"/>
      <w:r w:rsidRPr="00B36F9F">
        <w:rPr>
          <w:rFonts w:ascii="Times New Roman" w:hAnsi="Times New Roman" w:cs="Times New Roman"/>
          <w:sz w:val="28"/>
          <w:szCs w:val="28"/>
        </w:rPr>
        <w:t xml:space="preserve"> dual verification paths — internal for authenticated users routed through the Four-Gate Middleware (12), and public for external parties with direct access to the Verification URL Output (42) — enhancing accessibility while maintaining data invisibility, a significant departure from traditional platforms like Carta where raw data exposure is a risk during audits.</w:t>
      </w:r>
    </w:p>
    <w:p w14:paraId="628A66AB"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1.3 Embodiment 3: Monetization Activation via Dual-Configuration Gating</w:t>
      </w:r>
    </w:p>
    <w:p w14:paraId="72918C9A" w14:textId="77777777" w:rsidR="00B36F9F" w:rsidRPr="00B36F9F" w:rsidRDefault="00B36F9F" w:rsidP="00B36F9F">
      <w:pPr>
        <w:rPr>
          <w:rFonts w:ascii="Times New Roman" w:hAnsi="Times New Roman" w:cs="Times New Roman"/>
          <w:sz w:val="28"/>
          <w:szCs w:val="28"/>
        </w:rPr>
      </w:pPr>
      <w:r w:rsidRPr="00B36F9F">
        <w:rPr>
          <w:rFonts w:ascii="Times New Roman" w:hAnsi="Times New Roman" w:cs="Times New Roman"/>
          <w:sz w:val="28"/>
          <w:szCs w:val="28"/>
        </w:rPr>
        <w:t xml:space="preserve">In a third embodiment, as shown in FIG. 1 and FIG. 2, </w:t>
      </w:r>
      <w:proofErr w:type="spellStart"/>
      <w:r w:rsidRPr="00B36F9F">
        <w:rPr>
          <w:rFonts w:ascii="Times New Roman" w:hAnsi="Times New Roman" w:cs="Times New Roman"/>
          <w:sz w:val="28"/>
          <w:szCs w:val="28"/>
        </w:rPr>
        <w:t>Tableicity's</w:t>
      </w:r>
      <w:proofErr w:type="spellEnd"/>
      <w:r w:rsidRPr="00B36F9F">
        <w:rPr>
          <w:rFonts w:ascii="Times New Roman" w:hAnsi="Times New Roman" w:cs="Times New Roman"/>
          <w:sz w:val="28"/>
          <w:szCs w:val="28"/>
        </w:rPr>
        <w:t xml:space="preserve"> administrator transitions the platform from Beta to Production mode to activate monetization across all tenant Database Schemas (30, 32, 34). Initially set to BETA_MODE = true in proof-</w:t>
      </w:r>
      <w:proofErr w:type="spellStart"/>
      <w:r w:rsidRPr="00B36F9F">
        <w:rPr>
          <w:rFonts w:ascii="Times New Roman" w:hAnsi="Times New Roman" w:cs="Times New Roman"/>
          <w:sz w:val="28"/>
          <w:szCs w:val="28"/>
        </w:rPr>
        <w:t>config.ts</w:t>
      </w:r>
      <w:proofErr w:type="spellEnd"/>
      <w:r w:rsidRPr="00B36F9F">
        <w:rPr>
          <w:rFonts w:ascii="Times New Roman" w:hAnsi="Times New Roman" w:cs="Times New Roman"/>
          <w:sz w:val="28"/>
          <w:szCs w:val="28"/>
        </w:rPr>
        <w:t xml:space="preserve">, the system allows all tiers a metered allocation of ZKP generations (e.g., 10 proofs/month) as enforced by the Proof Allocation Meter (56). Upon updating the compile-time </w:t>
      </w:r>
      <w:proofErr w:type="spellStart"/>
      <w:r w:rsidRPr="00B36F9F">
        <w:rPr>
          <w:rFonts w:ascii="Times New Roman" w:hAnsi="Times New Roman" w:cs="Times New Roman"/>
          <w:sz w:val="28"/>
          <w:szCs w:val="28"/>
        </w:rPr>
        <w:t>boolean</w:t>
      </w:r>
      <w:proofErr w:type="spellEnd"/>
      <w:r w:rsidRPr="00B36F9F">
        <w:rPr>
          <w:rFonts w:ascii="Times New Roman" w:hAnsi="Times New Roman" w:cs="Times New Roman"/>
          <w:sz w:val="28"/>
          <w:szCs w:val="28"/>
        </w:rPr>
        <w:t xml:space="preserve"> constant to BETA_MODE = false, the permission matrix switches to the Production configuration (PROOF_TIER_PRODUCTION), restricting access to paid tiers only.</w:t>
      </w:r>
    </w:p>
    <w:p w14:paraId="54CBF205"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lastRenderedPageBreak/>
        <w:t>Referring to FIG. 1, this state-wide transition occurs simultaneously for all tenants across their isolated Database Schemas (30, 32, 34) without code path changes, as the computationally invariant Four-Gate Middleware (12) — specifically the </w:t>
      </w:r>
      <w:proofErr w:type="spellStart"/>
      <w:r w:rsidRPr="00B36F9F">
        <w:rPr>
          <w:rFonts w:ascii="Times New Roman" w:hAnsi="Times New Roman" w:cs="Times New Roman"/>
          <w:sz w:val="28"/>
          <w:szCs w:val="28"/>
        </w:rPr>
        <w:t>checkProofAccess</w:t>
      </w:r>
      <w:proofErr w:type="spellEnd"/>
      <w:r w:rsidRPr="00B36F9F">
        <w:rPr>
          <w:rFonts w:ascii="Times New Roman" w:hAnsi="Times New Roman" w:cs="Times New Roman"/>
          <w:sz w:val="28"/>
          <w:szCs w:val="28"/>
        </w:rPr>
        <w:t> function in proof-</w:t>
      </w:r>
      <w:proofErr w:type="spellStart"/>
      <w:r w:rsidRPr="00B36F9F">
        <w:rPr>
          <w:rFonts w:ascii="Times New Roman" w:hAnsi="Times New Roman" w:cs="Times New Roman"/>
          <w:sz w:val="28"/>
          <w:szCs w:val="28"/>
        </w:rPr>
        <w:t>middleware.ts</w:t>
      </w:r>
      <w:proofErr w:type="spellEnd"/>
      <w:r w:rsidRPr="00B36F9F">
        <w:rPr>
          <w:rFonts w:ascii="Times New Roman" w:hAnsi="Times New Roman" w:cs="Times New Roman"/>
          <w:sz w:val="28"/>
          <w:szCs w:val="28"/>
        </w:rPr>
        <w:t> — retrieves updated tier-limit data while executing identical Authentication, Authorization, Tenant Routing, and Rate Limiting logic. The Application Server (20) processes all requests through the same middleware gates regardless of Beta or Production configuration, ensuring no divergence in the security enforcement path.</w:t>
      </w:r>
    </w:p>
    <w:p w14:paraId="2F10903F"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 xml:space="preserve">As illustrated in FIG. 4, usage tracking remains atomic via the PostgreSQL </w:t>
      </w:r>
      <w:proofErr w:type="spellStart"/>
      <w:r w:rsidRPr="00B36F9F">
        <w:rPr>
          <w:rFonts w:ascii="Times New Roman" w:hAnsi="Times New Roman" w:cs="Times New Roman"/>
          <w:sz w:val="28"/>
          <w:szCs w:val="28"/>
        </w:rPr>
        <w:t>upsert</w:t>
      </w:r>
      <w:proofErr w:type="spellEnd"/>
      <w:r w:rsidRPr="00B36F9F">
        <w:rPr>
          <w:rFonts w:ascii="Times New Roman" w:hAnsi="Times New Roman" w:cs="Times New Roman"/>
          <w:sz w:val="28"/>
          <w:szCs w:val="28"/>
        </w:rPr>
        <w:t xml:space="preserve"> mechanism in </w:t>
      </w:r>
      <w:proofErr w:type="spellStart"/>
      <w:r w:rsidRPr="00B36F9F">
        <w:rPr>
          <w:rFonts w:ascii="Times New Roman" w:hAnsi="Times New Roman" w:cs="Times New Roman"/>
          <w:sz w:val="28"/>
          <w:szCs w:val="28"/>
        </w:rPr>
        <w:t>storage.ts</w:t>
      </w:r>
      <w:proofErr w:type="spellEnd"/>
      <w:r w:rsidRPr="00B36F9F">
        <w:rPr>
          <w:rFonts w:ascii="Times New Roman" w:hAnsi="Times New Roman" w:cs="Times New Roman"/>
          <w:sz w:val="28"/>
          <w:szCs w:val="28"/>
        </w:rPr>
        <w:t> (</w:t>
      </w:r>
      <w:proofErr w:type="spellStart"/>
      <w:proofErr w:type="gramStart"/>
      <w:r w:rsidRPr="00B36F9F">
        <w:rPr>
          <w:rFonts w:ascii="Times New Roman" w:hAnsi="Times New Roman" w:cs="Times New Roman"/>
          <w:sz w:val="28"/>
          <w:szCs w:val="28"/>
        </w:rPr>
        <w:t>incrementProofUsage</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xml:space="preserve">)) (66), where proof records and usage counters are committed atomically (68) within a single database transaction, ensuring billing accuracy across all tenant schemas. This "kill switch" mechanism enables seamless monetization scaling, distinguishing </w:t>
      </w:r>
      <w:proofErr w:type="spellStart"/>
      <w:r w:rsidRPr="00B36F9F">
        <w:rPr>
          <w:rFonts w:ascii="Times New Roman" w:hAnsi="Times New Roman" w:cs="Times New Roman"/>
          <w:sz w:val="28"/>
          <w:szCs w:val="28"/>
        </w:rPr>
        <w:t>Tableicity's</w:t>
      </w:r>
      <w:proofErr w:type="spellEnd"/>
      <w:r w:rsidRPr="00B36F9F">
        <w:rPr>
          <w:rFonts w:ascii="Times New Roman" w:hAnsi="Times New Roman" w:cs="Times New Roman"/>
          <w:sz w:val="28"/>
          <w:szCs w:val="28"/>
        </w:rPr>
        <w:t xml:space="preserve"> SaaS model from static access systems in equity management.</w:t>
      </w:r>
    </w:p>
    <w:p w14:paraId="5BC66656" w14:textId="3D61EC0F" w:rsidR="00B36F9F" w:rsidRPr="00B36F9F" w:rsidRDefault="00B36F9F" w:rsidP="00EF1124">
      <w:pPr>
        <w:ind w:firstLine="720"/>
        <w:rPr>
          <w:rFonts w:ascii="Times New Roman" w:hAnsi="Times New Roman" w:cs="Times New Roman"/>
          <w:b/>
          <w:bCs/>
          <w:sz w:val="28"/>
          <w:szCs w:val="28"/>
        </w:rPr>
      </w:pPr>
      <w:r w:rsidRPr="00B36F9F">
        <w:rPr>
          <w:rFonts w:ascii="Times New Roman" w:hAnsi="Times New Roman" w:cs="Times New Roman"/>
          <w:b/>
          <w:bCs/>
          <w:sz w:val="28"/>
          <w:szCs w:val="28"/>
        </w:rPr>
        <w:t>2. Diagrams and Visual Representations</w:t>
      </w:r>
    </w:p>
    <w:p w14:paraId="4D610522" w14:textId="43F65277" w:rsidR="00DA5F2E" w:rsidRDefault="00B36F9F" w:rsidP="00B36F9F">
      <w:pPr>
        <w:rPr>
          <w:rFonts w:ascii="Times New Roman" w:hAnsi="Times New Roman" w:cs="Times New Roman"/>
          <w:sz w:val="28"/>
          <w:szCs w:val="28"/>
        </w:rPr>
      </w:pPr>
      <w:r w:rsidRPr="00B36F9F">
        <w:rPr>
          <w:rFonts w:ascii="Times New Roman" w:hAnsi="Times New Roman" w:cs="Times New Roman"/>
          <w:sz w:val="28"/>
          <w:szCs w:val="28"/>
        </w:rPr>
        <w:t xml:space="preserve">To further enable understanding of </w:t>
      </w:r>
      <w:proofErr w:type="spellStart"/>
      <w:r w:rsidRPr="00B36F9F">
        <w:rPr>
          <w:rFonts w:ascii="Times New Roman" w:hAnsi="Times New Roman" w:cs="Times New Roman"/>
          <w:sz w:val="28"/>
          <w:szCs w:val="28"/>
        </w:rPr>
        <w:t>Tableicity’s</w:t>
      </w:r>
      <w:proofErr w:type="spellEnd"/>
      <w:r w:rsidRPr="00B36F9F">
        <w:rPr>
          <w:rFonts w:ascii="Times New Roman" w:hAnsi="Times New Roman" w:cs="Times New Roman"/>
          <w:sz w:val="28"/>
          <w:szCs w:val="28"/>
        </w:rPr>
        <w:t xml:space="preserve"> system, the following textual descriptions of diagrams illustrate key data flows and component interactions. These representations are derived from detailed interaction mappings in the system documentation and are intended to support the Examiner’s comprehension of the invention’s operation.</w:t>
      </w:r>
    </w:p>
    <w:p w14:paraId="097775CF"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2.1 Diagram 1: System Component Interaction Flow</w:t>
      </w:r>
    </w:p>
    <w:p w14:paraId="46EF4F1B" w14:textId="77777777" w:rsidR="00B36F9F" w:rsidRPr="00B36F9F" w:rsidRDefault="00B36F9F" w:rsidP="00B36F9F">
      <w:pPr>
        <w:rPr>
          <w:rFonts w:ascii="Times New Roman" w:hAnsi="Times New Roman" w:cs="Times New Roman"/>
          <w:sz w:val="28"/>
          <w:szCs w:val="28"/>
        </w:rPr>
      </w:pPr>
      <w:r w:rsidRPr="00B36F9F">
        <w:rPr>
          <w:rFonts w:ascii="Times New Roman" w:hAnsi="Times New Roman" w:cs="Times New Roman"/>
          <w:sz w:val="28"/>
          <w:szCs w:val="28"/>
        </w:rPr>
        <w:t xml:space="preserve">As shown in FIG. 1, this diagram depicts the multi-layered architecture of Tableicity across </w:t>
      </w:r>
      <w:proofErr w:type="gramStart"/>
      <w:r w:rsidRPr="00B36F9F">
        <w:rPr>
          <w:rFonts w:ascii="Times New Roman" w:hAnsi="Times New Roman" w:cs="Times New Roman"/>
          <w:sz w:val="28"/>
          <w:szCs w:val="28"/>
        </w:rPr>
        <w:t>browser</w:t>
      </w:r>
      <w:proofErr w:type="gramEnd"/>
      <w:r w:rsidRPr="00B36F9F">
        <w:rPr>
          <w:rFonts w:ascii="Times New Roman" w:hAnsi="Times New Roman" w:cs="Times New Roman"/>
          <w:sz w:val="28"/>
          <w:szCs w:val="28"/>
        </w:rPr>
        <w:t xml:space="preserve">, </w:t>
      </w:r>
      <w:proofErr w:type="gramStart"/>
      <w:r w:rsidRPr="00B36F9F">
        <w:rPr>
          <w:rFonts w:ascii="Times New Roman" w:hAnsi="Times New Roman" w:cs="Times New Roman"/>
          <w:sz w:val="28"/>
          <w:szCs w:val="28"/>
        </w:rPr>
        <w:t>server</w:t>
      </w:r>
      <w:proofErr w:type="gramEnd"/>
      <w:r w:rsidRPr="00B36F9F">
        <w:rPr>
          <w:rFonts w:ascii="Times New Roman" w:hAnsi="Times New Roman" w:cs="Times New Roman"/>
          <w:sz w:val="28"/>
          <w:szCs w:val="28"/>
        </w:rPr>
        <w:t>, and database layers. At the browser layer, the User Device (10) hosts four frontend pages — including the Privacy Vault Interface (54) (see FIG. 2) and the public verification page (</w:t>
      </w:r>
      <w:proofErr w:type="spellStart"/>
      <w:proofErr w:type="gramStart"/>
      <w:r w:rsidRPr="00B36F9F">
        <w:rPr>
          <w:rFonts w:ascii="Times New Roman" w:hAnsi="Times New Roman" w:cs="Times New Roman"/>
          <w:sz w:val="28"/>
          <w:szCs w:val="28"/>
        </w:rPr>
        <w:t>PublicVerify.tsx</w:t>
      </w:r>
      <w:proofErr w:type="spellEnd"/>
      <w:r w:rsidRPr="00B36F9F">
        <w:rPr>
          <w:rFonts w:ascii="Times New Roman" w:hAnsi="Times New Roman" w:cs="Times New Roman"/>
          <w:sz w:val="28"/>
          <w:szCs w:val="28"/>
        </w:rPr>
        <w:t>) —</w:t>
      </w:r>
      <w:proofErr w:type="gramEnd"/>
      <w:r w:rsidRPr="00B36F9F">
        <w:rPr>
          <w:rFonts w:ascii="Times New Roman" w:hAnsi="Times New Roman" w:cs="Times New Roman"/>
          <w:sz w:val="28"/>
          <w:szCs w:val="28"/>
        </w:rPr>
        <w:t xml:space="preserve"> along with a custom ZKP hook that initiates user requests. Arrows show API calls passing through the Four-Gate Middleware (12), which enforces Authentication, Authorization, Tenant Routing, and Rate Limiting before reaching the server layer.</w:t>
      </w:r>
    </w:p>
    <w:p w14:paraId="65BA8E88"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lastRenderedPageBreak/>
        <w:t>At the server layer, the Application Server (20) processes requests through routes (proof-</w:t>
      </w:r>
      <w:proofErr w:type="spellStart"/>
      <w:r w:rsidRPr="00B36F9F">
        <w:rPr>
          <w:rFonts w:ascii="Times New Roman" w:hAnsi="Times New Roman" w:cs="Times New Roman"/>
          <w:sz w:val="28"/>
          <w:szCs w:val="28"/>
        </w:rPr>
        <w:t>routes.ts</w:t>
      </w:r>
      <w:proofErr w:type="spellEnd"/>
      <w:r w:rsidRPr="00B36F9F">
        <w:rPr>
          <w:rFonts w:ascii="Times New Roman" w:hAnsi="Times New Roman" w:cs="Times New Roman"/>
          <w:sz w:val="28"/>
          <w:szCs w:val="28"/>
        </w:rPr>
        <w:t>), middleware (proof-</w:t>
      </w:r>
      <w:proofErr w:type="spellStart"/>
      <w:r w:rsidRPr="00B36F9F">
        <w:rPr>
          <w:rFonts w:ascii="Times New Roman" w:hAnsi="Times New Roman" w:cs="Times New Roman"/>
          <w:sz w:val="28"/>
          <w:szCs w:val="28"/>
        </w:rPr>
        <w:t>middleware.ts</w:t>
      </w:r>
      <w:proofErr w:type="spellEnd"/>
      <w:r w:rsidRPr="00B36F9F">
        <w:rPr>
          <w:rFonts w:ascii="Times New Roman" w:hAnsi="Times New Roman" w:cs="Times New Roman"/>
          <w:sz w:val="28"/>
          <w:szCs w:val="28"/>
        </w:rPr>
        <w:t>), proof services (proof-</w:t>
      </w:r>
      <w:proofErr w:type="spellStart"/>
      <w:r w:rsidRPr="00B36F9F">
        <w:rPr>
          <w:rFonts w:ascii="Times New Roman" w:hAnsi="Times New Roman" w:cs="Times New Roman"/>
          <w:sz w:val="28"/>
          <w:szCs w:val="28"/>
        </w:rPr>
        <w:t>service.ts</w:t>
      </w:r>
      <w:proofErr w:type="spellEnd"/>
      <w:r w:rsidRPr="00B36F9F">
        <w:rPr>
          <w:rFonts w:ascii="Times New Roman" w:hAnsi="Times New Roman" w:cs="Times New Roman"/>
          <w:sz w:val="28"/>
          <w:szCs w:val="28"/>
        </w:rPr>
        <w:t>), and configuration settings (proof-</w:t>
      </w:r>
      <w:proofErr w:type="spellStart"/>
      <w:r w:rsidRPr="00B36F9F">
        <w:rPr>
          <w:rFonts w:ascii="Times New Roman" w:hAnsi="Times New Roman" w:cs="Times New Roman"/>
          <w:sz w:val="28"/>
          <w:szCs w:val="28"/>
        </w:rPr>
        <w:t>config.ts</w:t>
      </w:r>
      <w:proofErr w:type="spellEnd"/>
      <w:r w:rsidRPr="00B36F9F">
        <w:rPr>
          <w:rFonts w:ascii="Times New Roman" w:hAnsi="Times New Roman" w:cs="Times New Roman"/>
          <w:sz w:val="28"/>
          <w:szCs w:val="28"/>
        </w:rPr>
        <w:t>). As further shown in FIG. 4, the Application Server (20) interacts with the NOIR Circuit Engine (40) for cryptographic operations, receiving Incoming Proof Requests (60), validating parameters and loading circuits via proof-</w:t>
      </w:r>
      <w:proofErr w:type="spellStart"/>
      <w:r w:rsidRPr="00B36F9F">
        <w:rPr>
          <w:rFonts w:ascii="Times New Roman" w:hAnsi="Times New Roman" w:cs="Times New Roman"/>
          <w:sz w:val="28"/>
          <w:szCs w:val="28"/>
        </w:rPr>
        <w:t>service.ts</w:t>
      </w:r>
      <w:proofErr w:type="spellEnd"/>
      <w:r w:rsidRPr="00B36F9F">
        <w:rPr>
          <w:rFonts w:ascii="Times New Roman" w:hAnsi="Times New Roman" w:cs="Times New Roman"/>
          <w:sz w:val="28"/>
          <w:szCs w:val="28"/>
        </w:rPr>
        <w:t> (62), and executing the </w:t>
      </w:r>
      <w:proofErr w:type="spellStart"/>
      <w:r w:rsidRPr="00B36F9F">
        <w:rPr>
          <w:rFonts w:ascii="Times New Roman" w:hAnsi="Times New Roman" w:cs="Times New Roman"/>
          <w:sz w:val="28"/>
          <w:szCs w:val="28"/>
        </w:rPr>
        <w:t>ownership_threshold</w:t>
      </w:r>
      <w:proofErr w:type="spellEnd"/>
      <w:r w:rsidRPr="00B36F9F">
        <w:rPr>
          <w:rFonts w:ascii="Times New Roman" w:hAnsi="Times New Roman" w:cs="Times New Roman"/>
          <w:sz w:val="28"/>
          <w:szCs w:val="28"/>
        </w:rPr>
        <w:t> circuit (64).</w:t>
      </w:r>
    </w:p>
    <w:p w14:paraId="40FADB70" w14:textId="77777777" w:rsid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 xml:space="preserve">Referring to FIG. 1, data flows to and from the database layer, represented as isolated tenant Database Schemas (30, 32, </w:t>
      </w:r>
      <w:proofErr w:type="gramStart"/>
      <w:r w:rsidRPr="00B36F9F">
        <w:rPr>
          <w:rFonts w:ascii="Times New Roman" w:hAnsi="Times New Roman" w:cs="Times New Roman"/>
          <w:sz w:val="28"/>
          <w:szCs w:val="28"/>
        </w:rPr>
        <w:t>34) —</w:t>
      </w:r>
      <w:proofErr w:type="gramEnd"/>
      <w:r w:rsidRPr="00B36F9F">
        <w:rPr>
          <w:rFonts w:ascii="Times New Roman" w:hAnsi="Times New Roman" w:cs="Times New Roman"/>
          <w:sz w:val="28"/>
          <w:szCs w:val="28"/>
        </w:rPr>
        <w:t xml:space="preserve"> each containing five tables (e.g., equity records, proof </w:t>
      </w:r>
      <w:proofErr w:type="gramStart"/>
      <w:r w:rsidRPr="00B36F9F">
        <w:rPr>
          <w:rFonts w:ascii="Times New Roman" w:hAnsi="Times New Roman" w:cs="Times New Roman"/>
          <w:sz w:val="28"/>
          <w:szCs w:val="28"/>
        </w:rPr>
        <w:t>usage) —</w:t>
      </w:r>
      <w:proofErr w:type="gramEnd"/>
      <w:r w:rsidRPr="00B36F9F">
        <w:rPr>
          <w:rFonts w:ascii="Times New Roman" w:hAnsi="Times New Roman" w:cs="Times New Roman"/>
          <w:sz w:val="28"/>
          <w:szCs w:val="28"/>
        </w:rPr>
        <w:t xml:space="preserve"> with no cross-tenant data access. As illustrated in FIG. 4, writes are executed atomically via </w:t>
      </w:r>
      <w:proofErr w:type="spellStart"/>
      <w:proofErr w:type="gramStart"/>
      <w:r w:rsidRPr="00B36F9F">
        <w:rPr>
          <w:rFonts w:ascii="Times New Roman" w:hAnsi="Times New Roman" w:cs="Times New Roman"/>
          <w:sz w:val="28"/>
          <w:szCs w:val="28"/>
        </w:rPr>
        <w:t>incrementProofUsage</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(66), committing proof records and usage counters within a single transaction (68). Return arrows indicate responses — including </w:t>
      </w:r>
      <w:proofErr w:type="spellStart"/>
      <w:r w:rsidRPr="00B36F9F">
        <w:rPr>
          <w:rFonts w:ascii="Times New Roman" w:hAnsi="Times New Roman" w:cs="Times New Roman"/>
          <w:sz w:val="28"/>
          <w:szCs w:val="28"/>
        </w:rPr>
        <w:t>proofId</w:t>
      </w:r>
      <w:proofErr w:type="spellEnd"/>
      <w:r w:rsidRPr="00B36F9F">
        <w:rPr>
          <w:rFonts w:ascii="Times New Roman" w:hAnsi="Times New Roman" w:cs="Times New Roman"/>
          <w:sz w:val="28"/>
          <w:szCs w:val="28"/>
        </w:rPr>
        <w:t> and Verification URL (</w:t>
      </w:r>
      <w:proofErr w:type="gramStart"/>
      <w:r w:rsidRPr="00B36F9F">
        <w:rPr>
          <w:rFonts w:ascii="Times New Roman" w:hAnsi="Times New Roman" w:cs="Times New Roman"/>
          <w:sz w:val="28"/>
          <w:szCs w:val="28"/>
        </w:rPr>
        <w:t>42) —</w:t>
      </w:r>
      <w:proofErr w:type="gramEnd"/>
      <w:r w:rsidRPr="00B36F9F">
        <w:rPr>
          <w:rFonts w:ascii="Times New Roman" w:hAnsi="Times New Roman" w:cs="Times New Roman"/>
          <w:sz w:val="28"/>
          <w:szCs w:val="28"/>
        </w:rPr>
        <w:t xml:space="preserve"> back to the User Device (10), with privacy ensured at each step via Encrypted View or ZKP obscurity as governed by the Security Ritual UX states (80, 82, 84, 86) depicted in FIG. 5.</w:t>
      </w:r>
    </w:p>
    <w:p w14:paraId="18E8240F"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2.2 Diagram 2: ZKP Data Transformation Pipeline</w:t>
      </w:r>
    </w:p>
    <w:p w14:paraId="1CBC038E"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This diagram illustrates the five-stage pipeline for ZKP generation as processed by the Application Server (20) and NOIR Circuit Engine (40) depicted in FIG. 1. Starting with a raw cap table record (e.g., stakeholder shares) retrieved from a tenant's isolated Database Schema (30), data moves through the following transformation stages:</w:t>
      </w:r>
    </w:p>
    <w:p w14:paraId="73E12996"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Stage 1</w:t>
      </w:r>
      <w:r w:rsidRPr="00B36F9F">
        <w:rPr>
          <w:rFonts w:ascii="Times New Roman" w:hAnsi="Times New Roman" w:cs="Times New Roman"/>
          <w:sz w:val="28"/>
          <w:szCs w:val="28"/>
        </w:rPr>
        <w:t xml:space="preserve"> — Raw Record Extraction: The Application Server (20) retrieves the source equity record from the tenant's Database Schema (30), ensuring Schema-per-Tenant Isolation as shown in FIG. 1, with no cross-tenant access to adjacent schemas (32, 34).</w:t>
      </w:r>
    </w:p>
    <w:p w14:paraId="200558E1"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Stage 2</w:t>
      </w:r>
      <w:r w:rsidRPr="00B36F9F">
        <w:rPr>
          <w:rFonts w:ascii="Times New Roman" w:hAnsi="Times New Roman" w:cs="Times New Roman"/>
          <w:sz w:val="28"/>
          <w:szCs w:val="28"/>
        </w:rPr>
        <w:t xml:space="preserve"> — Salt Generation: A 32-byte random salt is generated server-side within proof-</w:t>
      </w:r>
      <w:proofErr w:type="spellStart"/>
      <w:r w:rsidRPr="00B36F9F">
        <w:rPr>
          <w:rFonts w:ascii="Times New Roman" w:hAnsi="Times New Roman" w:cs="Times New Roman"/>
          <w:sz w:val="28"/>
          <w:szCs w:val="28"/>
        </w:rPr>
        <w:t>service.ts</w:t>
      </w:r>
      <w:proofErr w:type="spellEnd"/>
      <w:r w:rsidRPr="00B36F9F">
        <w:rPr>
          <w:rFonts w:ascii="Times New Roman" w:hAnsi="Times New Roman" w:cs="Times New Roman"/>
          <w:sz w:val="28"/>
          <w:szCs w:val="28"/>
        </w:rPr>
        <w:t> (62) (see FIG. 4) to ensure cryptographic uniqueness per proof cycle.</w:t>
      </w:r>
    </w:p>
    <w:p w14:paraId="082F6D1C"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lastRenderedPageBreak/>
        <w:t>Stage 3</w:t>
      </w:r>
      <w:r w:rsidRPr="00B36F9F">
        <w:rPr>
          <w:rFonts w:ascii="Times New Roman" w:hAnsi="Times New Roman" w:cs="Times New Roman"/>
          <w:sz w:val="28"/>
          <w:szCs w:val="28"/>
        </w:rPr>
        <w:t xml:space="preserve"> — SHA-256 Commitment Hashing: The salted record undergoes SHA-256 hashing for fast integrity verification, producing the commitment hashes stored alongside the Mock Securities Data Store (52) as depicted in FIG. 2.</w:t>
      </w:r>
    </w:p>
    <w:p w14:paraId="1E797595"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Stage 4</w:t>
      </w:r>
      <w:r w:rsidRPr="00B36F9F">
        <w:rPr>
          <w:rFonts w:ascii="Times New Roman" w:hAnsi="Times New Roman" w:cs="Times New Roman"/>
          <w:sz w:val="28"/>
          <w:szCs w:val="28"/>
        </w:rPr>
        <w:t xml:space="preserve"> — Pedersen Commitment (</w:t>
      </w:r>
      <w:proofErr w:type="spellStart"/>
      <w:r w:rsidRPr="00B36F9F">
        <w:rPr>
          <w:rFonts w:ascii="Times New Roman" w:hAnsi="Times New Roman" w:cs="Times New Roman"/>
          <w:sz w:val="28"/>
          <w:szCs w:val="28"/>
        </w:rPr>
        <w:t>Grumpkin</w:t>
      </w:r>
      <w:proofErr w:type="spellEnd"/>
      <w:r w:rsidRPr="00B36F9F">
        <w:rPr>
          <w:rFonts w:ascii="Times New Roman" w:hAnsi="Times New Roman" w:cs="Times New Roman"/>
          <w:sz w:val="28"/>
          <w:szCs w:val="28"/>
        </w:rPr>
        <w:t xml:space="preserve"> Curve): The hashed data is further processed into a Pedersen commitment using the </w:t>
      </w:r>
      <w:proofErr w:type="spellStart"/>
      <w:r w:rsidRPr="00B36F9F">
        <w:rPr>
          <w:rFonts w:ascii="Times New Roman" w:hAnsi="Times New Roman" w:cs="Times New Roman"/>
          <w:sz w:val="28"/>
          <w:szCs w:val="28"/>
        </w:rPr>
        <w:t>Grumpkin</w:t>
      </w:r>
      <w:proofErr w:type="spellEnd"/>
      <w:r w:rsidRPr="00B36F9F">
        <w:rPr>
          <w:rFonts w:ascii="Times New Roman" w:hAnsi="Times New Roman" w:cs="Times New Roman"/>
          <w:sz w:val="28"/>
          <w:szCs w:val="28"/>
        </w:rPr>
        <w:t xml:space="preserve"> elliptic curve for circuit compatibility, enabling the NOIR Circuit Engine (40) to operate on the commitment without exposing raw values.</w:t>
      </w:r>
    </w:p>
    <w:p w14:paraId="34A0A7A0"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b/>
          <w:bCs/>
          <w:sz w:val="28"/>
          <w:szCs w:val="28"/>
        </w:rPr>
        <w:t>Stage 5</w:t>
      </w:r>
      <w:r w:rsidRPr="00B36F9F">
        <w:rPr>
          <w:rFonts w:ascii="Times New Roman" w:hAnsi="Times New Roman" w:cs="Times New Roman"/>
          <w:sz w:val="28"/>
          <w:szCs w:val="28"/>
        </w:rPr>
        <w:t xml:space="preserve"> — Cryptographic State Storage: The final cryptographic state is written atomically (68) (see FIG. 4) to the tenant's Database Schema (30) via </w:t>
      </w:r>
      <w:proofErr w:type="spellStart"/>
      <w:r w:rsidRPr="00B36F9F">
        <w:rPr>
          <w:rFonts w:ascii="Times New Roman" w:hAnsi="Times New Roman" w:cs="Times New Roman"/>
          <w:sz w:val="28"/>
          <w:szCs w:val="28"/>
        </w:rPr>
        <w:t>storage.ts</w:t>
      </w:r>
      <w:proofErr w:type="spellEnd"/>
      <w:r w:rsidRPr="00B36F9F">
        <w:rPr>
          <w:rFonts w:ascii="Times New Roman" w:hAnsi="Times New Roman" w:cs="Times New Roman"/>
          <w:sz w:val="28"/>
          <w:szCs w:val="28"/>
        </w:rPr>
        <w:t> (</w:t>
      </w:r>
      <w:proofErr w:type="spellStart"/>
      <w:proofErr w:type="gramStart"/>
      <w:r w:rsidRPr="00B36F9F">
        <w:rPr>
          <w:rFonts w:ascii="Times New Roman" w:hAnsi="Times New Roman" w:cs="Times New Roman"/>
          <w:sz w:val="28"/>
          <w:szCs w:val="28"/>
        </w:rPr>
        <w:t>incrementProofUsage</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(66).</w:t>
      </w:r>
    </w:p>
    <w:p w14:paraId="124B7E71" w14:textId="77777777" w:rsidR="00B36F9F" w:rsidRPr="00B36F9F" w:rsidRDefault="00B36F9F" w:rsidP="00B36F9F">
      <w:pPr>
        <w:ind w:firstLine="720"/>
        <w:rPr>
          <w:rFonts w:ascii="Times New Roman" w:hAnsi="Times New Roman" w:cs="Times New Roman"/>
          <w:sz w:val="28"/>
          <w:szCs w:val="28"/>
        </w:rPr>
      </w:pPr>
      <w:r w:rsidRPr="00B36F9F">
        <w:rPr>
          <w:rFonts w:ascii="Times New Roman" w:hAnsi="Times New Roman" w:cs="Times New Roman"/>
          <w:sz w:val="28"/>
          <w:szCs w:val="28"/>
        </w:rPr>
        <w:t>Parallel paths diverge at Stage 3: the Sandbox path, as shown in FIG. 2, seeds synthetic proofs into the Mock Securities Data Store (52) via the </w:t>
      </w:r>
      <w:proofErr w:type="spellStart"/>
      <w:proofErr w:type="gramStart"/>
      <w:r w:rsidRPr="00B36F9F">
        <w:rPr>
          <w:rFonts w:ascii="Times New Roman" w:hAnsi="Times New Roman" w:cs="Times New Roman"/>
          <w:sz w:val="28"/>
          <w:szCs w:val="28"/>
        </w:rPr>
        <w:t>seedZkpData</w:t>
      </w:r>
      <w:proofErr w:type="spellEnd"/>
      <w:r w:rsidRPr="00B36F9F">
        <w:rPr>
          <w:rFonts w:ascii="Times New Roman" w:hAnsi="Times New Roman" w:cs="Times New Roman"/>
          <w:sz w:val="28"/>
          <w:szCs w:val="28"/>
        </w:rPr>
        <w:t>(</w:t>
      </w:r>
      <w:proofErr w:type="gramEnd"/>
      <w:r w:rsidRPr="00B36F9F">
        <w:rPr>
          <w:rFonts w:ascii="Times New Roman" w:hAnsi="Times New Roman" w:cs="Times New Roman"/>
          <w:sz w:val="28"/>
          <w:szCs w:val="28"/>
        </w:rPr>
        <w:t>) Initialization Function (50) without invoking the NOIR Circuit Engine (</w:t>
      </w:r>
      <w:proofErr w:type="gramStart"/>
      <w:r w:rsidRPr="00B36F9F">
        <w:rPr>
          <w:rFonts w:ascii="Times New Roman" w:hAnsi="Times New Roman" w:cs="Times New Roman"/>
          <w:sz w:val="28"/>
          <w:szCs w:val="28"/>
        </w:rPr>
        <w:t>40) —</w:t>
      </w:r>
      <w:proofErr w:type="gramEnd"/>
      <w:r w:rsidRPr="00B36F9F">
        <w:rPr>
          <w:rFonts w:ascii="Times New Roman" w:hAnsi="Times New Roman" w:cs="Times New Roman"/>
          <w:sz w:val="28"/>
          <w:szCs w:val="28"/>
        </w:rPr>
        <w:t xml:space="preserve"> no circuit execution occurs. The live path proceeds through the NOIR Circuit Engine (40), executing the </w:t>
      </w:r>
      <w:proofErr w:type="spellStart"/>
      <w:r w:rsidRPr="00B36F9F">
        <w:rPr>
          <w:rFonts w:ascii="Times New Roman" w:hAnsi="Times New Roman" w:cs="Times New Roman"/>
          <w:sz w:val="28"/>
          <w:szCs w:val="28"/>
        </w:rPr>
        <w:t>ownership_threshold</w:t>
      </w:r>
      <w:proofErr w:type="spellEnd"/>
      <w:r w:rsidRPr="00B36F9F">
        <w:rPr>
          <w:rFonts w:ascii="Times New Roman" w:hAnsi="Times New Roman" w:cs="Times New Roman"/>
          <w:sz w:val="28"/>
          <w:szCs w:val="28"/>
        </w:rPr>
        <w:t> circuit (64) (see FIG. 4) for actual proof generation. Both paths converge in a unified verification pipeline, where the resulting proof is assigned a Verification URL (42) (see FIG. 1) and the Security Ritual UX transitions from the PROCESSING state (82) through the 98% CAP state (84) to the VERIFIED state (86) as depicted in FIG. 5.</w:t>
      </w:r>
    </w:p>
    <w:p w14:paraId="688697D2" w14:textId="77777777" w:rsidR="00221542" w:rsidRDefault="00221542" w:rsidP="00B36F9F">
      <w:pPr>
        <w:ind w:firstLine="720"/>
        <w:rPr>
          <w:rFonts w:ascii="Times New Roman" w:hAnsi="Times New Roman" w:cs="Times New Roman"/>
          <w:sz w:val="28"/>
          <w:szCs w:val="28"/>
        </w:rPr>
      </w:pPr>
      <w:r w:rsidRPr="00221542">
        <w:rPr>
          <w:rFonts w:ascii="Times New Roman" w:hAnsi="Times New Roman" w:cs="Times New Roman"/>
          <w:b/>
          <w:bCs/>
          <w:sz w:val="28"/>
          <w:szCs w:val="28"/>
        </w:rPr>
        <w:t>End of Section: Embodiments and Diagrams</w:t>
      </w:r>
      <w:r w:rsidRPr="00221542">
        <w:rPr>
          <w:rFonts w:ascii="Times New Roman" w:hAnsi="Times New Roman" w:cs="Times New Roman"/>
          <w:sz w:val="28"/>
          <w:szCs w:val="28"/>
        </w:rPr>
        <w:t xml:space="preserve"> </w:t>
      </w:r>
    </w:p>
    <w:p w14:paraId="665FA245" w14:textId="0E7B4B07" w:rsidR="00B36F9F" w:rsidRPr="00B36F9F" w:rsidRDefault="00221542" w:rsidP="00221542">
      <w:pPr>
        <w:rPr>
          <w:rFonts w:ascii="Times New Roman" w:hAnsi="Times New Roman" w:cs="Times New Roman"/>
          <w:sz w:val="28"/>
          <w:szCs w:val="28"/>
        </w:rPr>
      </w:pPr>
      <w:r w:rsidRPr="00221542">
        <w:rPr>
          <w:rFonts w:ascii="Times New Roman" w:hAnsi="Times New Roman" w:cs="Times New Roman"/>
          <w:sz w:val="28"/>
          <w:szCs w:val="28"/>
        </w:rPr>
        <w:t>This section includes three specific embodiments illustrating real-world use cases (Founder Onboarding via Sandbox, Public Verification, Monetization Activation via Dual-Configuration Gating) and two textual diagram descriptions (System Component Interaction Flow, ZKP Data Transformation Pipeline) to support enablement for the USPTO Examiner. Each element is grounded in the actual codebase (e.g., `</w:t>
      </w:r>
      <w:proofErr w:type="spellStart"/>
      <w:proofErr w:type="gramStart"/>
      <w:r w:rsidRPr="00221542">
        <w:rPr>
          <w:rFonts w:ascii="Times New Roman" w:hAnsi="Times New Roman" w:cs="Times New Roman"/>
          <w:sz w:val="28"/>
          <w:szCs w:val="28"/>
        </w:rPr>
        <w:t>seedZkpData</w:t>
      </w:r>
      <w:proofErr w:type="spellEnd"/>
      <w:r w:rsidRPr="00221542">
        <w:rPr>
          <w:rFonts w:ascii="Times New Roman" w:hAnsi="Times New Roman" w:cs="Times New Roman"/>
          <w:sz w:val="28"/>
          <w:szCs w:val="28"/>
        </w:rPr>
        <w:t>(</w:t>
      </w:r>
      <w:proofErr w:type="gramEnd"/>
      <w:r w:rsidRPr="00221542">
        <w:rPr>
          <w:rFonts w:ascii="Times New Roman" w:hAnsi="Times New Roman" w:cs="Times New Roman"/>
          <w:sz w:val="28"/>
          <w:szCs w:val="28"/>
        </w:rPr>
        <w:t>)`, `proof-</w:t>
      </w:r>
      <w:proofErr w:type="spellStart"/>
      <w:r w:rsidRPr="00221542">
        <w:rPr>
          <w:rFonts w:ascii="Times New Roman" w:hAnsi="Times New Roman" w:cs="Times New Roman"/>
          <w:sz w:val="28"/>
          <w:szCs w:val="28"/>
        </w:rPr>
        <w:t>config.ts</w:t>
      </w:r>
      <w:proofErr w:type="spellEnd"/>
      <w:r w:rsidRPr="00221542">
        <w:rPr>
          <w:rFonts w:ascii="Times New Roman" w:hAnsi="Times New Roman" w:cs="Times New Roman"/>
          <w:sz w:val="28"/>
          <w:szCs w:val="28"/>
        </w:rPr>
        <w:t xml:space="preserve">`) as validated by </w:t>
      </w:r>
      <w:proofErr w:type="spellStart"/>
      <w:r w:rsidRPr="00221542">
        <w:rPr>
          <w:rFonts w:ascii="Times New Roman" w:hAnsi="Times New Roman" w:cs="Times New Roman"/>
          <w:sz w:val="28"/>
          <w:szCs w:val="28"/>
        </w:rPr>
        <w:t>Replit’s</w:t>
      </w:r>
      <w:proofErr w:type="spellEnd"/>
      <w:r w:rsidRPr="00221542">
        <w:rPr>
          <w:rFonts w:ascii="Times New Roman" w:hAnsi="Times New Roman" w:cs="Times New Roman"/>
          <w:sz w:val="28"/>
          <w:szCs w:val="28"/>
        </w:rPr>
        <w:t xml:space="preserve"> Responses, Study Guides 1-6, and “Middleware_Gemini.md.”</w:t>
      </w:r>
    </w:p>
    <w:p w14:paraId="3E45CB1B" w14:textId="77777777" w:rsidR="00B36F9F" w:rsidRPr="00DA5F2E" w:rsidRDefault="00B36F9F" w:rsidP="00B36F9F">
      <w:pPr>
        <w:rPr>
          <w:rFonts w:ascii="Times New Roman" w:hAnsi="Times New Roman" w:cs="Times New Roman"/>
          <w:sz w:val="28"/>
          <w:szCs w:val="28"/>
        </w:rPr>
      </w:pPr>
    </w:p>
    <w:sectPr w:rsidR="00B36F9F" w:rsidRPr="00DA5F2E" w:rsidSect="00844AFF">
      <w:headerReference w:type="even" r:id="rId7"/>
      <w:headerReference w:type="default" r:id="rId8"/>
      <w:footerReference w:type="even" r:id="rId9"/>
      <w:footerReference w:type="default" r:id="rId10"/>
      <w:headerReference w:type="first" r:id="rId11"/>
      <w:footerReference w:type="first" r:id="rId12"/>
      <w:pgSz w:w="12240" w:h="15840" w:code="1"/>
      <w:pgMar w:top="-1440" w:right="720" w:bottom="-1440" w:left="1440" w:header="720" w:footer="432"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0BD5F" w14:textId="77777777" w:rsidR="00A86E85" w:rsidRDefault="00A86E85">
      <w:r>
        <w:separator/>
      </w:r>
    </w:p>
  </w:endnote>
  <w:endnote w:type="continuationSeparator" w:id="0">
    <w:p w14:paraId="229A880F" w14:textId="77777777" w:rsidR="00A86E85" w:rsidRDefault="00A8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C456" w14:textId="77777777" w:rsidR="00FF44D2" w:rsidRDefault="00FF4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824A" w14:textId="77777777" w:rsidR="00FF44D2" w:rsidRPr="00FF44D2" w:rsidRDefault="00FF44D2">
    <w:pPr>
      <w:pStyle w:val="Footer"/>
      <w:jc w:val="center"/>
      <w:rPr>
        <w:rFonts w:ascii="Times New Roman" w:hAnsi="Times New Roman" w:cs="Times New Roman"/>
        <w:caps/>
        <w:noProof/>
        <w:color w:val="000000" w:themeColor="text1"/>
        <w:sz w:val="28"/>
        <w:szCs w:val="28"/>
      </w:rPr>
    </w:pPr>
    <w:r w:rsidRPr="00FF44D2">
      <w:rPr>
        <w:rFonts w:ascii="Times New Roman" w:hAnsi="Times New Roman" w:cs="Times New Roman"/>
        <w:caps/>
        <w:color w:val="000000" w:themeColor="text1"/>
        <w:sz w:val="28"/>
        <w:szCs w:val="28"/>
      </w:rPr>
      <w:fldChar w:fldCharType="begin"/>
    </w:r>
    <w:r w:rsidRPr="00FF44D2">
      <w:rPr>
        <w:rFonts w:ascii="Times New Roman" w:hAnsi="Times New Roman" w:cs="Times New Roman"/>
        <w:caps/>
        <w:color w:val="000000" w:themeColor="text1"/>
        <w:sz w:val="28"/>
        <w:szCs w:val="28"/>
      </w:rPr>
      <w:instrText xml:space="preserve"> PAGE   \* MERGEFORMAT </w:instrText>
    </w:r>
    <w:r w:rsidRPr="00FF44D2">
      <w:rPr>
        <w:rFonts w:ascii="Times New Roman" w:hAnsi="Times New Roman" w:cs="Times New Roman"/>
        <w:caps/>
        <w:color w:val="000000" w:themeColor="text1"/>
        <w:sz w:val="28"/>
        <w:szCs w:val="28"/>
      </w:rPr>
      <w:fldChar w:fldCharType="separate"/>
    </w:r>
    <w:r w:rsidR="00A12FD4">
      <w:rPr>
        <w:rFonts w:ascii="Times New Roman" w:hAnsi="Times New Roman" w:cs="Times New Roman"/>
        <w:caps/>
        <w:noProof/>
        <w:color w:val="000000" w:themeColor="text1"/>
        <w:sz w:val="28"/>
        <w:szCs w:val="28"/>
      </w:rPr>
      <w:t>1</w:t>
    </w:r>
    <w:r w:rsidRPr="00FF44D2">
      <w:rPr>
        <w:rFonts w:ascii="Times New Roman" w:hAnsi="Times New Roman" w:cs="Times New Roman"/>
        <w:caps/>
        <w:noProof/>
        <w:color w:val="000000" w:themeColor="text1"/>
        <w:sz w:val="28"/>
        <w:szCs w:val="28"/>
      </w:rPr>
      <w:fldChar w:fldCharType="end"/>
    </w:r>
  </w:p>
  <w:p w14:paraId="7B38209A" w14:textId="77777777" w:rsidR="008235B4" w:rsidRPr="007F6FCF" w:rsidRDefault="008235B4" w:rsidP="008235B4">
    <w:pPr>
      <w:pStyle w:val="Footer"/>
      <w:jc w:val="center"/>
      <w:rPr>
        <w:rFonts w:ascii="Times New Roman" w:hAnsi="Times New Roman" w:cs="Times New Roman"/>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75CF" w14:textId="77777777" w:rsidR="00FF44D2" w:rsidRDefault="00FF4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6081" w14:textId="77777777" w:rsidR="00A86E85" w:rsidRDefault="00A86E85">
      <w:r>
        <w:separator/>
      </w:r>
    </w:p>
  </w:footnote>
  <w:footnote w:type="continuationSeparator" w:id="0">
    <w:p w14:paraId="19E57A6A" w14:textId="77777777" w:rsidR="00A86E85" w:rsidRDefault="00A8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FE3F" w14:textId="77777777" w:rsidR="00FF44D2" w:rsidRDefault="00FF4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F9D5" w14:textId="77777777" w:rsidR="008235B4" w:rsidRDefault="00937055">
    <w:pPr>
      <w:pStyle w:val="Header"/>
    </w:pPr>
    <w:r>
      <w:rPr>
        <w:noProof/>
      </w:rPr>
      <mc:AlternateContent>
        <mc:Choice Requires="wps">
          <w:drawing>
            <wp:anchor distT="0" distB="0" distL="114300" distR="114300" simplePos="0" relativeHeight="251658752" behindDoc="0" locked="0" layoutInCell="1" allowOverlap="1" wp14:anchorId="7B5CD7DE" wp14:editId="33D24C38">
              <wp:simplePos x="0" y="0"/>
              <wp:positionH relativeFrom="margin">
                <wp:posOffset>-640080</wp:posOffset>
              </wp:positionH>
              <wp:positionV relativeFrom="margin">
                <wp:posOffset>0</wp:posOffset>
              </wp:positionV>
              <wp:extent cx="457200" cy="8229600"/>
              <wp:effectExtent l="0" t="0" r="1905" b="0"/>
              <wp:wrapNone/>
              <wp:docPr id="5"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CEA5F" w14:textId="77777777" w:rsidR="008235B4" w:rsidRDefault="008235B4" w:rsidP="008235B4">
                          <w:pPr>
                            <w:jc w:val="right"/>
                          </w:pPr>
                          <w:r>
                            <w:t>1</w:t>
                          </w:r>
                        </w:p>
                        <w:p w14:paraId="21981AE7" w14:textId="77777777" w:rsidR="008235B4" w:rsidRDefault="008235B4" w:rsidP="008235B4">
                          <w:pPr>
                            <w:jc w:val="right"/>
                          </w:pPr>
                          <w:r>
                            <w:t>2</w:t>
                          </w:r>
                        </w:p>
                        <w:p w14:paraId="634CC1F8" w14:textId="77777777" w:rsidR="008235B4" w:rsidRDefault="008235B4" w:rsidP="008235B4">
                          <w:pPr>
                            <w:jc w:val="right"/>
                          </w:pPr>
                          <w:r>
                            <w:t>3</w:t>
                          </w:r>
                        </w:p>
                        <w:p w14:paraId="12BA2DD3" w14:textId="77777777" w:rsidR="008235B4" w:rsidRDefault="008235B4" w:rsidP="008235B4">
                          <w:pPr>
                            <w:jc w:val="right"/>
                          </w:pPr>
                          <w:r>
                            <w:t>4</w:t>
                          </w:r>
                        </w:p>
                        <w:p w14:paraId="0B7CAC41" w14:textId="77777777" w:rsidR="008235B4" w:rsidRDefault="008235B4" w:rsidP="008235B4">
                          <w:pPr>
                            <w:jc w:val="right"/>
                          </w:pPr>
                          <w:r>
                            <w:t>5</w:t>
                          </w:r>
                        </w:p>
                        <w:p w14:paraId="48E900B8" w14:textId="77777777" w:rsidR="008235B4" w:rsidRDefault="008235B4" w:rsidP="008235B4">
                          <w:pPr>
                            <w:jc w:val="right"/>
                          </w:pPr>
                          <w:r>
                            <w:t>6</w:t>
                          </w:r>
                        </w:p>
                        <w:p w14:paraId="2DCD7B25" w14:textId="77777777" w:rsidR="008235B4" w:rsidRDefault="008235B4" w:rsidP="008235B4">
                          <w:pPr>
                            <w:jc w:val="right"/>
                          </w:pPr>
                          <w:r>
                            <w:t>7</w:t>
                          </w:r>
                        </w:p>
                        <w:p w14:paraId="3EFA0E49" w14:textId="77777777" w:rsidR="008235B4" w:rsidRDefault="008235B4" w:rsidP="008235B4">
                          <w:pPr>
                            <w:jc w:val="right"/>
                          </w:pPr>
                          <w:r>
                            <w:t>8</w:t>
                          </w:r>
                        </w:p>
                        <w:p w14:paraId="1A02EA2D" w14:textId="77777777" w:rsidR="008235B4" w:rsidRDefault="008235B4" w:rsidP="008235B4">
                          <w:pPr>
                            <w:jc w:val="right"/>
                          </w:pPr>
                          <w:r>
                            <w:t>9</w:t>
                          </w:r>
                        </w:p>
                        <w:p w14:paraId="7CDE8A26" w14:textId="77777777" w:rsidR="008235B4" w:rsidRDefault="008235B4" w:rsidP="008235B4">
                          <w:pPr>
                            <w:jc w:val="right"/>
                          </w:pPr>
                          <w:r>
                            <w:t>10</w:t>
                          </w:r>
                        </w:p>
                        <w:p w14:paraId="0066D0CA" w14:textId="77777777" w:rsidR="008235B4" w:rsidRDefault="008235B4" w:rsidP="008235B4">
                          <w:pPr>
                            <w:jc w:val="right"/>
                          </w:pPr>
                          <w:r>
                            <w:t>11</w:t>
                          </w:r>
                        </w:p>
                        <w:p w14:paraId="036487F7" w14:textId="77777777" w:rsidR="008235B4" w:rsidRDefault="008235B4" w:rsidP="008235B4">
                          <w:pPr>
                            <w:jc w:val="right"/>
                          </w:pPr>
                          <w:r>
                            <w:t>12</w:t>
                          </w:r>
                        </w:p>
                        <w:p w14:paraId="42C0B326" w14:textId="77777777" w:rsidR="008235B4" w:rsidRDefault="008235B4" w:rsidP="008235B4">
                          <w:pPr>
                            <w:jc w:val="right"/>
                          </w:pPr>
                          <w:r>
                            <w:t>13</w:t>
                          </w:r>
                        </w:p>
                        <w:p w14:paraId="75A5854A" w14:textId="77777777" w:rsidR="008235B4" w:rsidRDefault="008235B4" w:rsidP="008235B4">
                          <w:pPr>
                            <w:jc w:val="right"/>
                          </w:pPr>
                          <w:r>
                            <w:t>14</w:t>
                          </w:r>
                        </w:p>
                        <w:p w14:paraId="69F762B0" w14:textId="77777777" w:rsidR="008235B4" w:rsidRDefault="008235B4" w:rsidP="008235B4">
                          <w:pPr>
                            <w:jc w:val="right"/>
                          </w:pPr>
                          <w:r>
                            <w:t>15</w:t>
                          </w:r>
                        </w:p>
                        <w:p w14:paraId="5291EF0D" w14:textId="77777777" w:rsidR="008235B4" w:rsidRDefault="008235B4" w:rsidP="008235B4">
                          <w:pPr>
                            <w:jc w:val="right"/>
                          </w:pPr>
                          <w:r>
                            <w:t>16</w:t>
                          </w:r>
                        </w:p>
                        <w:p w14:paraId="438C9BE4" w14:textId="77777777" w:rsidR="008235B4" w:rsidRDefault="008235B4" w:rsidP="008235B4">
                          <w:pPr>
                            <w:jc w:val="right"/>
                          </w:pPr>
                          <w:r>
                            <w:t>17</w:t>
                          </w:r>
                        </w:p>
                        <w:p w14:paraId="04454F53" w14:textId="77777777" w:rsidR="008235B4" w:rsidRDefault="008235B4" w:rsidP="008235B4">
                          <w:pPr>
                            <w:jc w:val="right"/>
                          </w:pPr>
                          <w:r>
                            <w:t>18</w:t>
                          </w:r>
                        </w:p>
                        <w:p w14:paraId="7200E04B" w14:textId="77777777" w:rsidR="008235B4" w:rsidRDefault="008235B4" w:rsidP="008235B4">
                          <w:pPr>
                            <w:jc w:val="right"/>
                          </w:pPr>
                          <w:r>
                            <w:t>19</w:t>
                          </w:r>
                        </w:p>
                        <w:p w14:paraId="26A97F7B" w14:textId="77777777" w:rsidR="008235B4" w:rsidRDefault="008235B4" w:rsidP="008235B4">
                          <w:pPr>
                            <w:jc w:val="right"/>
                          </w:pPr>
                          <w:r>
                            <w:t>20</w:t>
                          </w:r>
                        </w:p>
                        <w:p w14:paraId="4F8C4A41" w14:textId="77777777" w:rsidR="008235B4" w:rsidRDefault="008235B4" w:rsidP="008235B4">
                          <w:pPr>
                            <w:jc w:val="right"/>
                          </w:pPr>
                          <w:r>
                            <w:t>21</w:t>
                          </w:r>
                        </w:p>
                        <w:p w14:paraId="54097EC5" w14:textId="77777777" w:rsidR="008235B4" w:rsidRDefault="008235B4" w:rsidP="008235B4">
                          <w:pPr>
                            <w:jc w:val="right"/>
                          </w:pPr>
                          <w:r>
                            <w:t>22</w:t>
                          </w:r>
                        </w:p>
                        <w:p w14:paraId="0B513FA2" w14:textId="77777777" w:rsidR="008235B4" w:rsidRDefault="008235B4" w:rsidP="008235B4">
                          <w:pPr>
                            <w:jc w:val="right"/>
                          </w:pPr>
                          <w:r>
                            <w:t>23</w:t>
                          </w:r>
                        </w:p>
                        <w:p w14:paraId="4702EB30" w14:textId="77777777" w:rsidR="008235B4" w:rsidRDefault="008235B4" w:rsidP="008235B4">
                          <w:pPr>
                            <w:jc w:val="right"/>
                          </w:pPr>
                          <w:r>
                            <w:t>24</w:t>
                          </w:r>
                        </w:p>
                        <w:p w14:paraId="56057943" w14:textId="77777777" w:rsidR="008235B4" w:rsidRDefault="008235B4" w:rsidP="008235B4">
                          <w:pPr>
                            <w:jc w:val="right"/>
                          </w:pPr>
                          <w:r>
                            <w:t>25</w:t>
                          </w:r>
                        </w:p>
                        <w:p w14:paraId="2B09DD9A" w14:textId="77777777" w:rsidR="008235B4" w:rsidRDefault="008235B4" w:rsidP="008235B4">
                          <w:pPr>
                            <w:jc w:val="right"/>
                          </w:pPr>
                          <w:r>
                            <w:t>26</w:t>
                          </w:r>
                        </w:p>
                        <w:p w14:paraId="348723C1" w14:textId="77777777" w:rsidR="008235B4" w:rsidRDefault="008235B4" w:rsidP="008235B4">
                          <w:pPr>
                            <w:jc w:val="right"/>
                          </w:pPr>
                          <w:r>
                            <w:t>27</w:t>
                          </w:r>
                        </w:p>
                        <w:p w14:paraId="3F736F8A" w14:textId="77777777" w:rsidR="008235B4" w:rsidRDefault="008235B4" w:rsidP="008235B4">
                          <w:pPr>
                            <w:jc w:val="right"/>
                          </w:pPr>
                          <w:r>
                            <w:t>28</w:t>
                          </w:r>
                        </w:p>
                        <w:p w14:paraId="4A8AE576" w14:textId="77777777" w:rsidR="008235B4" w:rsidRDefault="008235B4" w:rsidP="008235B4">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7B5CD7DE" id="_x0000_t202" coordsize="21600,21600" o:spt="202" path="m,l,21600r21600,l21600,xe">
              <v:stroke joinstyle="miter"/>
              <v:path gradientshapeok="t" o:connecttype="rect"/>
            </v:shapetype>
            <v:shape id="LineNumbers" o:spid="_x0000_s1026" type="#_x0000_t202" style="position:absolute;margin-left:-50.4pt;margin-top:0;width:36pt;height:9in;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625CEA5F" w14:textId="77777777" w:rsidR="008235B4" w:rsidRDefault="008235B4" w:rsidP="008235B4">
                    <w:pPr>
                      <w:jc w:val="right"/>
                    </w:pPr>
                    <w:r>
                      <w:t>1</w:t>
                    </w:r>
                  </w:p>
                  <w:p w14:paraId="21981AE7" w14:textId="77777777" w:rsidR="008235B4" w:rsidRDefault="008235B4" w:rsidP="008235B4">
                    <w:pPr>
                      <w:jc w:val="right"/>
                    </w:pPr>
                    <w:r>
                      <w:t>2</w:t>
                    </w:r>
                  </w:p>
                  <w:p w14:paraId="634CC1F8" w14:textId="77777777" w:rsidR="008235B4" w:rsidRDefault="008235B4" w:rsidP="008235B4">
                    <w:pPr>
                      <w:jc w:val="right"/>
                    </w:pPr>
                    <w:r>
                      <w:t>3</w:t>
                    </w:r>
                  </w:p>
                  <w:p w14:paraId="12BA2DD3" w14:textId="77777777" w:rsidR="008235B4" w:rsidRDefault="008235B4" w:rsidP="008235B4">
                    <w:pPr>
                      <w:jc w:val="right"/>
                    </w:pPr>
                    <w:r>
                      <w:t>4</w:t>
                    </w:r>
                  </w:p>
                  <w:p w14:paraId="0B7CAC41" w14:textId="77777777" w:rsidR="008235B4" w:rsidRDefault="008235B4" w:rsidP="008235B4">
                    <w:pPr>
                      <w:jc w:val="right"/>
                    </w:pPr>
                    <w:r>
                      <w:t>5</w:t>
                    </w:r>
                  </w:p>
                  <w:p w14:paraId="48E900B8" w14:textId="77777777" w:rsidR="008235B4" w:rsidRDefault="008235B4" w:rsidP="008235B4">
                    <w:pPr>
                      <w:jc w:val="right"/>
                    </w:pPr>
                    <w:r>
                      <w:t>6</w:t>
                    </w:r>
                  </w:p>
                  <w:p w14:paraId="2DCD7B25" w14:textId="77777777" w:rsidR="008235B4" w:rsidRDefault="008235B4" w:rsidP="008235B4">
                    <w:pPr>
                      <w:jc w:val="right"/>
                    </w:pPr>
                    <w:r>
                      <w:t>7</w:t>
                    </w:r>
                  </w:p>
                  <w:p w14:paraId="3EFA0E49" w14:textId="77777777" w:rsidR="008235B4" w:rsidRDefault="008235B4" w:rsidP="008235B4">
                    <w:pPr>
                      <w:jc w:val="right"/>
                    </w:pPr>
                    <w:r>
                      <w:t>8</w:t>
                    </w:r>
                  </w:p>
                  <w:p w14:paraId="1A02EA2D" w14:textId="77777777" w:rsidR="008235B4" w:rsidRDefault="008235B4" w:rsidP="008235B4">
                    <w:pPr>
                      <w:jc w:val="right"/>
                    </w:pPr>
                    <w:r>
                      <w:t>9</w:t>
                    </w:r>
                  </w:p>
                  <w:p w14:paraId="7CDE8A26" w14:textId="77777777" w:rsidR="008235B4" w:rsidRDefault="008235B4" w:rsidP="008235B4">
                    <w:pPr>
                      <w:jc w:val="right"/>
                    </w:pPr>
                    <w:r>
                      <w:t>10</w:t>
                    </w:r>
                  </w:p>
                  <w:p w14:paraId="0066D0CA" w14:textId="77777777" w:rsidR="008235B4" w:rsidRDefault="008235B4" w:rsidP="008235B4">
                    <w:pPr>
                      <w:jc w:val="right"/>
                    </w:pPr>
                    <w:r>
                      <w:t>11</w:t>
                    </w:r>
                  </w:p>
                  <w:p w14:paraId="036487F7" w14:textId="77777777" w:rsidR="008235B4" w:rsidRDefault="008235B4" w:rsidP="008235B4">
                    <w:pPr>
                      <w:jc w:val="right"/>
                    </w:pPr>
                    <w:r>
                      <w:t>12</w:t>
                    </w:r>
                  </w:p>
                  <w:p w14:paraId="42C0B326" w14:textId="77777777" w:rsidR="008235B4" w:rsidRDefault="008235B4" w:rsidP="008235B4">
                    <w:pPr>
                      <w:jc w:val="right"/>
                    </w:pPr>
                    <w:r>
                      <w:t>13</w:t>
                    </w:r>
                  </w:p>
                  <w:p w14:paraId="75A5854A" w14:textId="77777777" w:rsidR="008235B4" w:rsidRDefault="008235B4" w:rsidP="008235B4">
                    <w:pPr>
                      <w:jc w:val="right"/>
                    </w:pPr>
                    <w:r>
                      <w:t>14</w:t>
                    </w:r>
                  </w:p>
                  <w:p w14:paraId="69F762B0" w14:textId="77777777" w:rsidR="008235B4" w:rsidRDefault="008235B4" w:rsidP="008235B4">
                    <w:pPr>
                      <w:jc w:val="right"/>
                    </w:pPr>
                    <w:r>
                      <w:t>15</w:t>
                    </w:r>
                  </w:p>
                  <w:p w14:paraId="5291EF0D" w14:textId="77777777" w:rsidR="008235B4" w:rsidRDefault="008235B4" w:rsidP="008235B4">
                    <w:pPr>
                      <w:jc w:val="right"/>
                    </w:pPr>
                    <w:r>
                      <w:t>16</w:t>
                    </w:r>
                  </w:p>
                  <w:p w14:paraId="438C9BE4" w14:textId="77777777" w:rsidR="008235B4" w:rsidRDefault="008235B4" w:rsidP="008235B4">
                    <w:pPr>
                      <w:jc w:val="right"/>
                    </w:pPr>
                    <w:r>
                      <w:t>17</w:t>
                    </w:r>
                  </w:p>
                  <w:p w14:paraId="04454F53" w14:textId="77777777" w:rsidR="008235B4" w:rsidRDefault="008235B4" w:rsidP="008235B4">
                    <w:pPr>
                      <w:jc w:val="right"/>
                    </w:pPr>
                    <w:r>
                      <w:t>18</w:t>
                    </w:r>
                  </w:p>
                  <w:p w14:paraId="7200E04B" w14:textId="77777777" w:rsidR="008235B4" w:rsidRDefault="008235B4" w:rsidP="008235B4">
                    <w:pPr>
                      <w:jc w:val="right"/>
                    </w:pPr>
                    <w:r>
                      <w:t>19</w:t>
                    </w:r>
                  </w:p>
                  <w:p w14:paraId="26A97F7B" w14:textId="77777777" w:rsidR="008235B4" w:rsidRDefault="008235B4" w:rsidP="008235B4">
                    <w:pPr>
                      <w:jc w:val="right"/>
                    </w:pPr>
                    <w:r>
                      <w:t>20</w:t>
                    </w:r>
                  </w:p>
                  <w:p w14:paraId="4F8C4A41" w14:textId="77777777" w:rsidR="008235B4" w:rsidRDefault="008235B4" w:rsidP="008235B4">
                    <w:pPr>
                      <w:jc w:val="right"/>
                    </w:pPr>
                    <w:r>
                      <w:t>21</w:t>
                    </w:r>
                  </w:p>
                  <w:p w14:paraId="54097EC5" w14:textId="77777777" w:rsidR="008235B4" w:rsidRDefault="008235B4" w:rsidP="008235B4">
                    <w:pPr>
                      <w:jc w:val="right"/>
                    </w:pPr>
                    <w:r>
                      <w:t>22</w:t>
                    </w:r>
                  </w:p>
                  <w:p w14:paraId="0B513FA2" w14:textId="77777777" w:rsidR="008235B4" w:rsidRDefault="008235B4" w:rsidP="008235B4">
                    <w:pPr>
                      <w:jc w:val="right"/>
                    </w:pPr>
                    <w:r>
                      <w:t>23</w:t>
                    </w:r>
                  </w:p>
                  <w:p w14:paraId="4702EB30" w14:textId="77777777" w:rsidR="008235B4" w:rsidRDefault="008235B4" w:rsidP="008235B4">
                    <w:pPr>
                      <w:jc w:val="right"/>
                    </w:pPr>
                    <w:r>
                      <w:t>24</w:t>
                    </w:r>
                  </w:p>
                  <w:p w14:paraId="56057943" w14:textId="77777777" w:rsidR="008235B4" w:rsidRDefault="008235B4" w:rsidP="008235B4">
                    <w:pPr>
                      <w:jc w:val="right"/>
                    </w:pPr>
                    <w:r>
                      <w:t>25</w:t>
                    </w:r>
                  </w:p>
                  <w:p w14:paraId="2B09DD9A" w14:textId="77777777" w:rsidR="008235B4" w:rsidRDefault="008235B4" w:rsidP="008235B4">
                    <w:pPr>
                      <w:jc w:val="right"/>
                    </w:pPr>
                    <w:r>
                      <w:t>26</w:t>
                    </w:r>
                  </w:p>
                  <w:p w14:paraId="348723C1" w14:textId="77777777" w:rsidR="008235B4" w:rsidRDefault="008235B4" w:rsidP="008235B4">
                    <w:pPr>
                      <w:jc w:val="right"/>
                    </w:pPr>
                    <w:r>
                      <w:t>27</w:t>
                    </w:r>
                  </w:p>
                  <w:p w14:paraId="3F736F8A" w14:textId="77777777" w:rsidR="008235B4" w:rsidRDefault="008235B4" w:rsidP="008235B4">
                    <w:pPr>
                      <w:jc w:val="right"/>
                    </w:pPr>
                    <w:r>
                      <w:t>28</w:t>
                    </w:r>
                  </w:p>
                  <w:p w14:paraId="4A8AE576" w14:textId="77777777" w:rsidR="008235B4" w:rsidRDefault="008235B4" w:rsidP="008235B4">
                    <w:pPr>
                      <w:jc w:val="right"/>
                    </w:pPr>
                  </w:p>
                </w:txbxContent>
              </v:textbox>
              <w10:wrap anchorx="margin" anchory="margin"/>
            </v:shape>
          </w:pict>
        </mc:Fallback>
      </mc:AlternateContent>
    </w:r>
    <w:r>
      <w:rPr>
        <w:noProof/>
      </w:rPr>
      <mc:AlternateContent>
        <mc:Choice Requires="wps">
          <w:drawing>
            <wp:anchor distT="0" distB="0" distL="114300" distR="114300" simplePos="0" relativeHeight="251657728" behindDoc="0" locked="0" layoutInCell="1" allowOverlap="1" wp14:anchorId="25C2E1D4" wp14:editId="405E418E">
              <wp:simplePos x="0" y="0"/>
              <wp:positionH relativeFrom="margin">
                <wp:posOffset>6400800</wp:posOffset>
              </wp:positionH>
              <wp:positionV relativeFrom="page">
                <wp:posOffset>0</wp:posOffset>
              </wp:positionV>
              <wp:extent cx="0" cy="10058400"/>
              <wp:effectExtent l="9525" t="9525" r="9525" b="9525"/>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9FCEB" id="RightBorder"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in,0" to="7in,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VUtzwN0AAAALAQAADwAAAGRycy9kb3ducmV2LnhtbEyPT0/DMAzF70h8h8hI&#10;XCaWMP6oKk0nBPTGhQHi6jWmrWicrsm2wqfH0w5wsfz0rOffK5aT79WOxtgFtnA5N6CI6+A6biy8&#10;vVYXGaiYkB32gcnCN0VYlqcnBeYu7PmFdqvUKAnhmKOFNqUh1zrWLXmM8zAQi/cZRo9J5NhoN+Je&#10;wn2vF8bcao8dy4cWB3poqf5abb2FWL3TpvqZ1TPzcdUEWmwen5/Q2vOz6f4OVKIp/R3DAV/QoRSm&#10;ddiyi6oXbUwmZZIFmQf/qNey3WTXBnRZ6P8dyl8AAAD//wMAUEsBAi0AFAAGAAgAAAAhALaDOJL+&#10;AAAA4QEAABMAAAAAAAAAAAAAAAAAAAAAAFtDb250ZW50X1R5cGVzXS54bWxQSwECLQAUAAYACAAA&#10;ACEAOP0h/9YAAACUAQAACwAAAAAAAAAAAAAAAAAvAQAAX3JlbHMvLnJlbHNQSwECLQAUAAYACAAA&#10;ACEA/X4YCxgCAAAuBAAADgAAAAAAAAAAAAAAAAAuAgAAZHJzL2Uyb0RvYy54bWxQSwECLQAUAAYA&#10;CAAAACEAVUtzwN0AAAALAQAADwAAAAAAAAAAAAAAAAByBAAAZHJzL2Rvd25yZXYueG1sUEsFBgAA&#10;AAAEAAQA8wAAAHwFAAAAAA==&#10;">
              <w10:wrap anchorx="margin" anchory="page"/>
            </v:line>
          </w:pict>
        </mc:Fallback>
      </mc:AlternateContent>
    </w:r>
    <w:r>
      <w:rPr>
        <w:noProof/>
      </w:rPr>
      <mc:AlternateContent>
        <mc:Choice Requires="wps">
          <w:drawing>
            <wp:anchor distT="0" distB="0" distL="114300" distR="114300" simplePos="0" relativeHeight="251656704" behindDoc="0" locked="0" layoutInCell="1" allowOverlap="1" wp14:anchorId="7B05BF9F" wp14:editId="26952B34">
              <wp:simplePos x="0" y="0"/>
              <wp:positionH relativeFrom="margin">
                <wp:posOffset>-91440</wp:posOffset>
              </wp:positionH>
              <wp:positionV relativeFrom="page">
                <wp:posOffset>0</wp:posOffset>
              </wp:positionV>
              <wp:extent cx="0" cy="10058400"/>
              <wp:effectExtent l="13335" t="9525" r="5715" b="9525"/>
              <wp:wrapNone/>
              <wp:docPr id="3"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F046D" id="LeftBorder2"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uyGAIAAC4EAAAOAAAAZHJzL2Uyb0RvYy54bWysU8GO2jAQvVfqP1i+QxI2UIgIqzaBXrZb&#10;pN1+gLEdYtWxLdsQUNV/79gBxLaXqmoOzng88/zmzXj5eOokOnLrhFYlzsYpRlxRzYTal/jb62Y0&#10;x8h5ohiRWvESn7nDj6v375a9KfhEt1oybhGAKFf0psSt96ZIEkdb3hE31oYrOGy07YiHrd0nzJIe&#10;0DuZTNJ0lvTaMmM15c6Btx4O8SriNw2n/mvTOO6RLDFw83G1cd2FNVktSbG3xLSCXmiQf2DREaHg&#10;0htUTTxBByv+gOoEtdrpxo+p7hLdNILyWANUk6W/VfPSEsNjLSCOMzeZ3P+Dpc/HrUWClfgBI0U6&#10;aNETb/wnUJXbSZCnN66AqEptbSiQntSLedL0u0NKVy1Rex5pvp4N5GYhI3mTEjbOwCW7/otmEEMO&#10;XketTo3tAiSogE6xJedbS/jJIzo4KXizNJ3O8zT2KyHFNdNY5z9z3aFglFgKFeQiBTk+OR+YkOIa&#10;EtxKb4SUseVSob7Ei+lkGhOcloKFwxDm7H5XSYuOJAxN/GJZcHIfZvVBsQjWcsLWF9sTIQcbLpcq&#10;4EEtQOdiDVPxY5Eu1vP1PB/lk9l6lKd1Pfq4qfLRbJN9mNYPdVXV2c9ALcuLVjDGVWB3ndAs/7sJ&#10;uLyVYbZuM3qTIXmLHvUCstd/JB2bGfo3TMJOs/PWXpsMQxmDLw8oTP39Huz7Z776BQ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BHK4uyGAIAAC4EAAAOAAAAAAAAAAAAAAAAAC4CAABkcnMvZTJvRG9jLnhtbFBLAQItABQABgAI&#10;AAAAIQCswk8k3AAAAAkBAAAPAAAAAAAAAAAAAAAAAHIEAABkcnMvZG93bnJldi54bWxQSwUGAAAA&#10;AAQABADzAAAAewUAAAAA&#10;">
              <w10:wrap anchorx="margin" anchory="page"/>
            </v:line>
          </w:pict>
        </mc:Fallback>
      </mc:AlternateContent>
    </w:r>
    <w:r>
      <w:rPr>
        <w:noProof/>
      </w:rPr>
      <mc:AlternateContent>
        <mc:Choice Requires="wps">
          <w:drawing>
            <wp:anchor distT="0" distB="0" distL="114300" distR="114300" simplePos="0" relativeHeight="251655680" behindDoc="0" locked="0" layoutInCell="1" allowOverlap="1" wp14:anchorId="43A727DB" wp14:editId="7EB0DEB6">
              <wp:simplePos x="0" y="0"/>
              <wp:positionH relativeFrom="margin">
                <wp:posOffset>-45720</wp:posOffset>
              </wp:positionH>
              <wp:positionV relativeFrom="page">
                <wp:posOffset>0</wp:posOffset>
              </wp:positionV>
              <wp:extent cx="0" cy="10058400"/>
              <wp:effectExtent l="11430" t="9525" r="7620" b="9525"/>
              <wp:wrapNone/>
              <wp:docPr id="2"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0AFBC" id="LeftBorder1" o:spid="_x0000_s1026" style="position:absolute;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ltx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S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tZbcR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D5F6" w14:textId="77777777" w:rsidR="00FF44D2" w:rsidRDefault="00FF4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0D81"/>
    <w:multiLevelType w:val="multilevel"/>
    <w:tmpl w:val="713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6A3287"/>
    <w:multiLevelType w:val="multilevel"/>
    <w:tmpl w:val="37C87C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51717"/>
    <w:multiLevelType w:val="multilevel"/>
    <w:tmpl w:val="2890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12456"/>
    <w:multiLevelType w:val="multilevel"/>
    <w:tmpl w:val="5A6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E3489"/>
    <w:multiLevelType w:val="hybridMultilevel"/>
    <w:tmpl w:val="9AC2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691080">
    <w:abstractNumId w:val="4"/>
  </w:num>
  <w:num w:numId="2" w16cid:durableId="1007826877">
    <w:abstractNumId w:val="0"/>
  </w:num>
  <w:num w:numId="3" w16cid:durableId="968826725">
    <w:abstractNumId w:val="2"/>
  </w:num>
  <w:num w:numId="4" w16cid:durableId="448746471">
    <w:abstractNumId w:val="1"/>
  </w:num>
  <w:num w:numId="5" w16cid:durableId="119155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0"/>
  <w:drawingGridVerticalSpacing w:val="187"/>
  <w:displayHorizont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SUPERIOR COURT OF THE STATE OF CALIFORNIA_x000d__x000a_COUNTY OF LOS ANGELES"/>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1"/>
    <w:docVar w:name="SignWith" w:val=" "/>
    <w:docVar w:name="SummaryInFtr" w:val="-1"/>
  </w:docVars>
  <w:rsids>
    <w:rsidRoot w:val="00575AF2"/>
    <w:rsid w:val="000052A3"/>
    <w:rsid w:val="0003340C"/>
    <w:rsid w:val="00036BA6"/>
    <w:rsid w:val="000454BE"/>
    <w:rsid w:val="00056144"/>
    <w:rsid w:val="00056DC4"/>
    <w:rsid w:val="00070793"/>
    <w:rsid w:val="00086088"/>
    <w:rsid w:val="000947E1"/>
    <w:rsid w:val="000C2AFE"/>
    <w:rsid w:val="000E7309"/>
    <w:rsid w:val="000F62CC"/>
    <w:rsid w:val="001348F2"/>
    <w:rsid w:val="00150400"/>
    <w:rsid w:val="001851A3"/>
    <w:rsid w:val="001915EC"/>
    <w:rsid w:val="001A6B38"/>
    <w:rsid w:val="001D1964"/>
    <w:rsid w:val="001E620B"/>
    <w:rsid w:val="001E6C7C"/>
    <w:rsid w:val="001F2AF7"/>
    <w:rsid w:val="002068B3"/>
    <w:rsid w:val="00221542"/>
    <w:rsid w:val="00225FE3"/>
    <w:rsid w:val="0025483E"/>
    <w:rsid w:val="002C51E6"/>
    <w:rsid w:val="002F448D"/>
    <w:rsid w:val="0031542D"/>
    <w:rsid w:val="0033713A"/>
    <w:rsid w:val="00342F6D"/>
    <w:rsid w:val="00344E86"/>
    <w:rsid w:val="00380707"/>
    <w:rsid w:val="003B353E"/>
    <w:rsid w:val="003C41E6"/>
    <w:rsid w:val="003E184F"/>
    <w:rsid w:val="00407B35"/>
    <w:rsid w:val="004107EB"/>
    <w:rsid w:val="0043077F"/>
    <w:rsid w:val="004562EE"/>
    <w:rsid w:val="00456C96"/>
    <w:rsid w:val="00472345"/>
    <w:rsid w:val="0047540C"/>
    <w:rsid w:val="00477650"/>
    <w:rsid w:val="00485530"/>
    <w:rsid w:val="004A79E8"/>
    <w:rsid w:val="004B0DBF"/>
    <w:rsid w:val="004B2FF4"/>
    <w:rsid w:val="004D01EA"/>
    <w:rsid w:val="004F64B7"/>
    <w:rsid w:val="005574C9"/>
    <w:rsid w:val="0057459E"/>
    <w:rsid w:val="00574B5B"/>
    <w:rsid w:val="00575AF2"/>
    <w:rsid w:val="0057604E"/>
    <w:rsid w:val="00590C44"/>
    <w:rsid w:val="00596A7F"/>
    <w:rsid w:val="005F52B1"/>
    <w:rsid w:val="00613ED3"/>
    <w:rsid w:val="00634447"/>
    <w:rsid w:val="0065382B"/>
    <w:rsid w:val="00683CF3"/>
    <w:rsid w:val="006A34C5"/>
    <w:rsid w:val="006D00F8"/>
    <w:rsid w:val="006D6FD3"/>
    <w:rsid w:val="00741C9E"/>
    <w:rsid w:val="00747345"/>
    <w:rsid w:val="007670A6"/>
    <w:rsid w:val="007774B3"/>
    <w:rsid w:val="007E2D4C"/>
    <w:rsid w:val="007F6FCF"/>
    <w:rsid w:val="00805D97"/>
    <w:rsid w:val="008235B4"/>
    <w:rsid w:val="00823705"/>
    <w:rsid w:val="00844AFF"/>
    <w:rsid w:val="0085186C"/>
    <w:rsid w:val="008867D0"/>
    <w:rsid w:val="008A2FE0"/>
    <w:rsid w:val="008A464F"/>
    <w:rsid w:val="008C4A31"/>
    <w:rsid w:val="008D1442"/>
    <w:rsid w:val="008E25B6"/>
    <w:rsid w:val="00905D37"/>
    <w:rsid w:val="00924AF7"/>
    <w:rsid w:val="00937055"/>
    <w:rsid w:val="00956C86"/>
    <w:rsid w:val="0095724A"/>
    <w:rsid w:val="00982424"/>
    <w:rsid w:val="00992DE4"/>
    <w:rsid w:val="00A001CA"/>
    <w:rsid w:val="00A12FD4"/>
    <w:rsid w:val="00A15C32"/>
    <w:rsid w:val="00A86E85"/>
    <w:rsid w:val="00A937C8"/>
    <w:rsid w:val="00AB79AC"/>
    <w:rsid w:val="00B276B2"/>
    <w:rsid w:val="00B33FCB"/>
    <w:rsid w:val="00B36F9F"/>
    <w:rsid w:val="00B5795F"/>
    <w:rsid w:val="00B85468"/>
    <w:rsid w:val="00B863C6"/>
    <w:rsid w:val="00BB79E0"/>
    <w:rsid w:val="00BE4321"/>
    <w:rsid w:val="00BF1A28"/>
    <w:rsid w:val="00C156A1"/>
    <w:rsid w:val="00C1788A"/>
    <w:rsid w:val="00C36552"/>
    <w:rsid w:val="00C55B1E"/>
    <w:rsid w:val="00C660EE"/>
    <w:rsid w:val="00C72DD5"/>
    <w:rsid w:val="00C73D2D"/>
    <w:rsid w:val="00C91280"/>
    <w:rsid w:val="00C94917"/>
    <w:rsid w:val="00CC14E7"/>
    <w:rsid w:val="00CD52E8"/>
    <w:rsid w:val="00D20A2C"/>
    <w:rsid w:val="00DA5F2E"/>
    <w:rsid w:val="00DB2065"/>
    <w:rsid w:val="00DE56AE"/>
    <w:rsid w:val="00DE7E88"/>
    <w:rsid w:val="00DF1013"/>
    <w:rsid w:val="00E14A9F"/>
    <w:rsid w:val="00E273B5"/>
    <w:rsid w:val="00E40399"/>
    <w:rsid w:val="00E41DF2"/>
    <w:rsid w:val="00E87160"/>
    <w:rsid w:val="00E91F08"/>
    <w:rsid w:val="00EA7501"/>
    <w:rsid w:val="00EB200C"/>
    <w:rsid w:val="00EF1124"/>
    <w:rsid w:val="00EF1AE3"/>
    <w:rsid w:val="00EF687C"/>
    <w:rsid w:val="00F37814"/>
    <w:rsid w:val="00F457FC"/>
    <w:rsid w:val="00F47457"/>
    <w:rsid w:val="00F7536D"/>
    <w:rsid w:val="00F80948"/>
    <w:rsid w:val="00FA583C"/>
    <w:rsid w:val="00FC11D9"/>
    <w:rsid w:val="00FC5DE0"/>
    <w:rsid w:val="00FD5984"/>
    <w:rsid w:val="00FF4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10AA5"/>
  <w15:docId w15:val="{E8961882-4718-42A8-9769-C8F9EA44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55" w:lineRule="exact"/>
    </w:pPr>
    <w:rPr>
      <w:rFonts w:ascii="Courier New" w:hAnsi="Courier New" w:cs="Courier New"/>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0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EB200C"/>
    <w:rPr>
      <w:rFonts w:ascii="Tahoma" w:hAnsi="Tahoma" w:cs="Tahoma"/>
      <w:sz w:val="16"/>
      <w:szCs w:val="16"/>
    </w:rPr>
  </w:style>
  <w:style w:type="character" w:styleId="Hyperlink">
    <w:name w:val="Hyperlink"/>
    <w:basedOn w:val="DefaultParagraphFont"/>
    <w:rsid w:val="008A464F"/>
    <w:rPr>
      <w:color w:val="0000FF"/>
      <w:u w:val="single"/>
    </w:rPr>
  </w:style>
  <w:style w:type="paragraph" w:styleId="ListParagraph">
    <w:name w:val="List Paragraph"/>
    <w:basedOn w:val="Normal"/>
    <w:uiPriority w:val="34"/>
    <w:qFormat/>
    <w:rsid w:val="00A001CA"/>
    <w:pPr>
      <w:ind w:left="720"/>
      <w:contextualSpacing/>
    </w:pPr>
  </w:style>
  <w:style w:type="character" w:customStyle="1" w:styleId="FooterChar">
    <w:name w:val="Footer Char"/>
    <w:basedOn w:val="DefaultParagraphFont"/>
    <w:link w:val="Footer"/>
    <w:uiPriority w:val="99"/>
    <w:rsid w:val="00FF44D2"/>
    <w:rPr>
      <w:rFonts w:ascii="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610879">
      <w:bodyDiv w:val="1"/>
      <w:marLeft w:val="0"/>
      <w:marRight w:val="0"/>
      <w:marTop w:val="0"/>
      <w:marBottom w:val="0"/>
      <w:divBdr>
        <w:top w:val="none" w:sz="0" w:space="0" w:color="auto"/>
        <w:left w:val="none" w:sz="0" w:space="0" w:color="auto"/>
        <w:bottom w:val="none" w:sz="0" w:space="0" w:color="auto"/>
        <w:right w:val="none" w:sz="0" w:space="0" w:color="auto"/>
      </w:divBdr>
    </w:div>
    <w:div w:id="1383552353">
      <w:bodyDiv w:val="1"/>
      <w:marLeft w:val="0"/>
      <w:marRight w:val="0"/>
      <w:marTop w:val="0"/>
      <w:marBottom w:val="0"/>
      <w:divBdr>
        <w:top w:val="none" w:sz="0" w:space="0" w:color="auto"/>
        <w:left w:val="none" w:sz="0" w:space="0" w:color="auto"/>
        <w:bottom w:val="none" w:sz="0" w:space="0" w:color="auto"/>
        <w:right w:val="none" w:sz="0" w:space="0" w:color="auto"/>
      </w:divBdr>
      <w:divsChild>
        <w:div w:id="148903803">
          <w:marLeft w:val="0"/>
          <w:marRight w:val="0"/>
          <w:marTop w:val="0"/>
          <w:marBottom w:val="0"/>
          <w:divBdr>
            <w:top w:val="single" w:sz="2" w:space="0" w:color="E3E3E3"/>
            <w:left w:val="single" w:sz="2" w:space="0" w:color="E3E3E3"/>
            <w:bottom w:val="single" w:sz="2" w:space="0" w:color="E3E3E3"/>
            <w:right w:val="single" w:sz="2" w:space="0" w:color="E3E3E3"/>
          </w:divBdr>
          <w:divsChild>
            <w:div w:id="614674112">
              <w:marLeft w:val="0"/>
              <w:marRight w:val="0"/>
              <w:marTop w:val="0"/>
              <w:marBottom w:val="0"/>
              <w:divBdr>
                <w:top w:val="single" w:sz="2" w:space="0" w:color="E3E3E3"/>
                <w:left w:val="single" w:sz="2" w:space="0" w:color="E3E3E3"/>
                <w:bottom w:val="single" w:sz="2" w:space="0" w:color="E3E3E3"/>
                <w:right w:val="single" w:sz="2" w:space="0" w:color="E3E3E3"/>
              </w:divBdr>
              <w:divsChild>
                <w:div w:id="659889999">
                  <w:marLeft w:val="0"/>
                  <w:marRight w:val="0"/>
                  <w:marTop w:val="0"/>
                  <w:marBottom w:val="0"/>
                  <w:divBdr>
                    <w:top w:val="single" w:sz="2" w:space="0" w:color="E3E3E3"/>
                    <w:left w:val="single" w:sz="2" w:space="0" w:color="E3E3E3"/>
                    <w:bottom w:val="single" w:sz="2" w:space="0" w:color="E3E3E3"/>
                    <w:right w:val="single" w:sz="2" w:space="0" w:color="E3E3E3"/>
                  </w:divBdr>
                  <w:divsChild>
                    <w:div w:id="176236508">
                      <w:marLeft w:val="0"/>
                      <w:marRight w:val="0"/>
                      <w:marTop w:val="0"/>
                      <w:marBottom w:val="0"/>
                      <w:divBdr>
                        <w:top w:val="single" w:sz="2" w:space="0" w:color="E3E3E3"/>
                        <w:left w:val="single" w:sz="2" w:space="0" w:color="E3E3E3"/>
                        <w:bottom w:val="single" w:sz="2" w:space="0" w:color="E3E3E3"/>
                        <w:right w:val="single" w:sz="2" w:space="0" w:color="E3E3E3"/>
                      </w:divBdr>
                      <w:divsChild>
                        <w:div w:id="2090806569">
                          <w:marLeft w:val="0"/>
                          <w:marRight w:val="150"/>
                          <w:marTop w:val="0"/>
                          <w:marBottom w:val="0"/>
                          <w:divBdr>
                            <w:top w:val="single" w:sz="2" w:space="0" w:color="E3E3E3"/>
                            <w:left w:val="single" w:sz="2" w:space="0" w:color="E3E3E3"/>
                            <w:bottom w:val="single" w:sz="2" w:space="0" w:color="E3E3E3"/>
                            <w:right w:val="single" w:sz="2" w:space="0" w:color="E3E3E3"/>
                          </w:divBdr>
                          <w:divsChild>
                            <w:div w:id="213799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088734">
                          <w:marLeft w:val="0"/>
                          <w:marRight w:val="0"/>
                          <w:marTop w:val="0"/>
                          <w:marBottom w:val="0"/>
                          <w:divBdr>
                            <w:top w:val="single" w:sz="2" w:space="0" w:color="E3E3E3"/>
                            <w:left w:val="single" w:sz="2" w:space="0" w:color="E3E3E3"/>
                            <w:bottom w:val="single" w:sz="2" w:space="0" w:color="E3E3E3"/>
                            <w:right w:val="single" w:sz="2" w:space="0" w:color="E3E3E3"/>
                          </w:divBdr>
                          <w:divsChild>
                            <w:div w:id="110633449">
                              <w:marLeft w:val="0"/>
                              <w:marRight w:val="0"/>
                              <w:marTop w:val="0"/>
                              <w:marBottom w:val="0"/>
                              <w:divBdr>
                                <w:top w:val="single" w:sz="2" w:space="0" w:color="E3E3E3"/>
                                <w:left w:val="single" w:sz="2" w:space="0" w:color="E3E3E3"/>
                                <w:bottom w:val="single" w:sz="2" w:space="0" w:color="E3E3E3"/>
                                <w:right w:val="single" w:sz="2" w:space="0" w:color="E3E3E3"/>
                              </w:divBdr>
                            </w:div>
                            <w:div w:id="1231303732">
                              <w:marLeft w:val="0"/>
                              <w:marRight w:val="0"/>
                              <w:marTop w:val="0"/>
                              <w:marBottom w:val="0"/>
                              <w:divBdr>
                                <w:top w:val="single" w:sz="2" w:space="0" w:color="E3E3E3"/>
                                <w:left w:val="single" w:sz="2" w:space="0" w:color="E3E3E3"/>
                                <w:bottom w:val="single" w:sz="2" w:space="0" w:color="E3E3E3"/>
                                <w:right w:val="single" w:sz="2" w:space="0" w:color="E3E3E3"/>
                              </w:divBdr>
                              <w:divsChild>
                                <w:div w:id="244800243">
                                  <w:marLeft w:val="0"/>
                                  <w:marRight w:val="0"/>
                                  <w:marTop w:val="0"/>
                                  <w:marBottom w:val="0"/>
                                  <w:divBdr>
                                    <w:top w:val="single" w:sz="2" w:space="0" w:color="E3E3E3"/>
                                    <w:left w:val="single" w:sz="2" w:space="0" w:color="E3E3E3"/>
                                    <w:bottom w:val="single" w:sz="2" w:space="0" w:color="E3E3E3"/>
                                    <w:right w:val="single" w:sz="2" w:space="0" w:color="E3E3E3"/>
                                  </w:divBdr>
                                  <w:divsChild>
                                    <w:div w:id="1746565946">
                                      <w:marLeft w:val="0"/>
                                      <w:marRight w:val="0"/>
                                      <w:marTop w:val="0"/>
                                      <w:marBottom w:val="0"/>
                                      <w:divBdr>
                                        <w:top w:val="single" w:sz="2" w:space="0" w:color="E3E3E3"/>
                                        <w:left w:val="single" w:sz="2" w:space="0" w:color="E3E3E3"/>
                                        <w:bottom w:val="single" w:sz="2" w:space="0" w:color="E3E3E3"/>
                                        <w:right w:val="single" w:sz="2" w:space="0" w:color="E3E3E3"/>
                                      </w:divBdr>
                                      <w:divsChild>
                                        <w:div w:id="1632516639">
                                          <w:marLeft w:val="0"/>
                                          <w:marRight w:val="0"/>
                                          <w:marTop w:val="0"/>
                                          <w:marBottom w:val="0"/>
                                          <w:divBdr>
                                            <w:top w:val="single" w:sz="2" w:space="0" w:color="E3E3E3"/>
                                            <w:left w:val="single" w:sz="2" w:space="0" w:color="E3E3E3"/>
                                            <w:bottom w:val="single" w:sz="2" w:space="0" w:color="E3E3E3"/>
                                            <w:right w:val="single" w:sz="2" w:space="0" w:color="E3E3E3"/>
                                          </w:divBdr>
                                          <w:divsChild>
                                            <w:div w:id="601883123">
                                              <w:marLeft w:val="0"/>
                                              <w:marRight w:val="0"/>
                                              <w:marTop w:val="0"/>
                                              <w:marBottom w:val="0"/>
                                              <w:divBdr>
                                                <w:top w:val="single" w:sz="2" w:space="0" w:color="E3E3E3"/>
                                                <w:left w:val="single" w:sz="2" w:space="0" w:color="E3E3E3"/>
                                                <w:bottom w:val="single" w:sz="2" w:space="0" w:color="E3E3E3"/>
                                                <w:right w:val="single" w:sz="2" w:space="0" w:color="E3E3E3"/>
                                              </w:divBdr>
                                            </w:div>
                                            <w:div w:id="260918405">
                                              <w:marLeft w:val="0"/>
                                              <w:marRight w:val="0"/>
                                              <w:marTop w:val="0"/>
                                              <w:marBottom w:val="0"/>
                                              <w:divBdr>
                                                <w:top w:val="single" w:sz="6" w:space="0" w:color="E1E3EA"/>
                                                <w:left w:val="single" w:sz="6" w:space="0" w:color="E1E3EA"/>
                                                <w:bottom w:val="single" w:sz="6" w:space="0" w:color="E1E3EA"/>
                                                <w:right w:val="single" w:sz="6" w:space="0" w:color="E1E3EA"/>
                                              </w:divBdr>
                                              <w:divsChild>
                                                <w:div w:id="442652602">
                                                  <w:marLeft w:val="0"/>
                                                  <w:marRight w:val="0"/>
                                                  <w:marTop w:val="0"/>
                                                  <w:marBottom w:val="0"/>
                                                  <w:divBdr>
                                                    <w:top w:val="single" w:sz="2" w:space="0" w:color="E3E3E3"/>
                                                    <w:left w:val="single" w:sz="2" w:space="0" w:color="E3E3E3"/>
                                                    <w:bottom w:val="single" w:sz="2" w:space="0" w:color="E3E3E3"/>
                                                    <w:right w:val="single" w:sz="2" w:space="0" w:color="E3E3E3"/>
                                                  </w:divBdr>
                                                  <w:divsChild>
                                                    <w:div w:id="159921502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6109156">
                                              <w:marLeft w:val="0"/>
                                              <w:marRight w:val="0"/>
                                              <w:marTop w:val="0"/>
                                              <w:marBottom w:val="0"/>
                                              <w:divBdr>
                                                <w:top w:val="single" w:sz="2" w:space="0" w:color="E3E3E3"/>
                                                <w:left w:val="single" w:sz="2" w:space="0" w:color="E3E3E3"/>
                                                <w:bottom w:val="single" w:sz="2" w:space="0" w:color="E3E3E3"/>
                                                <w:right w:val="single" w:sz="2" w:space="0" w:color="E3E3E3"/>
                                              </w:divBdr>
                                            </w:div>
                                            <w:div w:id="910965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917973">
                                          <w:marLeft w:val="0"/>
                                          <w:marRight w:val="0"/>
                                          <w:marTop w:val="0"/>
                                          <w:marBottom w:val="0"/>
                                          <w:divBdr>
                                            <w:top w:val="single" w:sz="2" w:space="0" w:color="E3E3E3"/>
                                            <w:left w:val="single" w:sz="2" w:space="0" w:color="E3E3E3"/>
                                            <w:bottom w:val="single" w:sz="2" w:space="0" w:color="E3E3E3"/>
                                            <w:right w:val="single" w:sz="2" w:space="0" w:color="E3E3E3"/>
                                          </w:divBdr>
                                          <w:divsChild>
                                            <w:div w:id="1106576987">
                                              <w:marLeft w:val="0"/>
                                              <w:marRight w:val="0"/>
                                              <w:marTop w:val="0"/>
                                              <w:marBottom w:val="0"/>
                                              <w:divBdr>
                                                <w:top w:val="single" w:sz="6" w:space="6" w:color="D8DAE3"/>
                                                <w:left w:val="single" w:sz="6" w:space="9" w:color="D8DAE3"/>
                                                <w:bottom w:val="single" w:sz="6" w:space="6" w:color="D8DAE3"/>
                                                <w:right w:val="single" w:sz="6" w:space="3" w:color="D8DAE3"/>
                                              </w:divBdr>
                                              <w:divsChild>
                                                <w:div w:id="2123257766">
                                                  <w:marLeft w:val="0"/>
                                                  <w:marRight w:val="0"/>
                                                  <w:marTop w:val="0"/>
                                                  <w:marBottom w:val="0"/>
                                                  <w:divBdr>
                                                    <w:top w:val="single" w:sz="2" w:space="0" w:color="E3E3E3"/>
                                                    <w:left w:val="single" w:sz="2" w:space="0" w:color="E3E3E3"/>
                                                    <w:bottom w:val="single" w:sz="2" w:space="0" w:color="E3E3E3"/>
                                                    <w:right w:val="single" w:sz="2" w:space="0" w:color="E3E3E3"/>
                                                  </w:divBdr>
                                                  <w:divsChild>
                                                    <w:div w:id="1168057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388252">
                                                  <w:marLeft w:val="0"/>
                                                  <w:marRight w:val="0"/>
                                                  <w:marTop w:val="0"/>
                                                  <w:marBottom w:val="0"/>
                                                  <w:divBdr>
                                                    <w:top w:val="single" w:sz="2" w:space="0" w:color="E3E3E3"/>
                                                    <w:left w:val="single" w:sz="2" w:space="0" w:color="E3E3E3"/>
                                                    <w:bottom w:val="single" w:sz="2" w:space="0" w:color="E3E3E3"/>
                                                    <w:right w:val="single" w:sz="2" w:space="0" w:color="E3E3E3"/>
                                                  </w:divBdr>
                                                  <w:divsChild>
                                                    <w:div w:id="38792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596070">
                                                  <w:marLeft w:val="0"/>
                                                  <w:marRight w:val="0"/>
                                                  <w:marTop w:val="0"/>
                                                  <w:marBottom w:val="0"/>
                                                  <w:divBdr>
                                                    <w:top w:val="single" w:sz="2" w:space="0" w:color="E3E3E3"/>
                                                    <w:left w:val="single" w:sz="2" w:space="0" w:color="E3E3E3"/>
                                                    <w:bottom w:val="single" w:sz="2" w:space="0" w:color="E3E3E3"/>
                                                    <w:right w:val="single" w:sz="2" w:space="0" w:color="E3E3E3"/>
                                                  </w:divBdr>
                                                  <w:divsChild>
                                                    <w:div w:id="602344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410586">
                                                  <w:marLeft w:val="0"/>
                                                  <w:marRight w:val="0"/>
                                                  <w:marTop w:val="0"/>
                                                  <w:marBottom w:val="0"/>
                                                  <w:divBdr>
                                                    <w:top w:val="single" w:sz="2" w:space="0" w:color="E3E3E3"/>
                                                    <w:left w:val="single" w:sz="2" w:space="0" w:color="E3E3E3"/>
                                                    <w:bottom w:val="single" w:sz="2" w:space="0" w:color="E3E3E3"/>
                                                    <w:right w:val="single" w:sz="2" w:space="0" w:color="E3E3E3"/>
                                                  </w:divBdr>
                                                  <w:divsChild>
                                                    <w:div w:id="496700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3991275">
      <w:bodyDiv w:val="1"/>
      <w:marLeft w:val="0"/>
      <w:marRight w:val="0"/>
      <w:marTop w:val="0"/>
      <w:marBottom w:val="0"/>
      <w:divBdr>
        <w:top w:val="none" w:sz="0" w:space="0" w:color="auto"/>
        <w:left w:val="none" w:sz="0" w:space="0" w:color="auto"/>
        <w:bottom w:val="none" w:sz="0" w:space="0" w:color="auto"/>
        <w:right w:val="none" w:sz="0" w:space="0" w:color="auto"/>
      </w:divBdr>
    </w:div>
    <w:div w:id="1963337804">
      <w:bodyDiv w:val="1"/>
      <w:marLeft w:val="0"/>
      <w:marRight w:val="0"/>
      <w:marTop w:val="0"/>
      <w:marBottom w:val="0"/>
      <w:divBdr>
        <w:top w:val="none" w:sz="0" w:space="0" w:color="auto"/>
        <w:left w:val="none" w:sz="0" w:space="0" w:color="auto"/>
        <w:bottom w:val="none" w:sz="0" w:space="0" w:color="auto"/>
        <w:right w:val="none" w:sz="0" w:space="0" w:color="auto"/>
      </w:divBdr>
      <w:divsChild>
        <w:div w:id="2051879276">
          <w:marLeft w:val="0"/>
          <w:marRight w:val="150"/>
          <w:marTop w:val="0"/>
          <w:marBottom w:val="0"/>
          <w:divBdr>
            <w:top w:val="single" w:sz="2" w:space="0" w:color="E3E3E3"/>
            <w:left w:val="single" w:sz="2" w:space="0" w:color="E3E3E3"/>
            <w:bottom w:val="single" w:sz="2" w:space="0" w:color="E3E3E3"/>
            <w:right w:val="single" w:sz="2" w:space="0" w:color="E3E3E3"/>
          </w:divBdr>
          <w:divsChild>
            <w:div w:id="448554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703128">
          <w:marLeft w:val="0"/>
          <w:marRight w:val="0"/>
          <w:marTop w:val="0"/>
          <w:marBottom w:val="0"/>
          <w:divBdr>
            <w:top w:val="single" w:sz="2" w:space="0" w:color="E3E3E3"/>
            <w:left w:val="single" w:sz="2" w:space="0" w:color="E3E3E3"/>
            <w:bottom w:val="single" w:sz="2" w:space="0" w:color="E3E3E3"/>
            <w:right w:val="single" w:sz="2" w:space="0" w:color="E3E3E3"/>
          </w:divBdr>
          <w:divsChild>
            <w:div w:id="422536998">
              <w:marLeft w:val="0"/>
              <w:marRight w:val="0"/>
              <w:marTop w:val="0"/>
              <w:marBottom w:val="0"/>
              <w:divBdr>
                <w:top w:val="single" w:sz="2" w:space="0" w:color="E3E3E3"/>
                <w:left w:val="single" w:sz="2" w:space="0" w:color="E3E3E3"/>
                <w:bottom w:val="single" w:sz="2" w:space="0" w:color="E3E3E3"/>
                <w:right w:val="single" w:sz="2" w:space="0" w:color="E3E3E3"/>
              </w:divBdr>
            </w:div>
            <w:div w:id="746073022">
              <w:marLeft w:val="0"/>
              <w:marRight w:val="0"/>
              <w:marTop w:val="0"/>
              <w:marBottom w:val="0"/>
              <w:divBdr>
                <w:top w:val="single" w:sz="2" w:space="0" w:color="E3E3E3"/>
                <w:left w:val="single" w:sz="2" w:space="0" w:color="E3E3E3"/>
                <w:bottom w:val="single" w:sz="2" w:space="0" w:color="E3E3E3"/>
                <w:right w:val="single" w:sz="2" w:space="0" w:color="E3E3E3"/>
              </w:divBdr>
              <w:divsChild>
                <w:div w:id="1629319460">
                  <w:marLeft w:val="0"/>
                  <w:marRight w:val="0"/>
                  <w:marTop w:val="0"/>
                  <w:marBottom w:val="0"/>
                  <w:divBdr>
                    <w:top w:val="single" w:sz="2" w:space="0" w:color="E3E3E3"/>
                    <w:left w:val="single" w:sz="2" w:space="0" w:color="E3E3E3"/>
                    <w:bottom w:val="single" w:sz="2" w:space="0" w:color="E3E3E3"/>
                    <w:right w:val="single" w:sz="2" w:space="0" w:color="E3E3E3"/>
                  </w:divBdr>
                  <w:divsChild>
                    <w:div w:id="1552617552">
                      <w:marLeft w:val="0"/>
                      <w:marRight w:val="0"/>
                      <w:marTop w:val="0"/>
                      <w:marBottom w:val="0"/>
                      <w:divBdr>
                        <w:top w:val="single" w:sz="2" w:space="0" w:color="E3E3E3"/>
                        <w:left w:val="single" w:sz="2" w:space="0" w:color="E3E3E3"/>
                        <w:bottom w:val="single" w:sz="2" w:space="0" w:color="E3E3E3"/>
                        <w:right w:val="single" w:sz="2" w:space="0" w:color="E3E3E3"/>
                      </w:divBdr>
                      <w:divsChild>
                        <w:div w:id="1690596302">
                          <w:marLeft w:val="0"/>
                          <w:marRight w:val="0"/>
                          <w:marTop w:val="0"/>
                          <w:marBottom w:val="0"/>
                          <w:divBdr>
                            <w:top w:val="single" w:sz="2" w:space="0" w:color="E3E3E3"/>
                            <w:left w:val="single" w:sz="2" w:space="0" w:color="E3E3E3"/>
                            <w:bottom w:val="single" w:sz="2" w:space="0" w:color="E3E3E3"/>
                            <w:right w:val="single" w:sz="2" w:space="0" w:color="E3E3E3"/>
                          </w:divBdr>
                          <w:divsChild>
                            <w:div w:id="1290013462">
                              <w:marLeft w:val="0"/>
                              <w:marRight w:val="0"/>
                              <w:marTop w:val="0"/>
                              <w:marBottom w:val="0"/>
                              <w:divBdr>
                                <w:top w:val="single" w:sz="2" w:space="0" w:color="E3E3E3"/>
                                <w:left w:val="single" w:sz="2" w:space="0" w:color="E3E3E3"/>
                                <w:bottom w:val="single" w:sz="2" w:space="0" w:color="E3E3E3"/>
                                <w:right w:val="single" w:sz="2" w:space="0" w:color="E3E3E3"/>
                              </w:divBdr>
                            </w:div>
                            <w:div w:id="1566573677">
                              <w:marLeft w:val="0"/>
                              <w:marRight w:val="0"/>
                              <w:marTop w:val="0"/>
                              <w:marBottom w:val="0"/>
                              <w:divBdr>
                                <w:top w:val="single" w:sz="2" w:space="0" w:color="E3E3E3"/>
                                <w:left w:val="single" w:sz="2" w:space="0" w:color="E3E3E3"/>
                                <w:bottom w:val="single" w:sz="2" w:space="0" w:color="E3E3E3"/>
                                <w:right w:val="single" w:sz="2" w:space="0" w:color="E3E3E3"/>
                              </w:divBdr>
                            </w:div>
                            <w:div w:id="15265525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97070782">
                              <w:marLeft w:val="0"/>
                              <w:marRight w:val="0"/>
                              <w:marTop w:val="0"/>
                              <w:marBottom w:val="0"/>
                              <w:divBdr>
                                <w:top w:val="single" w:sz="2" w:space="0" w:color="E3E3E3"/>
                                <w:left w:val="single" w:sz="2" w:space="0" w:color="E3E3E3"/>
                                <w:bottom w:val="single" w:sz="2" w:space="0" w:color="E3E3E3"/>
                                <w:right w:val="single" w:sz="2" w:space="0" w:color="E3E3E3"/>
                              </w:divBdr>
                            </w:div>
                            <w:div w:id="109405837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7937842">
                              <w:marLeft w:val="0"/>
                              <w:marRight w:val="0"/>
                              <w:marTop w:val="0"/>
                              <w:marBottom w:val="0"/>
                              <w:divBdr>
                                <w:top w:val="single" w:sz="2" w:space="0" w:color="E3E3E3"/>
                                <w:left w:val="single" w:sz="2" w:space="0" w:color="E3E3E3"/>
                                <w:bottom w:val="single" w:sz="2" w:space="0" w:color="E3E3E3"/>
                                <w:right w:val="single" w:sz="2" w:space="0" w:color="E3E3E3"/>
                              </w:divBdr>
                            </w:div>
                            <w:div w:id="1096630782">
                              <w:marLeft w:val="0"/>
                              <w:marRight w:val="0"/>
                              <w:marTop w:val="0"/>
                              <w:marBottom w:val="0"/>
                              <w:divBdr>
                                <w:top w:val="single" w:sz="2" w:space="0" w:color="E3E3E3"/>
                                <w:left w:val="single" w:sz="2" w:space="0" w:color="E3E3E3"/>
                                <w:bottom w:val="single" w:sz="2" w:space="0" w:color="E3E3E3"/>
                                <w:right w:val="single" w:sz="2" w:space="0" w:color="E3E3E3"/>
                              </w:divBdr>
                            </w:div>
                            <w:div w:id="226259644">
                              <w:marLeft w:val="0"/>
                              <w:marRight w:val="0"/>
                              <w:marTop w:val="0"/>
                              <w:marBottom w:val="0"/>
                              <w:divBdr>
                                <w:top w:val="single" w:sz="2" w:space="0" w:color="E3E3E3"/>
                                <w:left w:val="single" w:sz="2" w:space="0" w:color="E3E3E3"/>
                                <w:bottom w:val="single" w:sz="2" w:space="0" w:color="E3E3E3"/>
                                <w:right w:val="single" w:sz="2" w:space="0" w:color="E3E3E3"/>
                              </w:divBdr>
                            </w:div>
                            <w:div w:id="2021083045">
                              <w:marLeft w:val="0"/>
                              <w:marRight w:val="0"/>
                              <w:marTop w:val="0"/>
                              <w:marBottom w:val="0"/>
                              <w:divBdr>
                                <w:top w:val="single" w:sz="2" w:space="0" w:color="E3E3E3"/>
                                <w:left w:val="single" w:sz="2" w:space="0" w:color="E3E3E3"/>
                                <w:bottom w:val="single" w:sz="2" w:space="0" w:color="E3E3E3"/>
                                <w:right w:val="single" w:sz="2" w:space="0" w:color="E3E3E3"/>
                              </w:divBdr>
                            </w:div>
                            <w:div w:id="375157023">
                              <w:marLeft w:val="0"/>
                              <w:marRight w:val="0"/>
                              <w:marTop w:val="0"/>
                              <w:marBottom w:val="0"/>
                              <w:divBdr>
                                <w:top w:val="single" w:sz="2" w:space="0" w:color="E3E3E3"/>
                                <w:left w:val="single" w:sz="2" w:space="0" w:color="E3E3E3"/>
                                <w:bottom w:val="single" w:sz="2" w:space="0" w:color="E3E3E3"/>
                                <w:right w:val="single" w:sz="2" w:space="0" w:color="E3E3E3"/>
                              </w:divBdr>
                            </w:div>
                            <w:div w:id="9962013">
                              <w:marLeft w:val="0"/>
                              <w:marRight w:val="0"/>
                              <w:marTop w:val="0"/>
                              <w:marBottom w:val="0"/>
                              <w:divBdr>
                                <w:top w:val="single" w:sz="2" w:space="0" w:color="E3E3E3"/>
                                <w:left w:val="single" w:sz="2" w:space="0" w:color="E3E3E3"/>
                                <w:bottom w:val="single" w:sz="2" w:space="0" w:color="E3E3E3"/>
                                <w:right w:val="single" w:sz="2" w:space="0" w:color="E3E3E3"/>
                              </w:divBdr>
                            </w:div>
                            <w:div w:id="812913954">
                              <w:marLeft w:val="0"/>
                              <w:marRight w:val="0"/>
                              <w:marTop w:val="0"/>
                              <w:marBottom w:val="0"/>
                              <w:divBdr>
                                <w:top w:val="single" w:sz="2" w:space="0" w:color="E3E3E3"/>
                                <w:left w:val="single" w:sz="2" w:space="0" w:color="E3E3E3"/>
                                <w:bottom w:val="single" w:sz="2" w:space="0" w:color="E3E3E3"/>
                                <w:right w:val="single" w:sz="2" w:space="0" w:color="E3E3E3"/>
                              </w:divBdr>
                            </w:div>
                            <w:div w:id="93794978">
                              <w:marLeft w:val="0"/>
                              <w:marRight w:val="0"/>
                              <w:marTop w:val="0"/>
                              <w:marBottom w:val="0"/>
                              <w:divBdr>
                                <w:top w:val="single" w:sz="2" w:space="0" w:color="E3E3E3"/>
                                <w:left w:val="single" w:sz="2" w:space="0" w:color="E3E3E3"/>
                                <w:bottom w:val="single" w:sz="2" w:space="0" w:color="E3E3E3"/>
                                <w:right w:val="single" w:sz="2" w:space="0" w:color="E3E3E3"/>
                              </w:divBdr>
                            </w:div>
                            <w:div w:id="45380940">
                              <w:marLeft w:val="0"/>
                              <w:marRight w:val="0"/>
                              <w:marTop w:val="0"/>
                              <w:marBottom w:val="0"/>
                              <w:divBdr>
                                <w:top w:val="single" w:sz="2" w:space="0" w:color="E3E3E3"/>
                                <w:left w:val="single" w:sz="2" w:space="0" w:color="E3E3E3"/>
                                <w:bottom w:val="single" w:sz="2" w:space="0" w:color="E3E3E3"/>
                                <w:right w:val="single" w:sz="2" w:space="0" w:color="E3E3E3"/>
                              </w:divBdr>
                            </w:div>
                            <w:div w:id="1257405225">
                              <w:marLeft w:val="0"/>
                              <w:marRight w:val="0"/>
                              <w:marTop w:val="0"/>
                              <w:marBottom w:val="0"/>
                              <w:divBdr>
                                <w:top w:val="single" w:sz="2" w:space="0" w:color="E3E3E3"/>
                                <w:left w:val="single" w:sz="2" w:space="0" w:color="E3E3E3"/>
                                <w:bottom w:val="single" w:sz="2" w:space="0" w:color="E3E3E3"/>
                                <w:right w:val="single" w:sz="2" w:space="0" w:color="E3E3E3"/>
                              </w:divBdr>
                            </w:div>
                            <w:div w:id="245387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20</Pages>
  <Words>4464</Words>
  <Characters>37279</Characters>
  <Application>Microsoft Office Word</Application>
  <DocSecurity>0</DocSecurity>
  <Lines>793</Lines>
  <Paragraphs>291</Paragraphs>
  <ScaleCrop>false</ScaleCrop>
  <HeadingPairs>
    <vt:vector size="2" baseType="variant">
      <vt:variant>
        <vt:lpstr>Title</vt:lpstr>
      </vt:variant>
      <vt:variant>
        <vt:i4>1</vt:i4>
      </vt:variant>
    </vt:vector>
  </HeadingPairs>
  <TitlesOfParts>
    <vt:vector size="1" baseType="lpstr">
      <vt:lpstr>Pleading Wizard</vt:lpstr>
    </vt:vector>
  </TitlesOfParts>
  <Company/>
  <LinksUpToDate>false</LinksUpToDate>
  <CharactersWithSpaces>41452</CharactersWithSpaces>
  <SharedDoc>false</SharedDoc>
  <HLinks>
    <vt:vector size="18" baseType="variant">
      <vt:variant>
        <vt:i4>2818056</vt:i4>
      </vt:variant>
      <vt:variant>
        <vt:i4>6</vt:i4>
      </vt:variant>
      <vt:variant>
        <vt:i4>0</vt:i4>
      </vt:variant>
      <vt:variant>
        <vt:i4>5</vt:i4>
      </vt:variant>
      <vt:variant>
        <vt:lpwstr>http://www.ce9.uscourts.gov/jc2010/references/prose/How_to_Write_a_Complaint_CAC.pdf</vt:lpwstr>
      </vt:variant>
      <vt:variant>
        <vt:lpwstr/>
      </vt:variant>
      <vt:variant>
        <vt:i4>3014769</vt:i4>
      </vt:variant>
      <vt:variant>
        <vt:i4>3</vt:i4>
      </vt:variant>
      <vt:variant>
        <vt:i4>0</vt:i4>
      </vt:variant>
      <vt:variant>
        <vt:i4>5</vt:i4>
      </vt:variant>
      <vt:variant>
        <vt:lpwstr>http://www.uscourts.gov/uscourts/RulesAndPolicies/rules/2010 Rules/Civil Procedure.pdf</vt:lpwstr>
      </vt:variant>
      <vt:variant>
        <vt:lpwstr/>
      </vt:variant>
      <vt:variant>
        <vt:i4>3866681</vt:i4>
      </vt:variant>
      <vt:variant>
        <vt:i4>0</vt:i4>
      </vt:variant>
      <vt:variant>
        <vt:i4>0</vt:i4>
      </vt:variant>
      <vt:variant>
        <vt:i4>5</vt:i4>
      </vt:variant>
      <vt:variant>
        <vt:lpwstr>http://www.cacd.uscourts.gov/CACD/LocRules.nsf/Local+Rules?OpenView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creator>Inland Valley Auto Mall</dc:creator>
  <cp:lastModifiedBy>Inland Valley Auto Mall</cp:lastModifiedBy>
  <cp:revision>2</cp:revision>
  <cp:lastPrinted>2012-02-15T15:51:00Z</cp:lastPrinted>
  <dcterms:created xsi:type="dcterms:W3CDTF">2026-04-06T00:08:00Z</dcterms:created>
  <dcterms:modified xsi:type="dcterms:W3CDTF">2026-04-06T00:08:00Z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ies>
</file>