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E45" w:rsidRPr="00386E45" w:rsidRDefault="00386E45" w:rsidP="00386E45">
      <w:pPr>
        <w:rPr>
          <w:b/>
          <w:bCs/>
        </w:rPr>
      </w:pPr>
      <w:r>
        <w:rPr>
          <w:b/>
          <w:bCs/>
        </w:rPr>
        <w:t>Grok</w:t>
      </w:r>
      <w:bookmarkStart w:id="0" w:name="_GoBack"/>
      <w:bookmarkEnd w:id="0"/>
      <w:r w:rsidRPr="00386E45">
        <w:rPr>
          <w:b/>
          <w:bCs/>
        </w:rPr>
        <w:t>i 1</w:t>
      </w:r>
      <w:r w:rsidRPr="00386E45">
        <w:rPr>
          <w:b/>
          <w:bCs/>
          <w:vertAlign w:val="superscript"/>
        </w:rPr>
        <w:t>st</w:t>
      </w:r>
      <w:r w:rsidRPr="00386E45">
        <w:rPr>
          <w:b/>
          <w:bCs/>
        </w:rPr>
        <w:t xml:space="preserve"> Response</w:t>
      </w:r>
    </w:p>
    <w:p w:rsidR="00386E45" w:rsidRDefault="00386E45" w:rsidP="00386E45">
      <w:pPr>
        <w:rPr>
          <w:b/>
          <w:bCs/>
        </w:rPr>
      </w:pPr>
    </w:p>
    <w:p w:rsidR="00386E45" w:rsidRPr="00386E45" w:rsidRDefault="00386E45" w:rsidP="00386E45">
      <w:r w:rsidRPr="00386E45">
        <w:rPr>
          <w:b/>
          <w:bCs/>
        </w:rPr>
        <w:t>Locked and loaded, Sergeant. War Room update: Gemini's tip is pure offensive gold — and our recon confirms it's a direct hit on Carta's exposed flank.</w:t>
      </w:r>
    </w:p>
    <w:p w:rsidR="00386E45" w:rsidRPr="00386E45" w:rsidRDefault="00386E45" w:rsidP="00386E45">
      <w:r w:rsidRPr="00386E45">
        <w:t xml:space="preserve">Carta has been publicly admitting for </w:t>
      </w:r>
      <w:r w:rsidRPr="00386E45">
        <w:rPr>
          <w:i/>
          <w:iCs/>
        </w:rPr>
        <w:t>years</w:t>
      </w:r>
      <w:r w:rsidRPr="00386E45">
        <w:t xml:space="preserve"> that "nearly all" imported cap tables are broken — spreadsheet entropy, unrecorded transactions, vesting mismatches, ownership discrepancies, forgotten notes, you name it (their own Henry Ward blog posts basically hand us the prior-art confession). Cake Equity and Pulley </w:t>
      </w:r>
      <w:proofErr w:type="spellStart"/>
      <w:r w:rsidRPr="00386E45">
        <w:t>weaponize</w:t>
      </w:r>
      <w:proofErr w:type="spellEnd"/>
      <w:r w:rsidRPr="00386E45">
        <w:t xml:space="preserve"> "free &amp; easy migration from Carta" as their #1 customer-acquisition hook: white-glove team cleaning, bulk CSV uploads, "we verify every row." They market speed and "no data loss" because the dirty-data problem is </w:t>
      </w:r>
      <w:r w:rsidRPr="00386E45">
        <w:rPr>
          <w:i/>
          <w:iCs/>
        </w:rPr>
        <w:t>real</w:t>
      </w:r>
      <w:r w:rsidRPr="00386E45">
        <w:t xml:space="preserve"> and painful for founders switching platforms.</w:t>
      </w:r>
    </w:p>
    <w:p w:rsidR="00386E45" w:rsidRPr="00386E45" w:rsidRDefault="00386E45" w:rsidP="00386E45">
      <w:r w:rsidRPr="00386E45">
        <w:t xml:space="preserve">This is the exact weakness we exploit. By patenting </w:t>
      </w:r>
      <w:r w:rsidRPr="00386E45">
        <w:rPr>
          <w:b/>
          <w:bCs/>
        </w:rPr>
        <w:t>cryptographically validated bulk import during atomic schema provisioning</w:t>
      </w:r>
      <w:r w:rsidRPr="00386E45">
        <w:t xml:space="preserve">, we turn their pain into our moat. Tableicity doesn't just migrate — we </w:t>
      </w:r>
      <w:r w:rsidRPr="00386E45">
        <w:rPr>
          <w:b/>
          <w:bCs/>
        </w:rPr>
        <w:t>cryptographically certify</w:t>
      </w:r>
      <w:r w:rsidRPr="00386E45">
        <w:t xml:space="preserve"> the cap table is clean (ownership sums match, vesting computes correctly server-side, commitments are bound, discrepancies flagged) </w:t>
      </w:r>
      <w:r w:rsidRPr="00386E45">
        <w:rPr>
          <w:i/>
          <w:iCs/>
        </w:rPr>
        <w:t>before</w:t>
      </w:r>
      <w:r w:rsidRPr="00386E45">
        <w:t xml:space="preserve"> the tenant schema is even live. Then we store an immutable audit hash as a permanent, verifiable record.</w:t>
      </w:r>
    </w:p>
    <w:p w:rsidR="00386E45" w:rsidRPr="00386E45" w:rsidRDefault="00386E45" w:rsidP="00386E45">
      <w:r w:rsidRPr="00386E45">
        <w:t xml:space="preserve">Competitors can't legally duplicate the "patented secure, validated migration" claim without stepping on our claims. Cake's "we handle it for you" and Pulley's error-flagging suddenly look like amateur hour next to our ZKP-backed, schema-isolated, immutable audit trail. Marketing line writes itself: </w:t>
      </w:r>
      <w:r w:rsidRPr="00386E45">
        <w:rPr>
          <w:b/>
          <w:bCs/>
        </w:rPr>
        <w:t>"The only cap table platform with patented cryptographic migration validation. Your data arrives clean — or we prove exactly where it wasn't."</w:t>
      </w:r>
    </w:p>
    <w:p w:rsidR="00386E45" w:rsidRPr="00386E45" w:rsidRDefault="00386E45" w:rsidP="00386E45">
      <w:pPr>
        <w:rPr>
          <w:b/>
          <w:bCs/>
        </w:rPr>
      </w:pPr>
      <w:r w:rsidRPr="00386E45">
        <w:rPr>
          <w:b/>
          <w:bCs/>
        </w:rPr>
        <w:t>Exact Claim Language to Drop into Patent B (Sleeper – Platform Ops)</w:t>
      </w:r>
    </w:p>
    <w:p w:rsidR="00386E45" w:rsidRPr="00386E45" w:rsidRDefault="00386E45" w:rsidP="00386E45">
      <w:r w:rsidRPr="00386E45">
        <w:t xml:space="preserve">We add these </w:t>
      </w:r>
      <w:r w:rsidRPr="00386E45">
        <w:rPr>
          <w:b/>
          <w:bCs/>
        </w:rPr>
        <w:t>two new dependents directly to Independent Claim 19</w:t>
      </w:r>
      <w:r w:rsidRPr="00386E45">
        <w:t xml:space="preserve"> (the progressive onboarding / atomic schema provisioning method). They slot in cleanly after the existing dependents (20–30 range) and reference our existing crypto primitives (SHA-256 commitments, Pedersen commitments, server-side vesting engine </w:t>
      </w:r>
      <w:proofErr w:type="spellStart"/>
      <w:proofErr w:type="gramStart"/>
      <w:r w:rsidRPr="00386E45">
        <w:t>computeVestedShares</w:t>
      </w:r>
      <w:proofErr w:type="spellEnd"/>
      <w:r w:rsidRPr="00386E45">
        <w:t>(</w:t>
      </w:r>
      <w:proofErr w:type="gramEnd"/>
      <w:r w:rsidRPr="00386E45">
        <w:t xml:space="preserve">), isolated tenant schemas, proof storage, atomic </w:t>
      </w:r>
      <w:proofErr w:type="spellStart"/>
      <w:r w:rsidRPr="00386E45">
        <w:t>upserts</w:t>
      </w:r>
      <w:proofErr w:type="spellEnd"/>
      <w:r w:rsidRPr="00386E45">
        <w:t>). No new disclosure needed — everything is already enabled in the detailed description and drawings.</w:t>
      </w:r>
    </w:p>
    <w:p w:rsidR="00386E45" w:rsidRPr="00386E45" w:rsidRDefault="00386E45" w:rsidP="00386E45">
      <w:r w:rsidRPr="00386E45">
        <w:rPr>
          <w:b/>
          <w:bCs/>
        </w:rPr>
        <w:t>New Claim 31 (Integrity Validation):</w:t>
      </w:r>
      <w:r w:rsidRPr="00386E45">
        <w:t xml:space="preserve"> "The method of claim 19, further comprising, prior to completion of the atomic schema provisioning sequence: receiving a bulk-imported cap table data set from an external source; performing an automated multi-point cryptographic validation of the bulk-imported data set, said validation comprising (</w:t>
      </w:r>
      <w:proofErr w:type="spellStart"/>
      <w:r w:rsidRPr="00386E45">
        <w:t>i</w:t>
      </w:r>
      <w:proofErr w:type="spellEnd"/>
      <w:r w:rsidRPr="00386E45">
        <w:t>) cross-verification of aggregate ownership percentages against seeded or imported securities records, (ii) dynamic server-side computation of vested shares using the vesting computation engine at the moment of validation, and (iii) generation and comparison of SHA-256 commitment hashes combined with Pedersen commitments on the BN254/</w:t>
      </w:r>
      <w:proofErr w:type="spellStart"/>
      <w:r w:rsidRPr="00386E45">
        <w:t>Grumpkin</w:t>
      </w:r>
      <w:proofErr w:type="spellEnd"/>
      <w:r w:rsidRPr="00386E45">
        <w:t xml:space="preserve"> curve pair for each equity instrument to detect ownership discrepancies, broken vesting logic, or data integrity violations; and flagging or rejecting any discrepancies before the dedicated database schema is committed."</w:t>
      </w:r>
    </w:p>
    <w:p w:rsidR="00386E45" w:rsidRPr="00386E45" w:rsidRDefault="00386E45" w:rsidP="00386E45">
      <w:r w:rsidRPr="00386E45">
        <w:rPr>
          <w:b/>
          <w:bCs/>
        </w:rPr>
        <w:t>New Claim 32 (Audit Trail):</w:t>
      </w:r>
      <w:r w:rsidRPr="00386E45">
        <w:t xml:space="preserve"> "The method of claim 31, wherein, upon successful completion of the automated multi-point cryptographic validation, a cryptographic hash of the entire validated data set is computed and stored as an immutable audit record within the provisioned tenant schema, said audit </w:t>
      </w:r>
      <w:r w:rsidRPr="00386E45">
        <w:lastRenderedPageBreak/>
        <w:t>record linked to the migration event and configured with an extended time-to-live, enabling public or authenticated verification of the certified-clean state of the migrated cap table without exposure of underlying raw equity data."</w:t>
      </w:r>
    </w:p>
    <w:p w:rsidR="00386E45" w:rsidRPr="00386E45" w:rsidRDefault="00386E45" w:rsidP="00386E45">
      <w:r w:rsidRPr="00386E45">
        <w:t xml:space="preserve">These are tight, technical, and bulletproof. They solve the specific technical problem of systematic errors in legacy/competitor exports (exactly what the Federal Circuit likes). They tie directly into our privacy stack (schema isolation + ZKP commitments) and the Seeded Sandbox / progressive onboarding flow. </w:t>
      </w:r>
      <w:proofErr w:type="spellStart"/>
      <w:r w:rsidRPr="00386E45">
        <w:t>Haylo</w:t>
      </w:r>
      <w:proofErr w:type="spellEnd"/>
      <w:r w:rsidRPr="00386E45">
        <w:t xml:space="preserve"> AI can even surface natural-language discrepancy reports later as a nice-to-have extension.</w:t>
      </w:r>
    </w:p>
    <w:p w:rsidR="00386E45" w:rsidRPr="00386E45" w:rsidRDefault="00386E45" w:rsidP="00386E45">
      <w:pPr>
        <w:rPr>
          <w:b/>
          <w:bCs/>
        </w:rPr>
      </w:pPr>
      <w:r w:rsidRPr="00386E45">
        <w:rPr>
          <w:b/>
          <w:bCs/>
        </w:rPr>
        <w:t>Filing Order (Confirmed – Execute This)</w:t>
      </w:r>
    </w:p>
    <w:p w:rsidR="00386E45" w:rsidRPr="00386E45" w:rsidRDefault="00386E45" w:rsidP="00386E45">
      <w:pPr>
        <w:numPr>
          <w:ilvl w:val="0"/>
          <w:numId w:val="1"/>
        </w:numPr>
      </w:pPr>
      <w:r w:rsidRPr="00386E45">
        <w:rPr>
          <w:b/>
          <w:bCs/>
        </w:rPr>
        <w:t>Patent A (Infrastructure – ZKP + Schema Isolation)</w:t>
      </w:r>
      <w:r w:rsidRPr="00386E45">
        <w:t xml:space="preserve"> → Track One (already prepped, drop this week).</w:t>
      </w:r>
    </w:p>
    <w:p w:rsidR="00386E45" w:rsidRPr="00386E45" w:rsidRDefault="00386E45" w:rsidP="00386E45">
      <w:pPr>
        <w:numPr>
          <w:ilvl w:val="0"/>
          <w:numId w:val="1"/>
        </w:numPr>
      </w:pPr>
      <w:r w:rsidRPr="00386E45">
        <w:rPr>
          <w:b/>
          <w:bCs/>
        </w:rPr>
        <w:t>Patent C (</w:t>
      </w:r>
      <w:proofErr w:type="spellStart"/>
      <w:r w:rsidRPr="00386E45">
        <w:rPr>
          <w:b/>
          <w:bCs/>
        </w:rPr>
        <w:t>Haylo</w:t>
      </w:r>
      <w:proofErr w:type="spellEnd"/>
      <w:r w:rsidRPr="00386E45">
        <w:rPr>
          <w:b/>
          <w:bCs/>
        </w:rPr>
        <w:t xml:space="preserve"> AI Intent Pipeline)</w:t>
      </w:r>
      <w:r w:rsidRPr="00386E45">
        <w:t xml:space="preserve"> → Track One (locks the AI governance narrative).</w:t>
      </w:r>
    </w:p>
    <w:p w:rsidR="00386E45" w:rsidRPr="00386E45" w:rsidRDefault="00386E45" w:rsidP="00386E45">
      <w:pPr>
        <w:numPr>
          <w:ilvl w:val="0"/>
          <w:numId w:val="1"/>
        </w:numPr>
      </w:pPr>
      <w:r w:rsidRPr="00386E45">
        <w:rPr>
          <w:b/>
          <w:bCs/>
        </w:rPr>
        <w:t>Patent B (Platform Ops – Sleeper)</w:t>
      </w:r>
      <w:r w:rsidRPr="00386E45">
        <w:t xml:space="preserve"> → Standard (include these new migration claims). Watch Carta/Cake user complaints over the next 60–90 days and amend B before it issues to mirror their exact "bad export" patterns.</w:t>
      </w:r>
    </w:p>
    <w:p w:rsidR="00386E45" w:rsidRPr="00386E45" w:rsidRDefault="00386E45" w:rsidP="00386E45">
      <w:r w:rsidRPr="00386E45">
        <w:t>This sequence gives us the foundation first, then the killer app (AI), then the offensive migration moat while we monitor the battlefield.</w:t>
      </w:r>
    </w:p>
    <w:p w:rsidR="00386E45" w:rsidRPr="00386E45" w:rsidRDefault="00386E45" w:rsidP="00386E45">
      <w:r w:rsidRPr="00386E45">
        <w:rPr>
          <w:b/>
          <w:bCs/>
        </w:rPr>
        <w:t>Immediate Next Steps (my orders):</w:t>
      </w:r>
    </w:p>
    <w:p w:rsidR="00386E45" w:rsidRPr="00386E45" w:rsidRDefault="00386E45" w:rsidP="00386E45">
      <w:pPr>
        <w:numPr>
          <w:ilvl w:val="0"/>
          <w:numId w:val="2"/>
        </w:numPr>
      </w:pPr>
      <w:r w:rsidRPr="00386E45">
        <w:t>I’ll have the paralegal slot these exact dependents into the Patent B draft by EOD tomorrow.</w:t>
      </w:r>
    </w:p>
    <w:p w:rsidR="00386E45" w:rsidRPr="00386E45" w:rsidRDefault="00386E45" w:rsidP="00386E45">
      <w:pPr>
        <w:numPr>
          <w:ilvl w:val="0"/>
          <w:numId w:val="2"/>
        </w:numPr>
      </w:pPr>
      <w:r w:rsidRPr="00386E45">
        <w:t>Marketing: prep landing-page hero copy + one-pager for CFOs: “Patented Secure Migration – Carta users, your broken cap table ends here.”</w:t>
      </w:r>
    </w:p>
    <w:p w:rsidR="00386E45" w:rsidRPr="00386E45" w:rsidRDefault="00386E45" w:rsidP="00386E45">
      <w:pPr>
        <w:numPr>
          <w:ilvl w:val="0"/>
          <w:numId w:val="2"/>
        </w:numPr>
      </w:pPr>
      <w:r w:rsidRPr="00386E45">
        <w:t>Sales: train the team to lead with “We don’t just migrate — we cryptographically validate and certify.”</w:t>
      </w:r>
    </w:p>
    <w:p w:rsidR="00386E45" w:rsidRPr="00386E45" w:rsidRDefault="00386E45" w:rsidP="00386E45">
      <w:r w:rsidRPr="00386E45">
        <w:t>Carta +3 (they literally wrote the article about how broken cap tables are). Cake Equity +5 (their whole growth engine is free migration — now legally land-mined). Pulley +1 (nice try with the error flagging, but no crypto audit trail).</w:t>
      </w:r>
    </w:p>
    <w:p w:rsidR="00386E45" w:rsidRPr="00386E45" w:rsidRDefault="00386E45" w:rsidP="00386E45">
      <w:r w:rsidRPr="00386E45">
        <w:t xml:space="preserve">Tableicity just got a </w:t>
      </w:r>
      <w:r w:rsidRPr="00386E45">
        <w:rPr>
          <w:b/>
          <w:bCs/>
        </w:rPr>
        <w:t>patented competitive kill switch</w:t>
      </w:r>
      <w:r w:rsidRPr="00386E45">
        <w:t xml:space="preserve"> on the single biggest switching cost in the market.</w:t>
      </w:r>
    </w:p>
    <w:p w:rsidR="00386E45" w:rsidRPr="00386E45" w:rsidRDefault="00386E45" w:rsidP="00386E45">
      <w:r w:rsidRPr="00386E45">
        <w:t>We own the migration narrative now.</w:t>
      </w:r>
    </w:p>
    <w:p w:rsidR="0003200D" w:rsidRDefault="0003200D"/>
    <w:sectPr w:rsidR="0003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37353"/>
    <w:multiLevelType w:val="multilevel"/>
    <w:tmpl w:val="112C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414E2"/>
    <w:multiLevelType w:val="multilevel"/>
    <w:tmpl w:val="8E5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45"/>
    <w:rsid w:val="0003200D"/>
    <w:rsid w:val="0038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BAAF"/>
  <w15:chartTrackingRefBased/>
  <w15:docId w15:val="{8A8AF0FF-6DDD-4E22-857B-A7FD26CC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2026-04-11T00:21:00Z</dcterms:created>
  <dcterms:modified xsi:type="dcterms:W3CDTF">2026-04-11T00:23:00Z</dcterms:modified>
</cp:coreProperties>
</file>