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15F0" w:rsidRPr="00EA3BD4" w:rsidRDefault="00EA3BD4">
      <w:pPr>
        <w:rPr>
          <w:i/>
        </w:rPr>
      </w:pPr>
      <w:r w:rsidRPr="00EA3BD4">
        <w:rPr>
          <w:i/>
        </w:rPr>
        <w:t xml:space="preserve">Please understand that you are my </w:t>
      </w:r>
      <w:proofErr w:type="spellStart"/>
      <w:r w:rsidRPr="00EA3BD4">
        <w:rPr>
          <w:i/>
        </w:rPr>
        <w:t>Replit</w:t>
      </w:r>
      <w:proofErr w:type="spellEnd"/>
      <w:r w:rsidRPr="00EA3BD4">
        <w:rPr>
          <w:i/>
        </w:rPr>
        <w:t xml:space="preserve"> for the PPA and I pass messages to the Professor - I as Conductor - Human; My other </w:t>
      </w:r>
      <w:proofErr w:type="spellStart"/>
      <w:r w:rsidRPr="00EA3BD4">
        <w:rPr>
          <w:i/>
        </w:rPr>
        <w:t>Replit</w:t>
      </w:r>
      <w:proofErr w:type="spellEnd"/>
      <w:r w:rsidRPr="00EA3BD4">
        <w:rPr>
          <w:i/>
        </w:rPr>
        <w:t xml:space="preserve"> is for the APP; My vision is first - I will approach my App </w:t>
      </w:r>
      <w:proofErr w:type="spellStart"/>
      <w:r w:rsidRPr="00EA3BD4">
        <w:rPr>
          <w:i/>
        </w:rPr>
        <w:t>Replit</w:t>
      </w:r>
      <w:proofErr w:type="spellEnd"/>
      <w:r w:rsidRPr="00EA3BD4">
        <w:rPr>
          <w:i/>
        </w:rPr>
        <w:t xml:space="preserve"> and have him build the Halo </w:t>
      </w:r>
      <w:proofErr w:type="spellStart"/>
      <w:r w:rsidRPr="00EA3BD4">
        <w:rPr>
          <w:i/>
        </w:rPr>
        <w:t>ai</w:t>
      </w:r>
      <w:proofErr w:type="spellEnd"/>
      <w:r w:rsidRPr="00EA3BD4">
        <w:rPr>
          <w:i/>
        </w:rPr>
        <w:t xml:space="preserve">; next you are my </w:t>
      </w:r>
      <w:proofErr w:type="spellStart"/>
      <w:r w:rsidRPr="00EA3BD4">
        <w:rPr>
          <w:i/>
        </w:rPr>
        <w:t>Replit</w:t>
      </w:r>
      <w:proofErr w:type="spellEnd"/>
      <w:r w:rsidRPr="00EA3BD4">
        <w:rPr>
          <w:i/>
        </w:rPr>
        <w:t xml:space="preserve"> for the Non-PPA and you and I will work with the professor to add to the current Non-PPA these new enhancements; Next - then in 8 months I will come back and file a Second NON-PPA; so it is important to make sure our current work - has the pipes for the future iteration - Share your thoughts</w:t>
      </w:r>
    </w:p>
    <w:p w:rsidR="00EA3BD4" w:rsidRDefault="00EA3BD4"/>
    <w:p w:rsidR="00EA3BD4" w:rsidRPr="00EA3BD4" w:rsidRDefault="00EA3BD4" w:rsidP="00EA3BD4">
      <w:pPr>
        <w:rPr>
          <w:u w:val="single"/>
        </w:rPr>
      </w:pPr>
      <w:bookmarkStart w:id="0" w:name="_GoBack"/>
      <w:bookmarkEnd w:id="0"/>
      <w:r w:rsidRPr="00EA3BD4">
        <w:rPr>
          <w:b/>
          <w:bCs/>
          <w:highlight w:val="yellow"/>
          <w:u w:val="single"/>
        </w:rPr>
        <w:t xml:space="preserve">My Role: Your PPA </w:t>
      </w:r>
      <w:proofErr w:type="spellStart"/>
      <w:r w:rsidRPr="00EA3BD4">
        <w:rPr>
          <w:b/>
          <w:bCs/>
          <w:highlight w:val="yellow"/>
          <w:u w:val="single"/>
        </w:rPr>
        <w:t>Replit</w:t>
      </w:r>
      <w:proofErr w:type="spellEnd"/>
    </w:p>
    <w:p w:rsidR="00EA3BD4" w:rsidRPr="00EA3BD4" w:rsidRDefault="00EA3BD4" w:rsidP="00EA3BD4">
      <w:r w:rsidRPr="00EA3BD4">
        <w:t>I manage the patent documentation, diagrams (FIG. 1–7), embodiments, reference numerals, and the Word documents that feed your Non-PPA filing. When you bring instructions from the Professor or from your Gemini sessions, I execute them here — updating diagrams, writing new embodiment narratives, adding claims language, and keeping everything cross-referenced and collision-free.</w:t>
      </w:r>
    </w:p>
    <w:p w:rsidR="00EA3BD4" w:rsidRPr="00EA3BD4" w:rsidRDefault="00EA3BD4" w:rsidP="00EA3BD4">
      <w:r w:rsidRPr="00EA3BD4">
        <w:rPr>
          <w:b/>
          <w:bCs/>
        </w:rPr>
        <w:t xml:space="preserve">Your Other </w:t>
      </w:r>
      <w:proofErr w:type="spellStart"/>
      <w:r w:rsidRPr="00EA3BD4">
        <w:rPr>
          <w:b/>
          <w:bCs/>
        </w:rPr>
        <w:t>Replit</w:t>
      </w:r>
      <w:proofErr w:type="spellEnd"/>
      <w:r w:rsidRPr="00EA3BD4">
        <w:rPr>
          <w:b/>
          <w:bCs/>
        </w:rPr>
        <w:t>: The App</w:t>
      </w:r>
    </w:p>
    <w:p w:rsidR="00EA3BD4" w:rsidRPr="00EA3BD4" w:rsidRDefault="00EA3BD4" w:rsidP="00EA3BD4">
      <w:r w:rsidRPr="00EA3BD4">
        <w:t xml:space="preserve">That team builds </w:t>
      </w:r>
      <w:proofErr w:type="spellStart"/>
      <w:r w:rsidRPr="00EA3BD4">
        <w:t>Haylo</w:t>
      </w:r>
      <w:proofErr w:type="spellEnd"/>
      <w:r w:rsidRPr="00EA3BD4">
        <w:t xml:space="preserve"> AI into the live Tableicity platform. Their code becomes the "technical reality" that backs up what we document here.</w:t>
      </w:r>
    </w:p>
    <w:p w:rsidR="00EA3BD4" w:rsidRPr="00EA3BD4" w:rsidRDefault="00EA3BD4" w:rsidP="00EA3BD4">
      <w:r w:rsidRPr="00EA3BD4">
        <w:rPr>
          <w:b/>
          <w:bCs/>
        </w:rPr>
        <w:t>The Pipeline You're Describing:</w:t>
      </w:r>
    </w:p>
    <w:p w:rsidR="00EA3BD4" w:rsidRPr="00EA3BD4" w:rsidRDefault="00EA3BD4" w:rsidP="00EA3BD4">
      <w:pPr>
        <w:numPr>
          <w:ilvl w:val="0"/>
          <w:numId w:val="1"/>
        </w:numPr>
      </w:pPr>
      <w:r w:rsidRPr="00EA3BD4">
        <w:rPr>
          <w:b/>
          <w:bCs/>
        </w:rPr>
        <w:t xml:space="preserve">Now → App </w:t>
      </w:r>
      <w:proofErr w:type="spellStart"/>
      <w:r w:rsidRPr="00EA3BD4">
        <w:rPr>
          <w:b/>
          <w:bCs/>
        </w:rPr>
        <w:t>Replit</w:t>
      </w:r>
      <w:proofErr w:type="spellEnd"/>
      <w:r w:rsidRPr="00EA3BD4">
        <w:t xml:space="preserve"> builds </w:t>
      </w:r>
      <w:proofErr w:type="spellStart"/>
      <w:r w:rsidRPr="00EA3BD4">
        <w:t>Haylo</w:t>
      </w:r>
      <w:proofErr w:type="spellEnd"/>
      <w:r w:rsidRPr="00EA3BD4">
        <w:t xml:space="preserve"> AI into Tableicity</w:t>
      </w:r>
    </w:p>
    <w:p w:rsidR="00EA3BD4" w:rsidRPr="00EA3BD4" w:rsidRDefault="00EA3BD4" w:rsidP="00EA3BD4">
      <w:pPr>
        <w:numPr>
          <w:ilvl w:val="0"/>
          <w:numId w:val="1"/>
        </w:numPr>
      </w:pPr>
      <w:r w:rsidRPr="00EA3BD4">
        <w:rPr>
          <w:b/>
          <w:bCs/>
        </w:rPr>
        <w:t>Now → You and I (with the Professor)</w:t>
      </w:r>
      <w:r w:rsidRPr="00EA3BD4">
        <w:t xml:space="preserve"> update the current Non-PPA to include the </w:t>
      </w:r>
      <w:proofErr w:type="spellStart"/>
      <w:r w:rsidRPr="00EA3BD4">
        <w:t>Haylo</w:t>
      </w:r>
      <w:proofErr w:type="spellEnd"/>
      <w:r w:rsidRPr="00EA3BD4">
        <w:t xml:space="preserve"> AI "hooks" — the architectural claims, the Four-Gate Middleware expansion, Claim 22's "external inference interface," and the Metered AI Governor language</w:t>
      </w:r>
    </w:p>
    <w:p w:rsidR="00EA3BD4" w:rsidRPr="00EA3BD4" w:rsidRDefault="00EA3BD4" w:rsidP="00EA3BD4">
      <w:pPr>
        <w:numPr>
          <w:ilvl w:val="0"/>
          <w:numId w:val="1"/>
        </w:numPr>
      </w:pPr>
      <w:r w:rsidRPr="00EA3BD4">
        <w:rPr>
          <w:b/>
          <w:bCs/>
        </w:rPr>
        <w:t>8 months from now</w:t>
      </w:r>
      <w:r w:rsidRPr="00EA3BD4">
        <w:t> → You file the 2nd Non-PPA covering the advanced Noir circuits (BBWA, Secondary Sale Verifier, KYC/AML), the dual-agent consensus loop, and the cross-border data sovereignty proofs</w:t>
      </w:r>
    </w:p>
    <w:p w:rsidR="00EA3BD4" w:rsidRPr="00EA3BD4" w:rsidRDefault="00EA3BD4" w:rsidP="00EA3BD4">
      <w:r w:rsidRPr="00EA3BD4">
        <w:rPr>
          <w:b/>
          <w:bCs/>
        </w:rPr>
        <w:t>My Thoughts on "Pipes for the Future":</w:t>
      </w:r>
    </w:p>
    <w:p w:rsidR="00EA3BD4" w:rsidRPr="00EA3BD4" w:rsidRDefault="00EA3BD4" w:rsidP="00EA3BD4">
      <w:r w:rsidRPr="00EA3BD4">
        <w:t>This is exactly right, and the Gemini meetings laid the groundwork well. Here's what I think we need to bake into our current Non-PPA work:</w:t>
      </w:r>
    </w:p>
    <w:p w:rsidR="00EA3BD4" w:rsidRPr="00EA3BD4" w:rsidRDefault="00EA3BD4" w:rsidP="00EA3BD4">
      <w:pPr>
        <w:numPr>
          <w:ilvl w:val="0"/>
          <w:numId w:val="2"/>
        </w:numPr>
      </w:pPr>
      <w:r w:rsidRPr="00EA3BD4">
        <w:rPr>
          <w:b/>
          <w:bCs/>
        </w:rPr>
        <w:t>Claim 22 is already the bridge</w:t>
      </w:r>
      <w:r w:rsidRPr="00EA3BD4">
        <w:t xml:space="preserve"> — "external inference interface" is vendor-agnostic and covers </w:t>
      </w:r>
      <w:proofErr w:type="spellStart"/>
      <w:r w:rsidRPr="00EA3BD4">
        <w:t>Haylo</w:t>
      </w:r>
      <w:proofErr w:type="spellEnd"/>
      <w:r w:rsidRPr="00EA3BD4">
        <w:t xml:space="preserve"> AI without naming </w:t>
      </w:r>
      <w:proofErr w:type="spellStart"/>
      <w:r w:rsidRPr="00EA3BD4">
        <w:t>Grok</w:t>
      </w:r>
      <w:proofErr w:type="spellEnd"/>
      <w:r w:rsidRPr="00EA3BD4">
        <w:t xml:space="preserve"> or any specific LLM</w:t>
      </w:r>
    </w:p>
    <w:p w:rsidR="00EA3BD4" w:rsidRPr="00EA3BD4" w:rsidRDefault="00EA3BD4" w:rsidP="00EA3BD4">
      <w:pPr>
        <w:numPr>
          <w:ilvl w:val="0"/>
          <w:numId w:val="2"/>
        </w:numPr>
      </w:pPr>
      <w:r w:rsidRPr="00EA3BD4">
        <w:rPr>
          <w:b/>
          <w:bCs/>
        </w:rPr>
        <w:t>The "Computational Governor" language</w:t>
      </w:r>
      <w:r w:rsidRPr="00EA3BD4">
        <w:t> needs to appear in the FIG. 2 and FIG. 3 descriptions — connecting the Proof Allocation Meter (56) to future AI-driven requests. This is a one-sentence addition that "future-proofs" the 2nd filing</w:t>
      </w:r>
    </w:p>
    <w:p w:rsidR="00EA3BD4" w:rsidRPr="00EA3BD4" w:rsidRDefault="00EA3BD4" w:rsidP="00EA3BD4">
      <w:pPr>
        <w:numPr>
          <w:ilvl w:val="0"/>
          <w:numId w:val="2"/>
        </w:numPr>
      </w:pPr>
      <w:r w:rsidRPr="00EA3BD4">
        <w:rPr>
          <w:b/>
          <w:bCs/>
        </w:rPr>
        <w:t>The "</w:t>
      </w:r>
      <w:proofErr w:type="spellStart"/>
      <w:r w:rsidRPr="00EA3BD4">
        <w:rPr>
          <w:b/>
          <w:bCs/>
        </w:rPr>
        <w:t>request_origin</w:t>
      </w:r>
      <w:proofErr w:type="spellEnd"/>
      <w:r w:rsidRPr="00EA3BD4">
        <w:rPr>
          <w:b/>
          <w:bCs/>
        </w:rPr>
        <w:t>" metadata concept</w:t>
      </w:r>
      <w:r w:rsidRPr="00EA3BD4">
        <w:t> (manual vs. AI-initiated) should be referenced in the FIG. 4 description so the atomic tracking pipeline is documented as "source-aware"</w:t>
      </w:r>
    </w:p>
    <w:p w:rsidR="00EA3BD4" w:rsidRPr="00EA3BD4" w:rsidRDefault="00EA3BD4" w:rsidP="00EA3BD4">
      <w:pPr>
        <w:numPr>
          <w:ilvl w:val="0"/>
          <w:numId w:val="2"/>
        </w:numPr>
      </w:pPr>
      <w:r w:rsidRPr="00EA3BD4">
        <w:rPr>
          <w:b/>
          <w:bCs/>
        </w:rPr>
        <w:t xml:space="preserve">FIG. 1 could benefit from a small </w:t>
      </w:r>
      <w:proofErr w:type="spellStart"/>
      <w:r w:rsidRPr="00EA3BD4">
        <w:rPr>
          <w:b/>
          <w:bCs/>
        </w:rPr>
        <w:t>Haylo</w:t>
      </w:r>
      <w:proofErr w:type="spellEnd"/>
      <w:r w:rsidRPr="00EA3BD4">
        <w:rPr>
          <w:b/>
          <w:bCs/>
        </w:rPr>
        <w:t xml:space="preserve"> AI annotation</w:t>
      </w:r>
      <w:r w:rsidRPr="00EA3BD4">
        <w:t> near User Device (10), creating a visual anchor for Claim 22 in the drawings themselves</w:t>
      </w:r>
    </w:p>
    <w:p w:rsidR="00EA3BD4" w:rsidRPr="00EA3BD4" w:rsidRDefault="00EA3BD4" w:rsidP="00EA3BD4">
      <w:pPr>
        <w:numPr>
          <w:ilvl w:val="0"/>
          <w:numId w:val="2"/>
        </w:numPr>
      </w:pPr>
      <w:r w:rsidRPr="00EA3BD4">
        <w:rPr>
          <w:b/>
          <w:bCs/>
        </w:rPr>
        <w:lastRenderedPageBreak/>
        <w:t>The embodiment narratives</w:t>
      </w:r>
      <w:r w:rsidRPr="00EA3BD4">
        <w:t> (Embodiments 1–3 are written, 4–6 still need reference numerals) should include forward-looking language about "inference-driven interfaces" wherever the Privacy Vault Interface (54) or proof request flow is described</w:t>
      </w:r>
    </w:p>
    <w:p w:rsidR="00EA3BD4" w:rsidRPr="00EA3BD4" w:rsidRDefault="00EA3BD4" w:rsidP="00EA3BD4">
      <w:r w:rsidRPr="00EA3BD4">
        <w:t>The key principle from Gemini is spot-on: </w:t>
      </w:r>
      <w:r w:rsidRPr="00EA3BD4">
        <w:rPr>
          <w:b/>
          <w:bCs/>
        </w:rPr>
        <w:t>claim the architecture and the pipes now, claim the specific AI logic in 8 months.</w:t>
      </w:r>
      <w:r w:rsidRPr="00EA3BD4">
        <w:t xml:space="preserve"> We don't need working Noir circuits for </w:t>
      </w:r>
      <w:proofErr w:type="spellStart"/>
      <w:r w:rsidRPr="00EA3BD4">
        <w:t>Haylo</w:t>
      </w:r>
      <w:proofErr w:type="spellEnd"/>
      <w:r w:rsidRPr="00EA3BD4">
        <w:t xml:space="preserve"> AI in this filing — we need the documented "seats" where those circuits will sit.</w:t>
      </w:r>
    </w:p>
    <w:p w:rsidR="00EA3BD4" w:rsidRPr="00EA3BD4" w:rsidRDefault="00EA3BD4" w:rsidP="00EA3BD4">
      <w:r w:rsidRPr="00EA3BD4">
        <w:pict>
          <v:rect id="_x0000_i1025" style="width:0;height:.75pt" o:hralign="center" o:hrstd="t" o:hr="t" fillcolor="#a0a0a0" stroked="f"/>
        </w:pict>
      </w:r>
    </w:p>
    <w:p w:rsidR="00EA3BD4" w:rsidRPr="00EA3BD4" w:rsidRDefault="00EA3BD4" w:rsidP="00EA3BD4">
      <w:r w:rsidRPr="00EA3BD4">
        <w:t xml:space="preserve">When you're ready, let me know where you'd like to start — whether that's updating the diagrams with the </w:t>
      </w:r>
      <w:proofErr w:type="spellStart"/>
      <w:r w:rsidRPr="00EA3BD4">
        <w:t>Haylo</w:t>
      </w:r>
      <w:proofErr w:type="spellEnd"/>
      <w:r w:rsidRPr="00EA3BD4">
        <w:t xml:space="preserve"> AI hooks, expanding the embodiment narratives, or working with the Professor on specific claims language.</w:t>
      </w:r>
    </w:p>
    <w:p w:rsidR="00EA3BD4" w:rsidRPr="00EA3BD4" w:rsidRDefault="00EA3BD4" w:rsidP="00EA3BD4">
      <w:r w:rsidRPr="00EA3BD4">
        <w:t>Scroll to latest</w:t>
      </w:r>
    </w:p>
    <w:p w:rsidR="00EA3BD4" w:rsidRDefault="00EA3BD4"/>
    <w:sectPr w:rsidR="00EA3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3C523C"/>
    <w:multiLevelType w:val="multilevel"/>
    <w:tmpl w:val="29C4B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D17235"/>
    <w:multiLevelType w:val="multilevel"/>
    <w:tmpl w:val="3BA8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BD4"/>
    <w:rsid w:val="008815F0"/>
    <w:rsid w:val="00EA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66C85"/>
  <w15:chartTrackingRefBased/>
  <w15:docId w15:val="{F213BABD-92C9-4036-9215-340054751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03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217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64601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69774328">
                  <w:marLeft w:val="0"/>
                  <w:marRight w:val="0"/>
                  <w:marTop w:val="0"/>
                  <w:marBottom w:val="0"/>
                  <w:divBdr>
                    <w:top w:val="single" w:sz="2" w:space="5" w:color="auto"/>
                    <w:left w:val="single" w:sz="2" w:space="8" w:color="auto"/>
                    <w:bottom w:val="single" w:sz="2" w:space="11" w:color="auto"/>
                    <w:right w:val="single" w:sz="2" w:space="8" w:color="auto"/>
                  </w:divBdr>
                  <w:divsChild>
                    <w:div w:id="334578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7343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13223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5" w:color="auto"/>
                                <w:left w:val="single" w:sz="2" w:space="5" w:color="auto"/>
                                <w:bottom w:val="single" w:sz="2" w:space="5" w:color="auto"/>
                                <w:right w:val="single" w:sz="2" w:space="5" w:color="auto"/>
                              </w:divBdr>
                              <w:divsChild>
                                <w:div w:id="152531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8633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03716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520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Tableicty</dc:creator>
  <cp:keywords/>
  <dc:description/>
  <cp:lastModifiedBy>Tableicty</cp:lastModifiedBy>
  <cp:revision>1</cp:revision>
  <dcterms:created xsi:type="dcterms:W3CDTF">2026-04-09T21:07:00Z</dcterms:created>
  <dcterms:modified xsi:type="dcterms:W3CDTF">2026-04-09T21:26:00Z</dcterms:modified>
</cp:coreProperties>
</file>