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0B6B4B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30"/>
              </w:rPr>
              <w:t>{{ prepared_by_upper }}</w:t>
            </w:r>
          </w:p>
        </w:tc>
      </w:tr>
    </w:tbl>
    <w:p>
      <w:pPr>
        <w:spacing w:before="760"/>
        <w:jc w:val="center"/>
        <w:bidi w:val="1"/>
      </w:pPr>
      <w:r>
        <w:rPr>
          <w:rFonts w:ascii="Noto Sans Arabic" w:hAnsi="Noto Sans Arabic" w:cs="Noto Sans Arabic"/>
          <w:b/>
          <w:color w:val="0B6B4B"/>
          <w:sz w:val="52"/>
        </w:rPr>
        <w:t>خطة التنفيذ الميداني</w:t>
      </w:r>
    </w:p>
    <w:p>
      <w:pPr>
        <w:jc w:val="center"/>
        <w:bidi w:val="1"/>
      </w:pPr>
      <w:r>
        <w:rPr>
          <w:rFonts w:ascii="Noto Sans Arabic" w:hAnsi="Noto Sans Arabic" w:cs="Noto Sans Arabic"/>
          <w:b/>
          <w:color w:val="1D2A32"/>
          <w:sz w:val="36"/>
        </w:rPr>
        <w:t>لمشروع الفحص الحراري بالطائرات المسيّرة</w:t>
      </w:r>
    </w:p>
    <w:p>
      <w:pPr>
        <w:jc w:val="center"/>
        <w:bidi w:val="1"/>
      </w:pPr>
      <w:r>
        <w:rPr>
          <w:rFonts w:ascii="Noto Sans Arabic" w:hAnsi="Noto Sans Arabic" w:cs="Noto Sans Arabic"/>
          <w:b w:val="0"/>
          <w:color w:val="5E6C76"/>
          <w:sz w:val="30"/>
        </w:rPr>
        <w:t>لخطوط النقل الهوائية بجهد {{ voltage_label }} - {{ region_label }}</w:t>
      </w:r>
    </w:p>
    <w:p>
      <w:pPr>
        <w:spacing w:before="320"/>
        <w:jc w:val="center"/>
        <w:bidi w:val="1"/>
      </w:pPr>
      <w:r>
        <w:rPr>
          <w:rFonts w:ascii="Noto Sans Arabic" w:hAnsi="Noto Sans Arabic" w:cs="Noto Sans Arabic"/>
          <w:color w:val="B99A4A"/>
          <w:sz w:val="20"/>
        </w:rPr>
        <w:t>ــــــــــــــــــــــــــــــــــــــــــــــــــــ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438"/>
            <w:shd w:fill="EAF4E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20"/>
              </w:rPr>
              <w:t>العميل</w:t>
            </w:r>
          </w:p>
        </w:tc>
        <w:tc>
          <w:tcPr>
            <w:tcW w:type="dxa" w:w="6009"/>
            <w:shd w:fill="FFFFF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20"/>
              </w:rPr>
              <w:t>{{ client_name }} ({{ client_short }})</w:t>
            </w:r>
          </w:p>
        </w:tc>
      </w:tr>
      <w:tr>
        <w:trPr>
          <w:cantSplit/>
        </w:trPr>
        <w:tc>
          <w:tcPr>
            <w:tcW w:type="dxa" w:w="2438"/>
            <w:shd w:fill="EAF4E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20"/>
              </w:rPr>
              <w:t>المرجع</w:t>
            </w:r>
          </w:p>
        </w:tc>
        <w:tc>
          <w:tcPr>
            <w:tcW w:type="dxa" w:w="6009"/>
            <w:shd w:fill="FFFFF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20"/>
              </w:rPr>
              <w:t>{{ reference_no }}</w:t>
            </w:r>
          </w:p>
        </w:tc>
      </w:tr>
      <w:tr>
        <w:trPr>
          <w:cantSplit/>
        </w:trPr>
        <w:tc>
          <w:tcPr>
            <w:tcW w:type="dxa" w:w="2438"/>
            <w:shd w:fill="EAF4E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20"/>
              </w:rPr>
              <w:t>نطاق المشروع</w:t>
            </w:r>
          </w:p>
        </w:tc>
        <w:tc>
          <w:tcPr>
            <w:tcW w:type="dxa" w:w="6009"/>
            <w:shd w:fill="FFFFF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20"/>
              </w:rPr>
              <w:t>{{ total_towers }} برج نقل هوائي بجهد {{ voltage_label }}</w:t>
            </w:r>
          </w:p>
        </w:tc>
      </w:tr>
      <w:tr>
        <w:trPr>
          <w:cantSplit/>
        </w:trPr>
        <w:tc>
          <w:tcPr>
            <w:tcW w:type="dxa" w:w="2438"/>
            <w:shd w:fill="EAF4E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20"/>
              </w:rPr>
              <w:t>نموذج التنفيذ</w:t>
            </w:r>
          </w:p>
        </w:tc>
        <w:tc>
          <w:tcPr>
            <w:tcW w:type="dxa" w:w="6009"/>
            <w:shd w:fill="FFFFF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20"/>
              </w:rPr>
              <w:t>{{ team_count }} فرق ميدانية - {{ avg_team_size }} أفراد لكل فريق</w:t>
            </w:r>
          </w:p>
        </w:tc>
      </w:tr>
      <w:tr>
        <w:trPr>
          <w:cantSplit/>
        </w:trPr>
        <w:tc>
          <w:tcPr>
            <w:tcW w:type="dxa" w:w="2438"/>
            <w:shd w:fill="EAF4E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20"/>
              </w:rPr>
              <w:t>فترة التنفيذ المستهدفة</w:t>
            </w:r>
          </w:p>
        </w:tc>
        <w:tc>
          <w:tcPr>
            <w:tcW w:type="dxa" w:w="6009"/>
            <w:shd w:fill="FFFFFF"/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20"/>
              </w:rPr>
              <w:t>{{ period_label }}</w:t>
            </w:r>
          </w:p>
        </w:tc>
      </w:tr>
    </w:tbl>
    <w:p>
      <w:pPr>
        <w:spacing w:before="800"/>
        <w:jc w:val="center"/>
        <w:bidi w:val="1"/>
      </w:pPr>
      <w:r>
        <w:rPr>
          <w:rFonts w:ascii="Noto Sans Arabic" w:hAnsi="Noto Sans Arabic" w:cs="Noto Sans Arabic"/>
          <w:b/>
          <w:color w:val="5E6C76"/>
          <w:sz w:val="19"/>
        </w:rPr>
        <w:t>Prepared by: {{ prepared_by }}</w:t>
      </w:r>
    </w:p>
    <w:p>
      <w:pPr>
        <w:jc w:val="center"/>
        <w:bidi w:val="1"/>
      </w:pPr>
      <w:r>
        <w:rPr>
          <w:rFonts w:ascii="Noto Sans Arabic" w:hAnsi="Noto Sans Arabic" w:cs="Noto Sans Arabic"/>
          <w:color w:val="5E6C76"/>
          <w:sz w:val="19"/>
        </w:rPr>
        <w:t>{{ period_label }}</w:t>
      </w:r>
    </w:p>
    <w:p>
      <w:r>
        <w:br w:type="page"/>
      </w:r>
    </w:p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1. الملخص التنفيذي</w:t>
      </w:r>
    </w:p>
    <w:p>
      <w:pPr>
        <w:spacing w:after="100" w:before="0" w:line="259" w:lineRule="auto"/>
        <w:jc w:val="right"/>
        <w:bidi w:val="1"/>
      </w:pPr>
      <w:r>
        <w:rPr>
          <w:rFonts w:ascii="Noto Sans Arabic" w:hAnsi="Noto Sans Arabic" w:cs="Noto Sans Arabic"/>
          <w:b w:val="0"/>
          <w:color w:val="1D2A32"/>
          <w:sz w:val="20"/>
        </w:rPr>
        <w:t>تهدف هذه الخطة إلى تنظيم التنفيذ الميداني لأعمال الفحص الحراري بالأشعة تحت الحمراء باستخدام الطائرات المسيّرة لخطوط النقل الهوائية بجهد {{ voltage_label }} في {{ region_label }}، وفق خطاب {{ client_name }} رقم {{ reference_no }} بتاريخ {{ reference_date }}.</w:t>
      </w:r>
    </w:p>
    <w:p>
      <w:pPr>
        <w:spacing w:after="140" w:before="0" w:line="259" w:lineRule="auto"/>
        <w:jc w:val="right"/>
        <w:bidi w:val="1"/>
      </w:pPr>
      <w:r>
        <w:rPr>
          <w:rFonts w:ascii="Noto Sans Arabic" w:hAnsi="Noto Sans Arabic" w:cs="Noto Sans Arabic"/>
          <w:b w:val="0"/>
          <w:color w:val="1D2A32"/>
          <w:sz w:val="20"/>
        </w:rPr>
        <w:t>يعتمد نموذج التنفيذ على تشغيل {{ team_count }} فرق ميدانية مستقلة بالتوازي، يتكون كل فريق من {{ avg_team_size }} أفراد، مع إعادة توزيع الفرق تدريجيًا بعد إكمال القطاعات الأقصر لتسريع إنهاء القطاع الأكبر وتحقيق أفضل استفادة من الموارد المتاحة.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shd w:fill="0B6B4B"/>
            <w:tcMar>
              <w:top w:w="90" w:type="dxa"/>
              <w:start w:w="90" w:type="dxa"/>
              <w:bottom w:w="4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36"/>
              </w:rPr>
              <w:t>{{ total_towers }}</w:t>
            </w:r>
          </w:p>
        </w:tc>
        <w:tc>
          <w:tcPr>
            <w:tcW w:type="dxa" w:w="2578"/>
            <w:shd w:fill="0B6B4B"/>
            <w:tcMar>
              <w:top w:w="90" w:type="dxa"/>
              <w:start w:w="90" w:type="dxa"/>
              <w:bottom w:w="4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36"/>
              </w:rPr>
              <w:t>{{ team_count }}</w:t>
            </w:r>
          </w:p>
        </w:tc>
        <w:tc>
          <w:tcPr>
            <w:tcW w:type="dxa" w:w="2578"/>
            <w:shd w:fill="0B6B4B"/>
            <w:tcMar>
              <w:top w:w="90" w:type="dxa"/>
              <w:start w:w="90" w:type="dxa"/>
              <w:bottom w:w="4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36"/>
              </w:rPr>
              <w:t>{{ personnel_count }}</w:t>
            </w:r>
          </w:p>
        </w:tc>
        <w:tc>
          <w:tcPr>
            <w:tcW w:type="dxa" w:w="2578"/>
            <w:shd w:fill="0B6B4B"/>
            <w:tcMar>
              <w:top w:w="90" w:type="dxa"/>
              <w:start w:w="90" w:type="dxa"/>
              <w:bottom w:w="4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36"/>
              </w:rPr>
              <w:t>{{ plan_days_count }}</w:t>
            </w:r>
          </w:p>
        </w:tc>
      </w:tr>
      <w:tr>
        <w:trPr>
          <w:cantSplit/>
        </w:trPr>
        <w:tc>
          <w:tcPr>
            <w:tcW w:type="dxa" w:w="2578"/>
            <w:shd w:fill="EAF4EF"/>
            <w:tcMar>
              <w:top w:w="5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17"/>
              </w:rPr>
              <w:t>إجمالي الأبراج</w:t>
            </w:r>
          </w:p>
        </w:tc>
        <w:tc>
          <w:tcPr>
            <w:tcW w:type="dxa" w:w="2578"/>
            <w:shd w:fill="EAF4EF"/>
            <w:tcMar>
              <w:top w:w="5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17"/>
              </w:rPr>
              <w:t>فرق ميدانية</w:t>
            </w:r>
          </w:p>
        </w:tc>
        <w:tc>
          <w:tcPr>
            <w:tcW w:type="dxa" w:w="2578"/>
            <w:shd w:fill="EAF4EF"/>
            <w:tcMar>
              <w:top w:w="5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17"/>
              </w:rPr>
              <w:t>أفراد ميدانيون</w:t>
            </w:r>
          </w:p>
        </w:tc>
        <w:tc>
          <w:tcPr>
            <w:tcW w:type="dxa" w:w="2578"/>
            <w:shd w:fill="EAF4EF"/>
            <w:tcMar>
              <w:top w:w="5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17"/>
              </w:rPr>
              <w:t>أيام خطة مستهدفة</w:t>
            </w:r>
          </w:p>
        </w:tc>
      </w:tr>
    </w:tbl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2. أساس التخطيط ونطاق العمل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4EF"/>
            <w:tcBorders>
              <w:top w:val="nil"/>
              <w:left w:val="single" w:sz="16" w:color="0B6B4B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22"/>
              </w:rPr>
              <w:t>متطلبات OETC المعتمدة في الخطة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إجراء الفحص الحراري في ظروف مثلى قبل شروق الشمس، وخلال فترات تتجاوز فيها الرطوبة النسبية 70%.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الهدف: اكتشاف الشذوذ الحراري والعيوب ونقاط الفشل المحتملة لدعم أعمال الصيانة وتحسين موثوقية الشبكة.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التنفيذ مطلوب بصورة عاجلة خلال شهر {{ period_label }}.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م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قطاع الخط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عدد الأبراج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ملاحظات النطاق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{%tr for sector in sectors %}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{{ loop.index }}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{{ sector.name }}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{{ sector.tower_count }}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{{ sector.notes }}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{%tr endfor %}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</w:tr>
    </w:tbl>
    <w:p>
      <w:r>
        <w:br w:type="page"/>
      </w:r>
    </w:p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3. هيكل الفرق الميدانية والمسؤوليات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الفريق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عدد الأفراد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قائد الفريق / طيار الدرون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فني التصوير الحراري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مراقب السلامة / المساعد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  <w:t>{%tr for team in teams %}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  <w:t>{{ team.name }}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  <w:t>{{ team.member_count }}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  <w:t>تشغيل الدرون وإدارة الرحلة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  <w:t>إعداد الكاميرا وتوثيق القراءات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  <w:t>المجال البصري والسلامة والدعم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  <w:t>{%tr endfor %}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6"/>
              </w:rPr>
            </w:r>
          </w:p>
        </w:tc>
      </w:tr>
    </w:tbl>
    <w:p>
      <w:pPr>
        <w:spacing w:after="60" w:before="80" w:line="259" w:lineRule="auto"/>
        <w:jc w:val="right"/>
        <w:bidi w:val="1"/>
      </w:pPr>
      <w:r>
        <w:rPr>
          <w:rFonts w:ascii="Noto Sans Arabic" w:hAnsi="Noto Sans Arabic" w:cs="Noto Sans Arabic"/>
          <w:b w:val="0"/>
          <w:color w:val="5E6C76"/>
          <w:sz w:val="19"/>
        </w:rPr>
        <w:t>آلية القيادة والتنسيق: يعمل كل فريق كوحدة تنفيذ مستقلة، مع نقطة اتصال مركزية للمشروع لتأكيد تسلسل الأبراج، استلام التقدم اليومي، مراجعة جودة البيانات، وتوجيه إعادة التوزيع بين القطاعات.</w:t>
      </w:r>
    </w:p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4. استراتيجية توزيع القطاعات وإعادة انتشار الفرق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الفريق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القطاع الأساسي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الكمية الأساسية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إجراء ما بعد الإكمال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{%tr for team in teams %}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{{ team.name }}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{{ team.primary_sector_label }}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{{ team.primary_sector_qty_label }}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{{ team.post_completion_text }}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{%tr endfor %}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</w:r>
          </w:p>
        </w:tc>
      </w:tr>
    </w:tbl>
    <w:p>
      <w:r>
        <w:br w:type="page"/>
      </w:r>
    </w:p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5. الجدول التنفيذي المقترح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اليوم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{%tc for team in teams %}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{{ team.name }}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{%tc endfor %}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إجمالي اليوم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الحالة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{%tr for day in schedule_days %}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{{ day.label }}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{%tc for cell_text in day.cells %}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{{ cell_text }}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{%tc endfor %}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{{ day.total }}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{{ day.status }}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{%tr endfor %}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4EF"/>
            <w:tcBorders>
              <w:top w:val="nil"/>
              <w:left w:val="single" w:sz="16" w:color="0B6B4B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0B6B4B"/>
                <w:sz w:val="22"/>
              </w:rPr>
              <w:t>نتيجة الخطة الزمنية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إكمال الفحص الأساسي المستهدف خلال {{ working_days_count }} أيام ميدانية بعد يوم التعبئة والمعاينة.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الوصول إلى إجمالي {{ total_towers }} برجًا وفق الإنتاجية التخطيطية الموضحة أعلاه.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تظل الخطة قابلة للتعديل وفق الرطوبة والطقس، الوصول للمواقع، التصاريح، ومتطلبات إعادة التصوير.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6. دورة العمل اليومية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الوقت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النشاط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المخرج المطلوب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02:30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تجمع الفرق وفحص المعدات والطقس والرطوبة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جاهزية تشغيلية كاملة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03:00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التحرك إلى نقاط الإقلاع المحددة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الوصول قبل نافذة الفحص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03:30 حتى الشروق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تنفيذ التصوير الحراري للأبراج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صور IR + RGB موثقة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بعد الشروق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تنزيل البيانات وفرزها حسب رقم البرج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مجلدات بيانات منظمة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من الثامنة حتى العاشرة صباحًا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مراجعة أولية للصور والحالات غير الطبيعية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قائمة Anomalies / Reinspection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خلال النهار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شحن البطاريات، صيانة خفيفة، خطة اليوم التالي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جاهزية الجولة التالية</w:t>
            </w:r>
          </w:p>
        </w:tc>
      </w:tr>
    </w:tbl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7. المعدات والجاهزية لكل فريق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البند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الحد الأدنى المقترح لكل فريق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الغرض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طائرة مسيّرة حرارية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1 طائرة تشغيلية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التصوير الحراري والمرئي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بطاريات تشغيلية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كمية تكفي نافذة العمل + احتياطي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استمرارية التشغيل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محطة / شاحن بطاريات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1 مجموعة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إعادة الجاهزية اليومية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مقياس رطوبة وحرارة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1 جهاز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توثيق ظروف الفحص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أجهزة اتصال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حسب الفريق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التنسيق والسلامة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مركبة ميدانية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1 سيارة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الوصول بين الأبراج ونقاط الإقلاع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معدات السلامة PPE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لكل فرد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السلامة الشخصية والميدانية</w:t>
            </w:r>
          </w:p>
        </w:tc>
      </w:tr>
    </w:tbl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8. إدارة البيانات والتوثيق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إنشاء مجلد مستقل لكل برج وربط الصور الحرارية والمرئية برقم البرج والتاريخ والوقت والموقع.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توثيق الرطوبة النسبية ودرجة الحرارة المحيطة وقت الفحص لكل جولة تشغيلية.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اعتماد نمط تسمية موحد للملفات، مثال: OETC-DHF-LINE-T025-202609-IR.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الاحتفاظ بنسخة عمل يومية ونسخة احتياطية مركزية قبل الانتقال إلى اليوم التالي.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إعداد سجل للأبراج التي تتطلب إعادة تصوير مع سبب الإعادة والمسؤول عن الإغلاق.</w:t>
      </w:r>
    </w:p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9. ضمان الجودة والتحقق QA/QC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نقطة التحكم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معيار القبول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الإجراء عند عدم المطابقة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هوية البرج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رقم البرج واضح ومطابق للموقع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إيقاف الاعتماد وإعادة التحقق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ظروف الفحص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تسجيل الرطوبة والوقت وظروف البيئة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إعادة الجدولة إذا كانت الظروف غير مناسبة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جودة الصورة الحرارية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صورة واضحة وقابلة للتحليل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إعادة التصوير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اكتمال التغطية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تغطية المكونات المطلوبة ضمن نطاق الفحص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استكمال اللقطات الناقصة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حفظ البيانات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وجود IR/RGB والبيانات الوصفية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استرجاع/إعادة التصوير عند الضرورة</w:t>
            </w:r>
          </w:p>
        </w:tc>
      </w:tr>
    </w:tbl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10. السلامة وإدارة المخاطر التشغيلية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الخطر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الأثر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إجراء التحكم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5"/>
              </w:rPr>
              <w:t>الاستجابة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انخفاض الرطوبة عن المطلوب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انخفاض فعالية الكشف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رصد الرطوبة قبل وأثناء المهمة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تأجيل الجولة إلى نافذة مناسبة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رياح / ظروف جوية غير مناسبة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سلامة الطيران وجودة البيانات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فحص الطقس وحدود التشغيل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إيقاف المهمة وإعادة الجدولة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صعوبة الوصول لبعض الأبراج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تأخير التنفيذ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معاينة مسبقة ومسارات بديلة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إعادة ترتيب تسلسل الأبراج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نقص البطاريات / الشحن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توقف الفريق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مخزون احتياطي وخطة شحن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استبدال البطارية/نقل دعم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بيانات ناقصة أو غير صالحة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إعادة العمل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مراجعة يومية QA/QC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5"/>
              </w:rPr>
              <w:t>إدراج البرج في قائمة إعادة الفحص</w:t>
            </w:r>
          </w:p>
        </w:tc>
      </w:tr>
    </w:tbl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11. التقارير ومؤشرات الأداء</w:t>
      </w:r>
    </w:p>
    <w:p>
      <w:pPr>
        <w:spacing w:after="100" w:before="0" w:line="259" w:lineRule="auto"/>
        <w:jc w:val="right"/>
        <w:bidi w:val="1"/>
      </w:pPr>
      <w:r>
        <w:rPr>
          <w:rFonts w:ascii="Noto Sans Arabic" w:hAnsi="Noto Sans Arabic" w:cs="Noto Sans Arabic"/>
          <w:b w:val="0"/>
          <w:color w:val="1D2A32"/>
          <w:sz w:val="19"/>
        </w:rPr>
        <w:t>يصدر تقرير تقدم يومي مختصر بعد كل جولة فحص، ويستخدم كأداة تشغيلية لمتابعة الإنتاجية والجودة وإعادة الفحص.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المؤشر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الهدف التخطيطي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</w:rPr>
              <w:t>طريقة المتابعة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الأبراج المفحوصة يوميًا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حتى 40-45 برجًا حسب اليوم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تقرير التقدم اليومي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اكتمال البيانات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100% للأبراج المعتمدة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سجل QA/QC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إعادة الفحص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إغلاق جميع الحالات قبل التسليم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Reinspection Log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تطابق رقم البرج والموقع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100%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مراجعة البيانات الوصفية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الالتزام بنافذة الفحص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وفق شرط ما قبل الشروق والرطوبة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سجل الظروف البيئية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السلامة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صفر حوادث مستهدفة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7"/>
              </w:rPr>
              <w:t>سجل HSE / Toolbox Talk</w:t>
            </w:r>
          </w:p>
        </w:tc>
      </w:tr>
    </w:tbl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12. مخرجات التسليم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تقرير تقدم يومي يوضح المخطط والمنجز والتراكمي.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سجل الأبراج المفحوصة متضمنًا رقم البرج والموقع والتاريخ والوقت.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الصور الحرارية والمرئية المنظمة لكل برج.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قائمة الحالات الحرارية غير الطبيعية والملاحظات الفنية المرصودة.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سجل الأبراج التي تمت إعادة معاينتها ونتيجة الإغلاق.</w:t>
      </w:r>
    </w:p>
    <w:p>
      <w:pPr>
        <w:spacing w:after="50"/>
        <w:ind w:left="0" w:right="255"/>
        <w:jc w:val="right"/>
        <w:bidi w:val="1"/>
      </w:pPr>
      <w:r>
        <w:rPr>
          <w:rFonts w:ascii="Noto Sans Arabic" w:hAnsi="Noto Sans Arabic" w:cs="Noto Sans Arabic"/>
          <w:color w:val="1D2A32"/>
          <w:sz w:val="19"/>
        </w:rPr>
        <w:t>•  تقرير نهائي مجمع بعد استكمال مراجعة QA/QC.</w:t>
      </w:r>
    </w:p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13. الافتراضات والقيود التخطيطية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FF8E7"/>
            <w:tcBorders>
              <w:top w:val="nil"/>
              <w:left w:val="single" w:sz="16" w:color="B99A4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B99A4A"/>
                <w:sz w:val="22"/>
              </w:rPr>
              <w:t>ملاحظة تخطيطية مهمة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هذه الوثيقة هي خطة تنفيذ تشغيلية مقترحة وليست برنامجًا زمنيًا تعاقديًا نهائيًا.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الإنتاجية اليومية تعتمد على ظروف الرطوبة والطقس، المسافات بين الأبراج، إمكانية الوصول، ونطاق اللقطات المطلوبة فعليًا لكل برج.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cs="Noto Sans Arabic"/>
                <w:color w:val="1D2A32"/>
                <w:sz w:val="19"/>
              </w:rPr>
              <w:t>يتم تحديث الجدول يوميًا وفق الإنجاز الفعلي مع المحافظة على أولوية السلامة وجودة بيانات الفحص.</w:t>
            </w:r>
          </w:p>
        </w:tc>
      </w:tr>
    </w:tbl>
    <w:p>
      <w:pPr>
        <w:spacing w:after="0"/>
      </w:pPr>
    </w:p>
    <w:p>
      <w:pPr>
        <w:spacing w:before="180" w:after="100"/>
        <w:jc w:val="right"/>
        <w:bidi w:val="1"/>
        <w:pBdr>
          <w:bottom w:val="single" w:sz="8" w:space="4" w:color="0B6B4B"/>
        </w:pBdr>
      </w:pPr>
      <w:r>
        <w:rPr>
          <w:rFonts w:ascii="Noto Sans Arabic" w:hAnsi="Noto Sans Arabic" w:cs="Noto Sans Arabic"/>
          <w:b/>
          <w:color w:val="0B6B4B"/>
          <w:sz w:val="27"/>
        </w:rPr>
        <w:t>14. اعتماد الخطة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</w:rPr>
              <w:t>الصفة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</w:rPr>
              <w:t>الاسم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0B6B4B"/>
          </w:tcPr>
          <w:p>
            <w:pPr>
              <w:spacing w:after="0" w:before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</w:rPr>
              <w:t>التوقيع / التاريخ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مدير المشروع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________________________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المراجع الفني / QA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________________________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  <w:shd w:fill="F5F8F6"/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الاعتماد الإداري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________________________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5DDD8"/>
              <w:left w:val="single" w:sz="4" w:color="D5DDD8"/>
              <w:bottom w:val="single" w:sz="4" w:color="D5DDD8"/>
              <w:right w:val="single" w:sz="4" w:color="D5DDD8"/>
            </w:tcBorders>
          </w:tcPr>
          <w:p>
            <w:pPr>
              <w:spacing w:after="0" w:before="0"/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1D2A32"/>
                <w:sz w:val="18"/>
              </w:rPr>
              <w:t>________________________</w:t>
            </w:r>
          </w:p>
        </w:tc>
      </w:tr>
    </w:tbl>
    <w:p>
      <w:pPr>
        <w:spacing w:before="160"/>
        <w:jc w:val="right"/>
        <w:bidi w:val="1"/>
      </w:pPr>
      <w:r>
        <w:rPr>
          <w:rFonts w:ascii="Noto Sans Arabic" w:hAnsi="Noto Sans Arabic" w:cs="Noto Sans Arabic"/>
          <w:color w:val="5E6C76"/>
          <w:sz w:val="16"/>
        </w:rPr>
        <w:t>مرجع نطاق العمل: خطاب {{ client_short }} رقم {{ reference_no }} بتاريخ {{ reference_date }}.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Sans Arabic" w:hAnsi="Noto Sans Arabic" w:cs="Noto Sans Arabic"/>
        <w:color w:val="5E6C76"/>
        <w:sz w:val="16"/>
      </w:rPr>
      <w:t xml:space="preserve">صفحة </w:t>
      <w:fldChar w:fldCharType="begin"/>
      <w:instrText xml:space="preserve">PAGE</w:instrText>
      <w:fldChar w:fldCharType="end"/>
    </w:r>
    <w:r>
      <w:rPr>
        <w:rFonts w:ascii="Noto Sans Arabic" w:hAnsi="Noto Sans Arabic" w:cs="Noto Sans Arabic"/>
        <w:color w:val="5E6C76"/>
        <w:sz w:val="16"/>
      </w:rPr>
      <w:t xml:space="preserve"> | خطة التنفيذ الميداني - {{ client_short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  <w:pBdr>
        <w:bottom w:val="single" w:sz="10" w:space="3" w:color="0B6B4B"/>
      </w:pBdr>
    </w:pPr>
    <w:r>
      <w:rPr>
        <w:rFonts w:ascii="Noto Sans Arabic" w:hAnsi="Noto Sans Arabic" w:cs="Noto Sans Arabic"/>
        <w:b/>
        <w:color w:val="0B6B4B"/>
        <w:sz w:val="17"/>
      </w:rPr>
      <w:t>{{ prepared_by_upper }}  |  Field Operations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التنفيذ الميداني - الفحص الحراري بالطائرات المسيّرة - OETC</dc:title>
  <dc:subject>3 Field Teams / 257 Towers / 132kV Thermal Inspection</dc:subject>
  <dc:creator>Sky Green Line Technology</dc:creator>
  <cp:keywords>OETC, Drone, Thermal Inspection, 132kV, Dhofar, Field Execution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