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  <w:jc w:val="center"/>
      </w:pPr>
      <w:r>
        <w:rPr>
          <w:rFonts w:ascii="Georgia" w:hAnsi="Georgia"/>
          <w:b/>
          <w:i w:val="0"/>
          <w:color w:val="2B4721"/>
          <w:sz w:val="60"/>
          <w:spacing w:val="120"/>
        </w:rPr>
        <w:t>TACEDGE</w:t>
      </w:r>
    </w:p>
    <w:p>
      <w:pPr>
        <w:spacing w:before="120" w:after="0"/>
        <w:jc w:val="center"/>
      </w:pPr>
      <w:r>
        <w:rPr>
          <w:rFonts w:ascii="Consolas" w:hAnsi="Consolas"/>
          <w:b w:val="0"/>
          <w:i w:val="0"/>
          <w:color w:val="6E7D5C"/>
          <w:sz w:val="20"/>
        </w:rPr>
        <w:t>GEOTECH  ·  V2.0</w:t>
      </w:r>
    </w:p>
    <w:p>
      <w:pPr>
        <w:spacing w:before="520" w:after="0"/>
        <w:jc w:val="center"/>
      </w:pPr>
      <w:r>
        <w:rPr>
          <w:rFonts w:ascii="Georgia" w:hAnsi="Georgia"/>
          <w:b/>
          <w:i w:val="0"/>
          <w:color w:val="1B2117"/>
          <w:sz w:val="44"/>
        </w:rPr>
        <w:t>Prototype Walkthrough</w:t>
      </w:r>
    </w:p>
    <w:p>
      <w:pPr>
        <w:spacing w:before="200" w:after="0"/>
        <w:jc w:val="center"/>
      </w:pPr>
      <w:r>
        <w:rPr>
          <w:rFonts w:ascii="Calibri" w:hAnsi="Calibri"/>
          <w:b w:val="0"/>
          <w:i w:val="0"/>
          <w:color w:val="56604C"/>
          <w:sz w:val="24"/>
        </w:rPr>
        <w:t>First-use software for managing geotechnical operations.</w:t>
      </w:r>
    </w:p>
    <w:p>
      <w:r>
        <w:br w:type="page"/>
      </w:r>
    </w:p>
    <w:p>
      <w:pPr>
        <w:spacing w:before="0" w:after="40"/>
      </w:pPr>
      <w:r>
        <w:rPr>
          <w:rFonts w:ascii="Consolas" w:hAnsi="Consolas"/>
          <w:b w:val="0"/>
          <w:i w:val="0"/>
          <w:color w:val="6E7D5C"/>
          <w:sz w:val="17"/>
        </w:rPr>
        <w:t>PROTOTYPE WALKTHROUGH</w:t>
      </w:r>
    </w:p>
    <w:p>
      <w:pPr>
        <w:spacing w:before="0" w:after="40"/>
      </w:pPr>
      <w:r>
        <w:rPr>
          <w:rFonts w:ascii="Georgia" w:hAnsi="Georgia"/>
          <w:b/>
          <w:i w:val="0"/>
          <w:color w:val="2B4721"/>
          <w:sz w:val="40"/>
        </w:rPr>
        <w:t>Contents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56604C"/>
          <w:sz w:val="21"/>
        </w:rPr>
        <w:t>A guided tour of the prototype, in the order it is presented.</w:t>
      </w:r>
    </w:p>
    <w:p>
      <w:r>
        <w:fldChar w:fldCharType="begin"/>
        <w:instrText xml:space="preserve">TOC \o "1-1" \h \z \u</w:instrText>
        <w:fldChar w:fldCharType="separate"/>
        <w:t>Right-click and choose “Update Field” to generate the contents.</w:t>
        <w:fldChar w:fldCharType="end"/>
      </w:r>
    </w:p>
    <w:p>
      <w:r>
        <w:br w:type="page"/>
      </w:r>
    </w:p>
    <w:p>
      <w:pPr>
        <w:pStyle w:val="Heading1"/>
      </w:pPr>
      <w:r>
        <w:t>Projects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01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front door to the workspace. A project manager opens a live project or starts a new one, with every active job and its progress visible at a glance.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Project Manager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See all active projects with live progress and status</w:t>
      </w:r>
    </w:p>
    <w:p>
      <w:pPr>
        <w:pStyle w:val="ListBullet"/>
        <w:spacing w:after="20"/>
      </w:pPr>
      <w:r>
        <w:rPr>
          <w:color w:val="1B2117"/>
          <w:sz w:val="21"/>
        </w:rPr>
        <w:t>Open a project straight into its full workspace</w:t>
      </w:r>
    </w:p>
    <w:p>
      <w:pPr>
        <w:pStyle w:val="ListBullet"/>
        <w:spacing w:after="20"/>
      </w:pPr>
      <w:r>
        <w:rPr>
          <w:color w:val="1B2117"/>
          <w:sz w:val="21"/>
        </w:rPr>
        <w:t>Start a new project and step into setup</w:t>
      </w:r>
    </w:p>
    <w:p>
      <w:pPr>
        <w:pStyle w:val="ListBullet"/>
        <w:spacing w:after="20"/>
      </w:pPr>
      <w:r>
        <w:rPr>
          <w:color w:val="1B2117"/>
          <w:sz w:val="21"/>
        </w:rPr>
        <w:t>Carry organisation and client context into everything that follows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Selecting a project opens its workspace; creating one begins the configure stage of the project.</w:t>
      </w:r>
    </w:p>
    <w:p>
      <w:r>
        <w:br w:type="page"/>
      </w:r>
    </w:p>
    <w:p>
      <w:pPr>
        <w:pStyle w:val="Heading1"/>
      </w:pPr>
      <w:r>
        <w:t>Layout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02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Defines the site's operational zones over a real site image, giving every later screen a shared spatial frame of reference.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Project Manager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Divide the site into named operational zones</w:t>
      </w:r>
    </w:p>
    <w:p>
      <w:pPr>
        <w:pStyle w:val="ListBullet"/>
        <w:spacing w:after="20"/>
      </w:pPr>
      <w:r>
        <w:rPr>
          <w:color w:val="1B2117"/>
          <w:sz w:val="21"/>
        </w:rPr>
        <w:t>Work directly over an uploaded site photo or drawing</w:t>
      </w:r>
    </w:p>
    <w:p>
      <w:pPr>
        <w:pStyle w:val="ListBullet"/>
        <w:spacing w:after="20"/>
      </w:pPr>
      <w:r>
        <w:rPr>
          <w:color w:val="1B2117"/>
          <w:sz w:val="21"/>
        </w:rPr>
        <w:t>Establish the zones used across planning, status and reporting</w:t>
      </w:r>
    </w:p>
    <w:p>
      <w:pPr>
        <w:pStyle w:val="ListBullet"/>
        <w:spacing w:after="20"/>
      </w:pPr>
      <w:r>
        <w:rPr>
          <w:color w:val="1B2117"/>
          <w:sz w:val="21"/>
        </w:rPr>
        <w:t>Keep the picture operational rather than survey-precise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One of the first setup steps. The zones defined here organise the plan, the status board and every field capture.</w:t>
      </w:r>
    </w:p>
    <w:p>
      <w:r>
        <w:br w:type="page"/>
      </w:r>
    </w:p>
    <w:p>
      <w:pPr>
        <w:pStyle w:val="Heading1"/>
      </w:pPr>
      <w:r>
        <w:t>Work Item Design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03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item-desig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A reusable library of anchor designs and specifications, drawn from the engineer's requirements and ready to place into the plan.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Project Manager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Build reusable designs from the engineer's specification</w:t>
      </w:r>
    </w:p>
    <w:p>
      <w:pPr>
        <w:pStyle w:val="ListBullet"/>
        <w:spacing w:after="20"/>
      </w:pPr>
      <w:r>
        <w:rPr>
          <w:color w:val="1B2117"/>
          <w:sz w:val="21"/>
        </w:rPr>
        <w:t>Capture bar, bond, depth and grout parameters once</w:t>
      </w:r>
    </w:p>
    <w:p>
      <w:pPr>
        <w:pStyle w:val="ListBullet"/>
        <w:spacing w:after="20"/>
      </w:pPr>
      <w:r>
        <w:rPr>
          <w:color w:val="1B2117"/>
          <w:sz w:val="21"/>
        </w:rPr>
        <w:t>Reuse a design across many anchors and zones</w:t>
      </w:r>
    </w:p>
    <w:p>
      <w:pPr>
        <w:pStyle w:val="ListBullet"/>
        <w:spacing w:after="20"/>
      </w:pPr>
      <w:r>
        <w:rPr>
          <w:color w:val="1B2117"/>
          <w:sz w:val="21"/>
        </w:rPr>
        <w:t>Keep specifications consistent and engineer-sourced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Designs created here are placed as planned anchors in the Work Plan and inherited by the field automatically.</w:t>
      </w:r>
    </w:p>
    <w:p>
      <w:r>
        <w:br w:type="page"/>
      </w:r>
    </w:p>
    <w:p>
      <w:pPr>
        <w:pStyle w:val="Heading1"/>
      </w:pPr>
      <w:r>
        <w:t>Work Plan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04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-pla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Turns designs into a placed, sequenced plan of where each anchor goes — with an AI-proposed plan the manager reviews and commits.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Project Manager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Place designs as planned anchors by zone and row</w:t>
      </w:r>
    </w:p>
    <w:p>
      <w:pPr>
        <w:pStyle w:val="ListBullet"/>
        <w:spacing w:after="20"/>
      </w:pPr>
      <w:r>
        <w:rPr>
          <w:color w:val="1B2117"/>
          <w:sz w:val="21"/>
        </w:rPr>
        <w:t>Accept an AI-proposed plan from a drawing</w:t>
      </w:r>
    </w:p>
    <w:p>
      <w:pPr>
        <w:pStyle w:val="ListBullet"/>
        <w:spacing w:after="20"/>
      </w:pPr>
      <w:r>
        <w:rPr>
          <w:color w:val="1B2117"/>
          <w:sz w:val="21"/>
        </w:rPr>
        <w:t>Review and adjust before anything is trusted</w:t>
      </w:r>
    </w:p>
    <w:p>
      <w:pPr>
        <w:pStyle w:val="ListBullet"/>
        <w:spacing w:after="20"/>
      </w:pPr>
      <w:r>
        <w:rPr>
          <w:color w:val="1B2117"/>
          <w:sz w:val="21"/>
        </w:rPr>
        <w:t>Commit the plan into executable field work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AI proposes, the manager approves. Committing the plan presets the field so operators select nothing on site.</w:t>
      </w:r>
    </w:p>
    <w:p>
      <w:r>
        <w:br w:type="page"/>
      </w:r>
    </w:p>
    <w:p>
      <w:pPr>
        <w:pStyle w:val="Heading1"/>
      </w:pPr>
      <w:r>
        <w:t>Testing Standards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05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ng-standard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Sets, once, what a passing test looks like — the acceptance criteria every anchor test is measured against.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Project Manager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Define acceptance and test criteria for the project</w:t>
      </w:r>
    </w:p>
    <w:p>
      <w:pPr>
        <w:pStyle w:val="ListBullet"/>
        <w:spacing w:after="20"/>
      </w:pPr>
      <w:r>
        <w:rPr>
          <w:color w:val="1B2117"/>
          <w:sz w:val="21"/>
        </w:rPr>
        <w:t>Set the thresholds a result must meet to pass</w:t>
      </w:r>
    </w:p>
    <w:p>
      <w:pPr>
        <w:pStyle w:val="ListBullet"/>
        <w:spacing w:after="20"/>
      </w:pPr>
      <w:r>
        <w:rPr>
          <w:color w:val="1B2117"/>
          <w:sz w:val="21"/>
        </w:rPr>
        <w:t>Apply one consistent standard across all testing</w:t>
      </w:r>
    </w:p>
    <w:p>
      <w:pPr>
        <w:pStyle w:val="ListBullet"/>
        <w:spacing w:after="20"/>
      </w:pPr>
      <w:r>
        <w:rPr>
          <w:color w:val="1B2117"/>
          <w:sz w:val="21"/>
        </w:rPr>
        <w:t>Keep the criteria visible and auditable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Defined during setup. The QA process and the engineer's released record are both assessed against these standards.</w:t>
      </w:r>
    </w:p>
    <w:p>
      <w:r>
        <w:br w:type="page"/>
      </w:r>
    </w:p>
    <w:p>
      <w:pPr>
        <w:pStyle w:val="Heading1"/>
      </w:pPr>
      <w:r>
        <w:t>Evidence &amp; QA Requirements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06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q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Sets the evidence bar — what must be captured or completed before a record can be confirmed.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Project Manager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Define what evidence makes a record confirmable</w:t>
      </w:r>
    </w:p>
    <w:p>
      <w:pPr>
        <w:pStyle w:val="ListBullet"/>
        <w:spacing w:after="20"/>
      </w:pPr>
      <w:r>
        <w:rPr>
          <w:color w:val="1B2117"/>
          <w:sz w:val="21"/>
        </w:rPr>
        <w:t>Set the requirements once for the whole project</w:t>
      </w:r>
    </w:p>
    <w:p>
      <w:pPr>
        <w:pStyle w:val="ListBullet"/>
        <w:spacing w:after="20"/>
      </w:pPr>
      <w:r>
        <w:rPr>
          <w:color w:val="1B2117"/>
          <w:sz w:val="21"/>
        </w:rPr>
        <w:t>Ensure consistent, defensible records</w:t>
      </w:r>
    </w:p>
    <w:p>
      <w:pPr>
        <w:pStyle w:val="ListBullet"/>
        <w:spacing w:after="20"/>
      </w:pPr>
      <w:r>
        <w:rPr>
          <w:color w:val="1B2117"/>
          <w:sz w:val="21"/>
        </w:rPr>
        <w:t>Drive the checks the QA queue enforces automatically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Configured during setup. These requirements gate confirmation, so only complete records can ever be released.</w:t>
      </w:r>
    </w:p>
    <w:p>
      <w:r>
        <w:br w:type="page"/>
      </w:r>
    </w:p>
    <w:p>
      <w:pPr>
        <w:pStyle w:val="Heading1"/>
      </w:pPr>
      <w:r>
        <w:t>Safety &amp; Risk Controls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07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ty-risk-control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Manages the JSA and SWMS safety documents that govern the work and feed the field sign-on gate.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Project Manager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Hold the project's JSA / SWMS and risk controls</w:t>
      </w:r>
    </w:p>
    <w:p>
      <w:pPr>
        <w:pStyle w:val="ListBullet"/>
        <w:spacing w:after="20"/>
      </w:pPr>
      <w:r>
        <w:rPr>
          <w:color w:val="1B2117"/>
          <w:sz w:val="21"/>
        </w:rPr>
        <w:t>Publish the documents the field must acknowledge</w:t>
      </w:r>
    </w:p>
    <w:p>
      <w:pPr>
        <w:pStyle w:val="ListBullet"/>
        <w:spacing w:after="20"/>
      </w:pPr>
      <w:r>
        <w:rPr>
          <w:color w:val="1B2117"/>
          <w:sz w:val="21"/>
        </w:rPr>
        <w:t>Connect controls to the daily sign-on gate</w:t>
      </w:r>
    </w:p>
    <w:p>
      <w:pPr>
        <w:pStyle w:val="ListBullet"/>
        <w:spacing w:after="20"/>
      </w:pPr>
      <w:r>
        <w:rPr>
          <w:color w:val="1B2117"/>
          <w:sz w:val="21"/>
        </w:rPr>
        <w:t>Keep the current versions in one place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Set during setup. These documents become the safety gate every operator acknowledges before drilling can begin.</w:t>
      </w:r>
    </w:p>
    <w:p>
      <w:r>
        <w:br w:type="page"/>
      </w:r>
    </w:p>
    <w:p>
      <w:pPr>
        <w:pStyle w:val="Heading1"/>
      </w:pPr>
      <w:r>
        <w:t>Overview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08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manager's command centre — what needs attention right now, at a glance, without resolving anything here.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Project Manager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See progress, alerts and compliance in seconds</w:t>
      </w:r>
    </w:p>
    <w:p>
      <w:pPr>
        <w:pStyle w:val="ListBullet"/>
        <w:spacing w:after="20"/>
      </w:pPr>
      <w:r>
        <w:rPr>
          <w:color w:val="1B2117"/>
          <w:sz w:val="21"/>
        </w:rPr>
        <w:t>Surface the anchors needing attention or QA</w:t>
      </w:r>
    </w:p>
    <w:p>
      <w:pPr>
        <w:pStyle w:val="ListBullet"/>
        <w:spacing w:after="20"/>
      </w:pPr>
      <w:r>
        <w:rPr>
          <w:color w:val="1B2117"/>
          <w:sz w:val="21"/>
        </w:rPr>
        <w:t>Jump to the right screen to act</w:t>
      </w:r>
    </w:p>
    <w:p>
      <w:pPr>
        <w:pStyle w:val="ListBullet"/>
        <w:spacing w:after="20"/>
      </w:pPr>
      <w:r>
        <w:rPr>
          <w:color w:val="1B2117"/>
          <w:sz w:val="21"/>
        </w:rPr>
        <w:t>Read project state without manual upkeep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inform layer of the manager's day: awareness happens here, action happens in QA, release happens in Reporting.</w:t>
      </w:r>
    </w:p>
    <w:p>
      <w:r>
        <w:br w:type="page"/>
      </w:r>
    </w:p>
    <w:p>
      <w:pPr>
        <w:pStyle w:val="Heading1"/>
      </w:pPr>
      <w:r>
        <w:t>Status Board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09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-boar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Reads the whole project's status at a glance — every anchor, every zone, in one calm board.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Project Manager · shared with the Engineer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See every anchor's phase by zone at a glance</w:t>
      </w:r>
    </w:p>
    <w:p>
      <w:pPr>
        <w:pStyle w:val="ListBullet"/>
        <w:spacing w:after="20"/>
      </w:pPr>
      <w:r>
        <w:rPr>
          <w:color w:val="1B2117"/>
          <w:sz w:val="21"/>
        </w:rPr>
        <w:t>Track progress against the plan, live</w:t>
      </w:r>
    </w:p>
    <w:p>
      <w:pPr>
        <w:pStyle w:val="ListBullet"/>
        <w:spacing w:after="20"/>
      </w:pPr>
      <w:r>
        <w:rPr>
          <w:color w:val="1B2117"/>
          <w:sz w:val="21"/>
        </w:rPr>
        <w:t>Spot attention items and exceptions early</w:t>
      </w:r>
    </w:p>
    <w:p>
      <w:pPr>
        <w:pStyle w:val="ListBullet"/>
        <w:spacing w:after="20"/>
      </w:pPr>
      <w:r>
        <w:rPr>
          <w:color w:val="1B2117"/>
          <w:sz w:val="21"/>
        </w:rPr>
        <w:t>Read the project's true state without compiling it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Reflects field reality automatically as operators work. It is the same truth the engineer sees, framed for the manager's job.</w:t>
      </w:r>
    </w:p>
    <w:p>
      <w:r>
        <w:br w:type="page"/>
      </w:r>
    </w:p>
    <w:p>
      <w:pPr>
        <w:pStyle w:val="Heading1"/>
      </w:pPr>
      <w:r>
        <w:t>Spatial Map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10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tial-map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Locates every anchor on a real site image so its position is unambiguous on the ground.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Project Manager and Operator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See every anchor plotted on the site image</w:t>
      </w:r>
    </w:p>
    <w:p>
      <w:pPr>
        <w:pStyle w:val="ListBullet"/>
        <w:spacing w:after="20"/>
      </w:pPr>
      <w:r>
        <w:rPr>
          <w:color w:val="1B2117"/>
          <w:sz w:val="21"/>
        </w:rPr>
        <w:t>Read status spatially, by colour</w:t>
      </w:r>
    </w:p>
    <w:p>
      <w:pPr>
        <w:pStyle w:val="ListBullet"/>
        <w:spacing w:after="20"/>
      </w:pPr>
      <w:r>
        <w:rPr>
          <w:color w:val="1B2117"/>
          <w:sz w:val="21"/>
        </w:rPr>
        <w:t>Identify exactly which anchor is which</w:t>
      </w:r>
    </w:p>
    <w:p>
      <w:pPr>
        <w:pStyle w:val="ListBullet"/>
        <w:spacing w:after="20"/>
      </w:pPr>
      <w:r>
        <w:rPr>
          <w:color w:val="1B2117"/>
          <w:sz w:val="21"/>
        </w:rPr>
        <w:t>Share one located truth across office and field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spatial twin of the Status Board — the same records, located on the real site for identification.</w:t>
      </w:r>
    </w:p>
    <w:p>
      <w:r>
        <w:br w:type="page"/>
      </w:r>
    </w:p>
    <w:p>
      <w:pPr>
        <w:pStyle w:val="Heading1"/>
      </w:pPr>
      <w:r>
        <w:t>Crew Sign-On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11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935360" cy="403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w-sign-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536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A fast, individual sign-on that clears an operator to work for the day.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Operator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Sign on individually and attributably</w:t>
      </w:r>
    </w:p>
    <w:p>
      <w:pPr>
        <w:pStyle w:val="ListBullet"/>
        <w:spacing w:after="20"/>
      </w:pPr>
      <w:r>
        <w:rPr>
          <w:color w:val="1B2117"/>
          <w:sz w:val="21"/>
        </w:rPr>
        <w:t>Acknowledge the current safety documents</w:t>
      </w:r>
    </w:p>
    <w:p>
      <w:pPr>
        <w:pStyle w:val="ListBullet"/>
        <w:spacing w:after="20"/>
      </w:pPr>
      <w:r>
        <w:rPr>
          <w:color w:val="1B2117"/>
          <w:sz w:val="21"/>
        </w:rPr>
        <w:t>Clear the gate to begin drilling</w:t>
      </w:r>
    </w:p>
    <w:p>
      <w:pPr>
        <w:pStyle w:val="ListBullet"/>
        <w:spacing w:after="20"/>
      </w:pPr>
      <w:r>
        <w:rPr>
          <w:color w:val="1B2117"/>
          <w:sz w:val="21"/>
        </w:rPr>
        <w:t>Keep compliance a one-person, one-tap act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one enforced field gate: drilling cannot begin until the day's sign-on exists.</w:t>
      </w:r>
    </w:p>
    <w:p>
      <w:r>
        <w:br w:type="page"/>
      </w:r>
    </w:p>
    <w:p>
      <w:pPr>
        <w:pStyle w:val="Heading1"/>
      </w:pPr>
      <w:r>
        <w:t>Drill Log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12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935360" cy="403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ll-log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536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Captures the actual drilling record — depth and the ground encountered — with minimal decision load in the field.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Operator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Record drilled depth as work progresses</w:t>
      </w:r>
    </w:p>
    <w:p>
      <w:pPr>
        <w:pStyle w:val="ListBullet"/>
        <w:spacing w:after="20"/>
      </w:pPr>
      <w:r>
        <w:rPr>
          <w:color w:val="1B2117"/>
          <w:sz w:val="21"/>
        </w:rPr>
        <w:t>Log lithology layers as the ground changes</w:t>
      </w:r>
    </w:p>
    <w:p>
      <w:pPr>
        <w:pStyle w:val="ListBullet"/>
        <w:spacing w:after="20"/>
      </w:pPr>
      <w:r>
        <w:rPr>
          <w:color w:val="1B2117"/>
          <w:sz w:val="21"/>
        </w:rPr>
        <w:t>Compare against design without calculating</w:t>
      </w:r>
    </w:p>
    <w:p>
      <w:pPr>
        <w:pStyle w:val="ListBullet"/>
        <w:spacing w:after="20"/>
      </w:pPr>
      <w:r>
        <w:rPr>
          <w:color w:val="1B2117"/>
          <w:sz w:val="21"/>
        </w:rPr>
        <w:t>Submit the completed record to QA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first field capture against a preset anchor; it advances the anchor's phase as each stage closes.</w:t>
      </w:r>
    </w:p>
    <w:p>
      <w:r>
        <w:br w:type="page"/>
      </w:r>
    </w:p>
    <w:p>
      <w:pPr>
        <w:pStyle w:val="Heading1"/>
      </w:pPr>
      <w:r>
        <w:t>Grout Log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13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935360" cy="403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t-log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536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Captures grout placed and lets the system compute the variance against design.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Operator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Record bags or volume of grout placed</w:t>
      </w:r>
    </w:p>
    <w:p>
      <w:pPr>
        <w:pStyle w:val="ListBullet"/>
        <w:spacing w:after="20"/>
      </w:pPr>
      <w:r>
        <w:rPr>
          <w:color w:val="1B2117"/>
          <w:sz w:val="21"/>
        </w:rPr>
        <w:t>Let the system compute overbreak and variance</w:t>
      </w:r>
    </w:p>
    <w:p>
      <w:pPr>
        <w:pStyle w:val="ListBullet"/>
        <w:spacing w:after="20"/>
      </w:pPr>
      <w:r>
        <w:rPr>
          <w:color w:val="1B2117"/>
          <w:sz w:val="21"/>
        </w:rPr>
        <w:t>Flag elevated take against the ground conditions</w:t>
      </w:r>
    </w:p>
    <w:p>
      <w:pPr>
        <w:pStyle w:val="ListBullet"/>
        <w:spacing w:after="20"/>
      </w:pPr>
      <w:r>
        <w:rPr>
          <w:color w:val="1B2117"/>
          <w:sz w:val="21"/>
        </w:rPr>
        <w:t>Submit the record to QA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Follows drilling: the operator counts, the system calculates, keeping field decisions out of the hole.</w:t>
      </w:r>
    </w:p>
    <w:p>
      <w:r>
        <w:br w:type="page"/>
      </w:r>
    </w:p>
    <w:p>
      <w:pPr>
        <w:pStyle w:val="Heading1"/>
      </w:pPr>
      <w:r>
        <w:t>Anchor Test Record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14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935360" cy="403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chor-tes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536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Turns the written test schedule into a verified result — photograph it, AI reads the figures, the operator approves and submits.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Operator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Photograph the written test schedule</w:t>
      </w:r>
    </w:p>
    <w:p>
      <w:pPr>
        <w:pStyle w:val="ListBullet"/>
        <w:spacing w:after="20"/>
      </w:pPr>
      <w:r>
        <w:rPr>
          <w:color w:val="1B2117"/>
          <w:sz w:val="21"/>
        </w:rPr>
        <w:t>Let AI extract the test figures</w:t>
      </w:r>
    </w:p>
    <w:p>
      <w:pPr>
        <w:pStyle w:val="ListBullet"/>
        <w:spacing w:after="20"/>
      </w:pPr>
      <w:r>
        <w:rPr>
          <w:color w:val="1B2117"/>
          <w:sz w:val="21"/>
        </w:rPr>
        <w:t>Verify each figure against the sheet</w:t>
      </w:r>
    </w:p>
    <w:p>
      <w:pPr>
        <w:pStyle w:val="ListBullet"/>
        <w:spacing w:after="20"/>
      </w:pPr>
      <w:r>
        <w:rPr>
          <w:color w:val="1B2117"/>
          <w:sz w:val="21"/>
        </w:rPr>
        <w:t>Confirm the result and submit to QA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AI proposes, the human approves, then it commits. The paper sheet stays the record of truth.</w:t>
      </w:r>
    </w:p>
    <w:p>
      <w:r>
        <w:br w:type="page"/>
      </w:r>
    </w:p>
    <w:p>
      <w:pPr>
        <w:pStyle w:val="Heading1"/>
      </w:pPr>
      <w:r>
        <w:t>Incident / Near-Miss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15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935360" cy="403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536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A fast, photo-first way to report a safety event from anywhere, in under a minute.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Operator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Report an incident or near-miss at any time</w:t>
      </w:r>
    </w:p>
    <w:p>
      <w:pPr>
        <w:pStyle w:val="ListBullet"/>
        <w:spacing w:after="20"/>
      </w:pPr>
      <w:r>
        <w:rPr>
          <w:color w:val="1B2117"/>
          <w:sz w:val="21"/>
        </w:rPr>
        <w:t>Lead with a photo and the critical facts</w:t>
      </w:r>
    </w:p>
    <w:p>
      <w:pPr>
        <w:pStyle w:val="ListBullet"/>
        <w:spacing w:after="20"/>
      </w:pPr>
      <w:r>
        <w:rPr>
          <w:color w:val="1B2117"/>
          <w:sz w:val="21"/>
        </w:rPr>
        <w:t>Raise an immediate alert to the manager</w:t>
      </w:r>
    </w:p>
    <w:p>
      <w:pPr>
        <w:pStyle w:val="ListBullet"/>
        <w:spacing w:after="20"/>
      </w:pPr>
      <w:r>
        <w:rPr>
          <w:color w:val="1B2117"/>
          <w:sz w:val="21"/>
        </w:rPr>
        <w:t>Reach it from every field screen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Always one tap away. An incident is an explicit, declared event that alerts the manager instantly.</w:t>
      </w:r>
    </w:p>
    <w:p>
      <w:r>
        <w:br w:type="page"/>
      </w:r>
    </w:p>
    <w:p>
      <w:pPr>
        <w:pStyle w:val="Heading1"/>
      </w:pPr>
      <w:r>
        <w:t>Daily Activity Sheet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16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935360" cy="403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activity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3536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Captures crew and plant hours by defaulting a normal day and editing only the exceptions.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Supervisor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Start from a standard day and edit exceptions</w:t>
      </w:r>
    </w:p>
    <w:p>
      <w:pPr>
        <w:pStyle w:val="ListBullet"/>
        <w:spacing w:after="20"/>
      </w:pPr>
      <w:r>
        <w:rPr>
          <w:color w:val="1B2117"/>
          <w:sz w:val="21"/>
        </w:rPr>
        <w:t>Record crew and plant hours quickly</w:t>
      </w:r>
    </w:p>
    <w:p>
      <w:pPr>
        <w:pStyle w:val="ListBullet"/>
        <w:spacing w:after="20"/>
      </w:pPr>
      <w:r>
        <w:rPr>
          <w:color w:val="1B2117"/>
          <w:sz w:val="21"/>
        </w:rPr>
        <w:t>Keep an auto-totalled, attributable sheet</w:t>
      </w:r>
    </w:p>
    <w:p>
      <w:pPr>
        <w:pStyle w:val="ListBullet"/>
        <w:spacing w:after="20"/>
      </w:pPr>
      <w:r>
        <w:rPr>
          <w:color w:val="1B2117"/>
          <w:sz w:val="21"/>
        </w:rPr>
        <w:t>Stay clear of a payroll-software feel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A supervisor's daily record of resourcing, feeding cost and invoicing without slowing the field down.</w:t>
      </w:r>
    </w:p>
    <w:p>
      <w:r>
        <w:br w:type="page"/>
      </w:r>
    </w:p>
    <w:p>
      <w:pPr>
        <w:pStyle w:val="Heading1"/>
      </w:pPr>
      <w:r>
        <w:t>Spatial Map · Field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17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935360" cy="403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tial-map-operator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3536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operator's on-the-ground map — find the right anchor and continue work on it.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Operator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Identify the exact anchor in front of you</w:t>
      </w:r>
    </w:p>
    <w:p>
      <w:pPr>
        <w:pStyle w:val="ListBullet"/>
        <w:spacing w:after="20"/>
      </w:pPr>
      <w:r>
        <w:rPr>
          <w:color w:val="1B2117"/>
          <w:sz w:val="21"/>
        </w:rPr>
        <w:t>See status and your zone at a glance</w:t>
      </w:r>
    </w:p>
    <w:p>
      <w:pPr>
        <w:pStyle w:val="ListBullet"/>
        <w:spacing w:after="20"/>
      </w:pPr>
      <w:r>
        <w:rPr>
          <w:color w:val="1B2117"/>
          <w:sz w:val="21"/>
        </w:rPr>
        <w:t>Tap an anchor to open its capture</w:t>
      </w:r>
    </w:p>
    <w:p>
      <w:pPr>
        <w:pStyle w:val="ListBullet"/>
        <w:spacing w:after="20"/>
      </w:pPr>
      <w:r>
        <w:rPr>
          <w:color w:val="1B2117"/>
          <w:sz w:val="21"/>
        </w:rPr>
        <w:t>Continue work without leaving the field view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same located truth as the office map, framed for the operator's job on site.</w:t>
      </w:r>
    </w:p>
    <w:p>
      <w:r>
        <w:br w:type="page"/>
      </w:r>
    </w:p>
    <w:p>
      <w:pPr>
        <w:pStyle w:val="Heading1"/>
      </w:pPr>
      <w:r>
        <w:t>Safety Docs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18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935360" cy="403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ty-doc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536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operator's view of the active JSA / SWMS — read and acknowledge to stay cleared to work.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Operator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Read the documents governing today's work</w:t>
      </w:r>
    </w:p>
    <w:p>
      <w:pPr>
        <w:pStyle w:val="ListBullet"/>
        <w:spacing w:after="20"/>
      </w:pPr>
      <w:r>
        <w:rPr>
          <w:color w:val="1B2117"/>
          <w:sz w:val="21"/>
        </w:rPr>
        <w:t>Acknowledge updated versions individually</w:t>
      </w:r>
    </w:p>
    <w:p>
      <w:pPr>
        <w:pStyle w:val="ListBullet"/>
        <w:spacing w:after="20"/>
      </w:pPr>
      <w:r>
        <w:rPr>
          <w:color w:val="1B2117"/>
          <w:sz w:val="21"/>
        </w:rPr>
        <w:t>Stay cleared to drill</w:t>
      </w:r>
    </w:p>
    <w:p>
      <w:pPr>
        <w:pStyle w:val="ListBullet"/>
        <w:spacing w:after="20"/>
      </w:pPr>
      <w:r>
        <w:rPr>
          <w:color w:val="1B2117"/>
          <w:sz w:val="21"/>
        </w:rPr>
        <w:t>Keep the documents available offline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Feeds the sign-on gate. Acknowledgement is individual, attributable and never applied in bulk.</w:t>
      </w:r>
    </w:p>
    <w:p>
      <w:r>
        <w:br w:type="page"/>
      </w:r>
    </w:p>
    <w:p>
      <w:pPr>
        <w:pStyle w:val="Heading1"/>
      </w:pPr>
      <w:r>
        <w:t>QA Queue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19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-queu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manager's review inbox — one queue, one selected record, one decision: confirm or reopen.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Project Manager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Review submitted records in a single queue</w:t>
      </w:r>
    </w:p>
    <w:p>
      <w:pPr>
        <w:pStyle w:val="ListBullet"/>
        <w:spacing w:after="20"/>
      </w:pPr>
      <w:r>
        <w:rPr>
          <w:color w:val="1B2117"/>
          <w:sz w:val="21"/>
        </w:rPr>
        <w:t>Check evidence against the requirements</w:t>
      </w:r>
    </w:p>
    <w:p>
      <w:pPr>
        <w:pStyle w:val="ListBullet"/>
        <w:spacing w:after="20"/>
      </w:pPr>
      <w:r>
        <w:rPr>
          <w:color w:val="1B2117"/>
          <w:sz w:val="21"/>
        </w:rPr>
        <w:t>Confirm a record, or reopen it with a reason</w:t>
      </w:r>
    </w:p>
    <w:p>
      <w:pPr>
        <w:pStyle w:val="ListBullet"/>
        <w:spacing w:after="20"/>
      </w:pPr>
      <w:r>
        <w:rPr>
          <w:color w:val="1B2117"/>
          <w:sz w:val="21"/>
        </w:rPr>
        <w:t>Move work toward release with confidence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act layer. Confirmation is the gate to the outside — only confirmed work becomes engineer-visible.</w:t>
      </w:r>
    </w:p>
    <w:p>
      <w:r>
        <w:br w:type="page"/>
      </w:r>
    </w:p>
    <w:p>
      <w:pPr>
        <w:pStyle w:val="Heading1"/>
      </w:pPr>
      <w:r>
        <w:t>Reporting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20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ing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Assembles and releases a trusted package of confirmed work to the engineer and client.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Project Manager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Build a release from confirmed work</w:t>
      </w:r>
    </w:p>
    <w:p>
      <w:pPr>
        <w:pStyle w:val="ListBullet"/>
        <w:spacing w:after="20"/>
      </w:pPr>
      <w:r>
        <w:rPr>
          <w:color w:val="1B2117"/>
          <w:sz w:val="21"/>
        </w:rPr>
        <w:t>Set recipient, purpose, period and format</w:t>
      </w:r>
    </w:p>
    <w:p>
      <w:pPr>
        <w:pStyle w:val="ListBullet"/>
        <w:spacing w:after="20"/>
      </w:pPr>
      <w:r>
        <w:rPr>
          <w:color w:val="1B2117"/>
          <w:sz w:val="21"/>
        </w:rPr>
        <w:t>Group the released contents by zone</w:t>
      </w:r>
    </w:p>
    <w:p>
      <w:pPr>
        <w:pStyle w:val="ListBullet"/>
        <w:spacing w:after="20"/>
      </w:pPr>
      <w:r>
        <w:rPr>
          <w:color w:val="1B2117"/>
          <w:sz w:val="21"/>
        </w:rPr>
        <w:t>Generate and release the report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release layer. Confirmed work is curated and released outward in a controlled, logged step.</w:t>
      </w:r>
    </w:p>
    <w:p>
      <w:r>
        <w:br w:type="page"/>
      </w:r>
    </w:p>
    <w:p>
      <w:pPr>
        <w:pStyle w:val="Heading1"/>
      </w:pPr>
      <w:r>
        <w:t>Reference Documents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21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document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A bounded project library of drawings, instructions and engineer-issued documents — available to the field offline.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Project Manager · read by the field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Hold inbound reference material in one place</w:t>
      </w:r>
    </w:p>
    <w:p>
      <w:pPr>
        <w:pStyle w:val="ListBullet"/>
        <w:spacing w:after="20"/>
      </w:pPr>
      <w:r>
        <w:rPr>
          <w:color w:val="1B2117"/>
          <w:sz w:val="21"/>
        </w:rPr>
        <w:t>Keep it a tidy project folder, not a document system</w:t>
      </w:r>
    </w:p>
    <w:p>
      <w:pPr>
        <w:pStyle w:val="ListBullet"/>
        <w:spacing w:after="20"/>
      </w:pPr>
      <w:r>
        <w:rPr>
          <w:color w:val="1B2117"/>
          <w:sz w:val="21"/>
        </w:rPr>
        <w:t>Make documents available offline to the field</w:t>
      </w:r>
    </w:p>
    <w:p>
      <w:pPr>
        <w:pStyle w:val="ListBullet"/>
        <w:spacing w:after="20"/>
      </w:pPr>
      <w:r>
        <w:rPr>
          <w:color w:val="1B2117"/>
          <w:sz w:val="21"/>
        </w:rPr>
        <w:t>Keep reference material distinct from the safety sign-on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project's read-only reference set: the manager curates, the field reads.</w:t>
      </w:r>
    </w:p>
    <w:p>
      <w:r>
        <w:br w:type="page"/>
      </w:r>
    </w:p>
    <w:p>
      <w:pPr>
        <w:pStyle w:val="Heading1"/>
      </w:pPr>
      <w:r>
        <w:t>Engineer View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22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ineer-view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trusted client view — confirmed, released work only, read-only, ready to trust on sight.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Engineer / Client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See confirmed, released anchors only</w:t>
      </w:r>
    </w:p>
    <w:p>
      <w:pPr>
        <w:pStyle w:val="ListBullet"/>
        <w:spacing w:after="20"/>
      </w:pPr>
      <w:r>
        <w:rPr>
          <w:color w:val="1B2117"/>
          <w:sz w:val="21"/>
        </w:rPr>
        <w:t>Read the status board and the full record</w:t>
      </w:r>
    </w:p>
    <w:p>
      <w:pPr>
        <w:pStyle w:val="ListBullet"/>
        <w:spacing w:after="20"/>
      </w:pPr>
      <w:r>
        <w:rPr>
          <w:color w:val="1B2117"/>
          <w:sz w:val="21"/>
        </w:rPr>
        <w:t>Open the released project reports</w:t>
      </w:r>
    </w:p>
    <w:p>
      <w:pPr>
        <w:pStyle w:val="ListBullet"/>
        <w:spacing w:after="20"/>
      </w:pPr>
      <w:r>
        <w:rPr>
          <w:color w:val="1B2117"/>
          <w:sz w:val="21"/>
        </w:rPr>
        <w:t>Acknowledge receipt of a release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outward face of the workspace. Nothing reaches it until a manager has confirmed and released it.</w:t>
      </w:r>
    </w:p>
    <w:p>
      <w:r>
        <w:br w:type="page"/>
      </w:r>
    </w:p>
    <w:p>
      <w:pPr>
        <w:pStyle w:val="Heading1"/>
      </w:pPr>
      <w:r>
        <w:t>Project Closeout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23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seout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A gated readiness check that confirms a project is complete and ready to close.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Project Manager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Check readiness against the closeout criteria</w:t>
      </w:r>
    </w:p>
    <w:p>
      <w:pPr>
        <w:pStyle w:val="ListBullet"/>
        <w:spacing w:after="20"/>
      </w:pPr>
      <w:r>
        <w:rPr>
          <w:color w:val="1B2117"/>
          <w:sz w:val="21"/>
        </w:rPr>
        <w:t>Surface anything still blocking closure</w:t>
      </w:r>
    </w:p>
    <w:p>
      <w:pPr>
        <w:pStyle w:val="ListBullet"/>
        <w:spacing w:after="20"/>
      </w:pPr>
      <w:r>
        <w:rPr>
          <w:color w:val="1B2117"/>
          <w:sz w:val="21"/>
        </w:rPr>
        <w:t>Confirm the project is complete</w:t>
      </w:r>
    </w:p>
    <w:p>
      <w:pPr>
        <w:pStyle w:val="ListBullet"/>
        <w:spacing w:after="20"/>
      </w:pPr>
      <w:r>
        <w:rPr>
          <w:color w:val="1B2117"/>
          <w:sz w:val="21"/>
        </w:rPr>
        <w:t>Close the project cleanly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final step once delivery and release are complete, declaring the project closed.</w:t>
      </w:r>
    </w:p>
    <w:p>
      <w:r>
        <w:br w:type="page"/>
      </w:r>
    </w:p>
    <w:p>
      <w:pPr>
        <w:pStyle w:val="Heading1"/>
      </w:pPr>
      <w:r>
        <w:t>Reference Documents · Field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6E7D5C"/>
          <w:sz w:val="17"/>
        </w:rPr>
        <w:t>SCREEN 24 / 24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935360" cy="403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documents-operator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3536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PURPOSE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crew's offline copy of the project library, read on site.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PRIMARY USER</w:t>
      </w:r>
    </w:p>
    <w:p>
      <w:pPr>
        <w:spacing w:before="0" w:after="40"/>
      </w:pPr>
      <w:r>
        <w:rPr>
          <w:rFonts w:ascii="Calibri" w:hAnsi="Calibri"/>
          <w:b/>
          <w:i w:val="0"/>
          <w:color w:val="2B4721"/>
          <w:sz w:val="21"/>
        </w:rPr>
        <w:t>Operator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KEY CAPABILITIES</w:t>
      </w:r>
    </w:p>
    <w:p>
      <w:pPr>
        <w:pStyle w:val="ListBullet"/>
        <w:spacing w:after="20"/>
      </w:pPr>
      <w:r>
        <w:rPr>
          <w:color w:val="1B2117"/>
          <w:sz w:val="21"/>
        </w:rPr>
        <w:t>Open project drawings and instructions on site</w:t>
      </w:r>
    </w:p>
    <w:p>
      <w:pPr>
        <w:pStyle w:val="ListBullet"/>
        <w:spacing w:after="20"/>
      </w:pPr>
      <w:r>
        <w:rPr>
          <w:color w:val="1B2117"/>
          <w:sz w:val="21"/>
        </w:rPr>
        <w:t>Keep the documents available offline</w:t>
      </w:r>
    </w:p>
    <w:p>
      <w:pPr>
        <w:pStyle w:val="ListBullet"/>
        <w:spacing w:after="20"/>
      </w:pPr>
      <w:r>
        <w:rPr>
          <w:color w:val="1B2117"/>
          <w:sz w:val="21"/>
        </w:rPr>
        <w:t>See what is downloaded to the device</w:t>
      </w:r>
    </w:p>
    <w:p>
      <w:pPr>
        <w:pStyle w:val="ListBullet"/>
        <w:spacing w:after="20"/>
      </w:pPr>
      <w:r>
        <w:rPr>
          <w:color w:val="1B2117"/>
          <w:sz w:val="21"/>
        </w:rPr>
        <w:t>Keep reference material separate from the safety sign-on</w:t>
      </w:r>
    </w:p>
    <w:p>
      <w:pPr>
        <w:spacing w:before="180" w:after="40"/>
      </w:pPr>
      <w:r>
        <w:rPr>
          <w:rFonts w:ascii="Calibri" w:hAnsi="Calibri"/>
          <w:b/>
          <w:color w:val="2B4721"/>
          <w:sz w:val="17"/>
          <w:spacing w:val="24"/>
        </w:rPr>
        <w:t>WORKFLOW CONTEXT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B2117"/>
          <w:sz w:val="21"/>
        </w:rPr>
        <w:t>The field-facing side of Reference Documents — the same library, read-only, in the operator's hand.</w:t>
      </w:r>
    </w:p>
    <w:p>
      <w:r>
        <w:br w:type="page"/>
      </w:r>
    </w:p>
    <w:p/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" cy="72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0"/>
        <w:jc w:val="center"/>
      </w:pPr>
      <w:r>
        <w:rPr>
          <w:rFonts w:ascii="Georgia" w:hAnsi="Georgia"/>
          <w:b/>
          <w:i w:val="0"/>
          <w:color w:val="2B4721"/>
          <w:sz w:val="56"/>
        </w:rPr>
        <w:t>Thank you</w:t>
      </w:r>
    </w:p>
    <w:p>
      <w:pPr>
        <w:spacing w:before="200" w:after="0"/>
        <w:jc w:val="center"/>
      </w:pPr>
      <w:r>
        <w:rPr>
          <w:rFonts w:ascii="Georgia" w:hAnsi="Georgia"/>
          <w:b w:val="0"/>
          <w:i w:val="0"/>
          <w:color w:val="1B2117"/>
          <w:sz w:val="30"/>
        </w:rPr>
        <w:t>TacEdge Geotech</w:t>
      </w:r>
    </w:p>
    <w:p>
      <w:pPr>
        <w:spacing w:before="240" w:after="0"/>
        <w:jc w:val="center"/>
      </w:pPr>
      <w:r>
        <w:rPr>
          <w:rFonts w:ascii="Calibri" w:hAnsi="Calibri"/>
          <w:b w:val="0"/>
          <w:i w:val="0"/>
          <w:color w:val="56604C"/>
          <w:sz w:val="26"/>
        </w:rPr>
        <w:t>Shared Operational Clarity.</w:t>
      </w:r>
    </w:p>
    <w:p>
      <w:pPr>
        <w:spacing w:before="40" w:after="0"/>
        <w:jc w:val="center"/>
      </w:pPr>
      <w:r>
        <w:rPr>
          <w:rFonts w:ascii="Consolas" w:hAnsi="Consolas"/>
          <w:b w:val="0"/>
          <w:i w:val="0"/>
          <w:color w:val="6E7D5C"/>
          <w:sz w:val="20"/>
        </w:rPr>
        <w:t>first-use. fast.</w:t>
      </w:r>
    </w:p>
    <w:sectPr w:rsidR="00FC693F" w:rsidRPr="0006063C" w:rsidSect="00034616">
      <w:footerReference w:type="default" r:id="rId10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left"/>
      </w:tabs>
    </w:pPr>
    <w:r>
      <w:rPr>
        <w:rFonts w:ascii="Consolas" w:hAnsi="Consolas"/>
        <w:color w:val="8A9080"/>
        <w:sz w:val="16"/>
      </w:rPr>
      <w:t>TacEdge Geotech V2.0 Prototype</w:t>
    </w:r>
    <w:r>
      <w:rPr>
        <w:rFonts w:ascii="Consolas" w:hAnsi="Consolas"/>
        <w:color w:val="8A9080"/>
        <w:sz w:val="16"/>
      </w:rPr>
      <w:tab/>
      <w:t xml:space="preserve">Page </w:t>
    </w:r>
    <w:r>
      <w:rPr>
        <w:color w:val="8A9080"/>
      </w:rPr>
      <w:fldChar w:fldCharType="begin"/>
      <w:instrText xml:space="preserve">PAGE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auto"/>
    </w:pPr>
    <w:rPr>
      <w:rFonts w:ascii="Calibri" w:hAnsi="Calibri"/>
      <w:color w:val="1B21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0"/>
      <w:outlineLvl w:val="0"/>
    </w:pPr>
    <w:rPr>
      <w:rFonts w:asciiTheme="majorHAnsi" w:eastAsiaTheme="majorEastAsia" w:hAnsiTheme="majorHAnsi" w:cstheme="majorBidi" w:ascii="Georgia" w:hAnsi="Georgia"/>
      <w:b/>
      <w:bCs/>
      <w:color w:val="1B211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