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380"/>
        <w:rPr/>
      </w:pPr>
      <w:r>
        <w:rPr/>
        <w:drawing>
          <wp:inline distT="0" distB="0" distL="0" distR="0">
            <wp:extent cx="2160270" cy="4933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493395"/>
                    </a:xfrm>
                    <a:prstGeom prst="rect">
                      <a:avLst/>
                    </a:prstGeom>
                  </pic:spPr>
                </pic:pic>
              </a:graphicData>
            </a:graphic>
          </wp:inline>
        </w:drawing>
      </w:r>
    </w:p>
    <w:p>
      <w:pPr>
        <w:pStyle w:val="Normal"/>
        <w:pBdr>
          <w:top w:val="single" w:sz="18" w:space="10" w:color="000000"/>
        </w:pBdr>
        <w:spacing w:before="0" w:after="40"/>
        <w:rPr/>
      </w:pPr>
      <w:r>
        <w:rPr>
          <w:rFonts w:cs="Arial Black" w:ascii="Arial Black" w:hAnsi="Arial Black"/>
          <w:b w:val="false"/>
          <w:color w:val="000000"/>
          <w:sz w:val="60"/>
        </w:rPr>
        <w:t>NZ Army Combat Mindset</w:t>
      </w:r>
    </w:p>
    <w:p>
      <w:pPr>
        <w:pStyle w:val="Normal"/>
        <w:spacing w:before="0" w:after="200"/>
        <w:rPr/>
      </w:pPr>
      <w:r>
        <w:rPr>
          <w:rFonts w:cs="Calibri"/>
          <w:b/>
          <w:color w:val="000000"/>
          <w:sz w:val="34"/>
        </w:rPr>
        <w:t>Framework Proposal</w:t>
      </w:r>
    </w:p>
    <w:p>
      <w:pPr>
        <w:pStyle w:val="Normal"/>
        <w:spacing w:before="160" w:after="40"/>
        <w:rPr/>
      </w:pPr>
      <w:r>
        <w:rPr>
          <w:rFonts w:cs="Calibri"/>
          <w:color w:val="000000"/>
          <w:sz w:val="26"/>
        </w:rPr>
        <w:t>Remain effective. Act decisively.</w:t>
      </w:r>
    </w:p>
    <w:p>
      <w:pPr>
        <w:pStyle w:val="Normal"/>
        <w:spacing w:before="0" w:after="4120"/>
        <w:rPr/>
      </w:pPr>
      <w:r>
        <w:rPr>
          <w:rFonts w:cs="Calibri"/>
          <w:b/>
          <w:color w:val="000000"/>
          <w:sz w:val="26"/>
        </w:rPr>
        <w:t>Harder to kill.</w:t>
      </w:r>
    </w:p>
    <w:p>
      <w:pPr>
        <w:pStyle w:val="Normal"/>
        <w:tabs>
          <w:tab w:val="clear" w:pos="720"/>
          <w:tab w:val="left" w:pos="567" w:leader="none"/>
        </w:tabs>
        <w:spacing w:before="0" w:after="200"/>
        <w:rPr/>
      </w:pPr>
      <w:r>
        <w:rPr/>
        <w:drawing>
          <wp:inline distT="0" distB="0" distL="0" distR="0">
            <wp:extent cx="165735" cy="1657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65735" cy="165735"/>
                    </a:xfrm>
                    <a:prstGeom prst="rect">
                      <a:avLst/>
                    </a:prstGeom>
                  </pic:spPr>
                </pic:pic>
              </a:graphicData>
            </a:graphic>
          </wp:inline>
        </w:drawing>
      </w:r>
      <w:r>
        <w:rPr/>
        <w:tab/>
      </w:r>
      <w:r>
        <w:rPr>
          <w:rFonts w:cs="Calibri"/>
          <w:b/>
          <w:color w:val="000000"/>
          <w:spacing w:val="60"/>
          <w:sz w:val="16"/>
        </w:rPr>
        <w:t>FRAMEWORK</w:t>
      </w:r>
    </w:p>
    <w:p>
      <w:pPr>
        <w:pStyle w:val="Normal"/>
        <w:tabs>
          <w:tab w:val="clear" w:pos="720"/>
          <w:tab w:val="left" w:pos="1814" w:leader="none"/>
        </w:tabs>
        <w:spacing w:before="0" w:after="60"/>
        <w:rPr/>
      </w:pPr>
      <w:r>
        <w:rPr>
          <w:rFonts w:cs="Calibri"/>
          <w:b/>
          <w:color w:val="000000"/>
          <w:sz w:val="20"/>
        </w:rPr>
        <w:t>Reference</w:t>
        <w:tab/>
      </w:r>
      <w:r>
        <w:rPr>
          <w:rFonts w:cs="Calibri"/>
          <w:color w:val="000000"/>
          <w:sz w:val="20"/>
        </w:rPr>
        <w:t>ACS 2026</w:t>
      </w:r>
    </w:p>
    <w:p>
      <w:pPr>
        <w:pStyle w:val="Normal"/>
        <w:tabs>
          <w:tab w:val="clear" w:pos="720"/>
          <w:tab w:val="left" w:pos="1814" w:leader="none"/>
        </w:tabs>
        <w:spacing w:before="0" w:after="60"/>
        <w:rPr/>
      </w:pPr>
      <w:r>
        <w:rPr>
          <w:rFonts w:cs="Calibri"/>
          <w:b/>
          <w:color w:val="000000"/>
          <w:sz w:val="20"/>
        </w:rPr>
        <w:t>Date</w:t>
        <w:tab/>
      </w:r>
      <w:r>
        <w:rPr>
          <w:rFonts w:cs="Calibri"/>
          <w:color w:val="000000"/>
          <w:sz w:val="20"/>
        </w:rPr>
        <w:t>August 2026</w:t>
      </w:r>
    </w:p>
    <w:p>
      <w:pPr>
        <w:pStyle w:val="Normal"/>
        <w:tabs>
          <w:tab w:val="clear" w:pos="720"/>
          <w:tab w:val="left" w:pos="1814" w:leader="none"/>
        </w:tabs>
        <w:spacing w:before="0" w:after="60"/>
        <w:rPr/>
      </w:pPr>
      <w:r>
        <w:rPr>
          <w:rFonts w:cs="Calibri"/>
          <w:b/>
          <w:color w:val="000000"/>
          <w:sz w:val="20"/>
        </w:rPr>
        <w:t>Originator</w:t>
        <w:tab/>
      </w:r>
      <w:r>
        <w:rPr>
          <w:rFonts w:cs="Calibri"/>
          <w:color w:val="000000"/>
          <w:sz w:val="20"/>
        </w:rPr>
        <w:t>Army Command School</w:t>
      </w:r>
    </w:p>
    <w:p>
      <w:pPr>
        <w:pStyle w:val="Normal"/>
        <w:tabs>
          <w:tab w:val="clear" w:pos="720"/>
          <w:tab w:val="left" w:pos="1814" w:leader="none"/>
        </w:tabs>
        <w:spacing w:before="0" w:after="60"/>
        <w:rPr/>
      </w:pPr>
      <w:r>
        <w:rPr>
          <w:rFonts w:cs="Calibri"/>
          <w:b/>
          <w:color w:val="000000"/>
          <w:sz w:val="20"/>
        </w:rPr>
        <w:t>Version</w:t>
        <w:tab/>
      </w:r>
      <w:r>
        <w:rPr>
          <w:rFonts w:cs="Calibri"/>
          <w:color w:val="000000"/>
          <w:sz w:val="20"/>
        </w:rPr>
        <w:t>V1.0</w:t>
      </w:r>
    </w:p>
    <w:p>
      <w:pPr>
        <w:pStyle w:val="Normal"/>
        <w:rPr/>
      </w:pPr>
      <w:r>
        <w:rPr/>
      </w:r>
      <w:r>
        <w:br w:type="page"/>
      </w:r>
    </w:p>
    <w:p>
      <w:pPr>
        <w:pStyle w:val="Normal"/>
        <w:pBdr>
          <w:top w:val="single" w:sz="12" w:space="9" w:color="000000"/>
        </w:pBdr>
        <w:spacing w:before="0" w:after="240"/>
        <w:rPr/>
      </w:pPr>
      <w:r>
        <w:rPr>
          <w:rFonts w:cs="Arial Black" w:ascii="Arial Black" w:hAnsi="Arial Black"/>
          <w:b w:val="false"/>
          <w:color w:val="000000"/>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20_801138078">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22_801138078">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24_801138078">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6_801138078">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8_801138078">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30_801138078">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32_801138078">
            <w:r>
              <w:rPr>
                <w:webHidden/>
                <w:rStyle w:val="IndexLink"/>
                <w:i w:val="false"/>
              </w:rPr>
              <w:t>5. Recommendations</w:t>
            </w:r>
            <w:r>
              <w:rPr>
                <w:rStyle w:val="IndexLink"/>
              </w:rPr>
              <w:tab/>
              <w:t>8</w:t>
            </w:r>
          </w:hyperlink>
          <w:r>
            <w:rPr>
              <w:rStyle w:val="IndexLink"/>
            </w:rPr>
            <w:fldChar w:fldCharType="end"/>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top w:val="single" w:sz="12" w:space="7" w:color="000000"/>
        </w:pBdr>
        <w:spacing w:before="0" w:after="160"/>
        <w:rPr/>
      </w:pPr>
      <w:bookmarkStart w:id="0" w:name="__RefHeading___Toc220_801138078"/>
      <w:bookmarkEnd w:id="0"/>
      <w:r>
        <w:rPr>
          <w:rFonts w:cs="Arial Black" w:ascii="Arial Black" w:hAnsi="Arial Black"/>
          <w:b w:val="false"/>
          <w:i w:val="false"/>
          <w:color w:val="000000"/>
          <w:sz w:val="28"/>
        </w:rPr>
        <w:t>The Model on a Page</w:t>
      </w:r>
    </w:p>
    <w:p>
      <w:pPr>
        <w:sectPr>
          <w:headerReference w:type="default" r:id="rId11"/>
          <w:headerReference w:type="first" r:id="rId12"/>
          <w:footerReference w:type="even" r:id="rId13"/>
          <w:footerReference w:type="default" r:id="rId14"/>
          <w:footerReference w:type="first" r:id="rId15"/>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5760085" cy="7860030"/>
                    </a:xfrm>
                    <a:prstGeom prst="rect">
                      <a:avLst/>
                    </a:prstGeom>
                  </pic:spPr>
                </pic:pic>
              </a:graphicData>
            </a:graphic>
          </wp:inline>
        </w:drawing>
      </w:r>
    </w:p>
    <w:p>
      <w:pPr>
        <w:pStyle w:val="Heading1"/>
        <w:pBdr>
          <w:top w:val="single" w:sz="12" w:space="7" w:color="000000"/>
        </w:pBdr>
        <w:rPr/>
      </w:pPr>
      <w:bookmarkStart w:id="1" w:name="__RefHeading___Toc222_801138078"/>
      <w:bookmarkEnd w:id="1"/>
      <w:r>
        <w:rPr>
          <w:rFonts w:cs="Arial Black" w:ascii="Arial Black" w:hAnsi="Arial Black"/>
          <w:b w:val="false"/>
          <w:i w:val="false"/>
          <w:color w:val="000000"/>
          <w:sz w:val="28"/>
        </w:rPr>
        <w:t>Purpose</w:t>
      </w:r>
    </w:p>
    <w:p>
      <w:pPr>
        <w:pStyle w:val="Normal"/>
        <w:rPr/>
      </w:pPr>
      <w:r>
        <w:rPr>
          <w:rFonts w:cs="Calibri"/>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Calibri"/>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Calibri"/>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spacing w:before="60" w:after="60"/>
        <w:rPr/>
      </w:pPr>
      <w:r>
        <w:rPr/>
      </w:r>
    </w:p>
    <w:p>
      <w:pPr>
        <w:pStyle w:val="Heading1"/>
        <w:pBdr>
          <w:top w:val="single" w:sz="12" w:space="7" w:color="000000"/>
        </w:pBdr>
        <w:rPr/>
      </w:pPr>
      <w:bookmarkStart w:id="2" w:name="__RefHeading___Toc224_801138078"/>
      <w:bookmarkEnd w:id="2"/>
      <w:r>
        <w:rPr>
          <w:rFonts w:cs="Arial Black" w:ascii="Arial Black" w:hAnsi="Arial Black"/>
          <w:b w:val="false"/>
          <w:i w:val="false"/>
          <w:color w:val="000000"/>
          <w:sz w:val="28"/>
        </w:rPr>
        <w:t>1. The problem</w:t>
      </w:r>
    </w:p>
    <w:p>
      <w:pPr>
        <w:pStyle w:val="Normal"/>
        <w:rPr/>
      </w:pPr>
      <w:r>
        <w:rPr>
          <w:rFonts w:cs="Calibri"/>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Calibri"/>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Calibri"/>
          <w:b w:val="false"/>
          <w:i w:val="false"/>
        </w:rPr>
        <w:t>The underlying operational problem remains:</w:t>
      </w:r>
    </w:p>
    <w:p>
      <w:pPr>
        <w:pStyle w:val="Normal"/>
        <w:spacing w:before="120" w:after="160"/>
        <w:ind w:left="567" w:right="567"/>
        <w:rPr/>
      </w:pPr>
      <w:r>
        <w:rPr>
          <w:rFonts w:cs="Calibri"/>
          <w:b w:val="false"/>
          <w:i/>
        </w:rPr>
        <w:t>Under operational pressure, trained individuals and teams do not always retain access to their full capability.</w:t>
      </w:r>
    </w:p>
    <w:p>
      <w:pPr>
        <w:pStyle w:val="Normal"/>
        <w:rPr/>
      </w:pPr>
      <w:r>
        <w:rPr>
          <w:rFonts w:cs="Calibri"/>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spacing w:before="60" w:after="60"/>
        <w:rPr/>
      </w:pPr>
      <w:r>
        <w:rPr/>
      </w:r>
    </w:p>
    <w:p>
      <w:pPr>
        <w:pStyle w:val="Heading1"/>
        <w:pBdr>
          <w:top w:val="single" w:sz="12" w:space="7" w:color="000000"/>
        </w:pBdr>
        <w:rPr/>
      </w:pPr>
      <w:bookmarkStart w:id="3" w:name="__RefHeading___Toc226_801138078"/>
      <w:bookmarkEnd w:id="3"/>
      <w:r>
        <w:rPr>
          <w:rFonts w:cs="Arial Black" w:ascii="Arial Black" w:hAnsi="Arial Black"/>
          <w:b w:val="false"/>
          <w:i w:val="false"/>
          <w:color w:val="000000"/>
          <w:sz w:val="28"/>
        </w:rPr>
        <w:t>2. Terminology and definitions</w:t>
      </w:r>
    </w:p>
    <w:p>
      <w:pPr>
        <w:pStyle w:val="Normal"/>
        <w:rPr/>
      </w:pPr>
      <w:r>
        <w:rPr>
          <w:rFonts w:cs="Calibri"/>
          <w:b w:val="false"/>
          <w:i w:val="false"/>
        </w:rPr>
        <w:t>One structural decision must be made before the framework can be drafted: the relationship between Combat Mindset and Performance Under Pressure. Two options are offered.</w:t>
      </w:r>
    </w:p>
    <w:p>
      <w:pPr>
        <w:pStyle w:val="Heading2"/>
        <w:rPr/>
      </w:pPr>
      <w:r>
        <w:rPr>
          <w:rFonts w:cs="Calibri"/>
          <w:b/>
          <w:i w:val="false"/>
          <w:color w:val="000000"/>
          <w:sz w:val="22"/>
        </w:rPr>
        <w:t>Option 1: Combat Mindset as the combat-specific expression of Performance Under Pressure (recommended)</w:t>
      </w:r>
    </w:p>
    <w:p>
      <w:pPr>
        <w:pStyle w:val="Normal"/>
        <w:rPr/>
      </w:pPr>
      <w:r>
        <w:rPr>
          <w:rFonts w:cs="Calibri"/>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Calibri"/>
          <w:b w:val="false"/>
          <w:i w:val="false"/>
        </w:rPr>
        <w:t>The following formal definitions are proposed as the drafting baseline.</w:t>
      </w:r>
    </w:p>
    <w:p>
      <w:pPr>
        <w:pStyle w:val="Normal"/>
        <w:spacing w:before="120" w:after="160"/>
        <w:ind w:left="567" w:right="567"/>
        <w:rPr/>
      </w:pPr>
      <w:r>
        <w:rPr>
          <w:rFonts w:cs="Calibri"/>
          <w:b/>
          <w:i/>
        </w:rPr>
        <w:t>Combat Mindset.</w:t>
      </w:r>
      <w:r>
        <w:rPr>
          <w:rFonts w:cs="Calibri"/>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Calibri"/>
          <w:b/>
          <w:i/>
        </w:rPr>
        <w:t>Performance Under Pressure.</w:t>
      </w:r>
      <w:r>
        <w:rPr>
          <w:rFonts w:cs="Calibri"/>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Calibri"/>
          <w:b/>
          <w:i/>
        </w:rPr>
        <w:t>Combat Mindset Framework.</w:t>
      </w:r>
      <w:r>
        <w:rPr>
          <w:rFonts w:cs="Calibri"/>
          <w:b w:val="false"/>
          <w:i/>
        </w:rPr>
        <w:t xml:space="preserve"> The framework through which Army governs, develops, delivers and assures Performance Under Pressure and its combat-specific expression, Combat Mindset.</w:t>
      </w:r>
    </w:p>
    <w:p>
      <w:pPr>
        <w:pStyle w:val="Normal"/>
        <w:rPr/>
      </w:pPr>
      <w:r>
        <w:rPr>
          <w:rFonts w:cs="Calibri"/>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Calibri"/>
          <w:b w:val="false"/>
          <w:i/>
        </w:rPr>
        <w:t>In summary, Performance Under Pressure is the trainable capability; Combat Mindset is its combat-specific expression.</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Guards against Combat Mindset being misread as aggression, motivation or resilience alone.</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Requires Army to hold two related terms rather than one, so the distinction must be explained and sustained in doctrine, instruction and everyday use.</w:t>
      </w:r>
    </w:p>
    <w:p>
      <w:pPr>
        <w:pStyle w:val="Heading2"/>
        <w:rPr/>
      </w:pPr>
      <w:r>
        <w:rPr>
          <w:rFonts w:cs="Calibri"/>
          <w:b/>
          <w:i w:val="false"/>
          <w:color w:val="000000"/>
          <w:sz w:val="22"/>
        </w:rPr>
        <w:t>Option 2: Combat Mindset as the complete umbrella capability</w:t>
      </w:r>
    </w:p>
    <w:p>
      <w:pPr>
        <w:pStyle w:val="Normal"/>
        <w:rPr/>
      </w:pPr>
      <w:r>
        <w:rPr>
          <w:rFonts w:cs="Calibri"/>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Calibri"/>
          <w:b/>
          <w:i w:val="false"/>
        </w:rPr>
        <w:t>Advantages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Matches common soldier usage, in which Combat Mindset already serves as the umbrella term, and avoids a two-term hierarchy that requires sustained explanation.</w:t>
      </w:r>
    </w:p>
    <w:p>
      <w:pPr>
        <w:pStyle w:val="Normal"/>
        <w:rPr/>
      </w:pPr>
      <w:r>
        <w:rPr>
          <w:rFonts w:cs="Calibri"/>
          <w:b/>
          <w:i w:val="false"/>
        </w:rPr>
        <w:t>Limitations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Increases the risk that Combat Mindset is interpreted as motivation or aggression alone.</w:t>
      </w:r>
    </w:p>
    <w:p>
      <w:pPr>
        <w:pStyle w:val="Normal"/>
        <w:rPr/>
      </w:pPr>
      <w:r>
        <w:rPr>
          <w:rFonts w:cs="Calibri"/>
          <w:b w:val="false"/>
          <w:i w:val="false"/>
        </w:rPr>
        <w:t>Both options deliver the end state described in the COMDT ACS guidance. NZALC and HPC jointly recommend Option 1, and will implement whichever option COMDT ACS selects.</w:t>
      </w:r>
    </w:p>
    <w:p>
      <w:pPr>
        <w:pStyle w:val="Normal"/>
        <w:spacing w:before="60" w:after="60"/>
        <w:rPr/>
      </w:pPr>
      <w:r>
        <w:rPr/>
      </w:r>
    </w:p>
    <w:p>
      <w:pPr>
        <w:pStyle w:val="Heading1"/>
        <w:pBdr>
          <w:top w:val="single" w:sz="12" w:space="7" w:color="000000"/>
        </w:pBdr>
        <w:rPr/>
      </w:pPr>
      <w:bookmarkStart w:id="4" w:name="__RefHeading___Toc228_801138078"/>
      <w:bookmarkEnd w:id="4"/>
      <w:r>
        <w:rPr>
          <w:rFonts w:cs="Arial Black" w:ascii="Arial Black" w:hAnsi="Arial Black"/>
          <w:b w:val="false"/>
          <w:i w:val="false"/>
          <w:color w:val="000000"/>
          <w:sz w:val="28"/>
        </w:rPr>
        <w:t>3. What already exists</w:t>
      </w:r>
    </w:p>
    <w:p>
      <w:pPr>
        <w:pStyle w:val="Heading2"/>
        <w:rPr/>
      </w:pPr>
      <w:r>
        <w:rPr>
          <w:rFonts w:cs="Calibri"/>
          <w:b/>
          <w:i w:val="false"/>
          <w:color w:val="000000"/>
          <w:sz w:val="22"/>
        </w:rPr>
        <w:t>Within ACS</w:t>
      </w:r>
    </w:p>
    <w:p>
      <w:pPr>
        <w:pStyle w:val="Normal"/>
        <w:rPr/>
      </w:pPr>
      <w:r>
        <w:rPr>
          <w:rFonts w:cs="Calibri"/>
          <w:b/>
          <w:i w:val="false"/>
          <w:color w:val="444D06"/>
          <w:sz w:val="20"/>
        </w:rPr>
        <w:t>NZALC Leadership Development System</w:t>
      </w:r>
    </w:p>
    <w:p>
      <w:pPr>
        <w:pStyle w:val="Normal"/>
        <w:rPr/>
      </w:pPr>
      <w:r>
        <w:rPr>
          <w:rFonts w:cs="Calibri"/>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Calibri"/>
          <w:b/>
          <w:i w:val="false"/>
          <w:color w:val="444D06"/>
          <w:sz w:val="20"/>
        </w:rPr>
        <w:t>HPC Cognitive Conditioning (COGCON)</w:t>
      </w:r>
    </w:p>
    <w:p>
      <w:pPr>
        <w:pStyle w:val="Normal"/>
        <w:rPr/>
      </w:pPr>
      <w:r>
        <w:rPr>
          <w:rFonts w:cs="Calibri"/>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Calibri"/>
          <w:b/>
          <w:i w:val="false"/>
          <w:color w:val="000000"/>
          <w:sz w:val="22"/>
        </w:rPr>
        <w:t>Outside ACS</w:t>
      </w:r>
    </w:p>
    <w:p>
      <w:pPr>
        <w:pStyle w:val="Normal"/>
        <w:rPr/>
      </w:pPr>
      <w:r>
        <w:rPr>
          <w:rFonts w:cs="Calibri"/>
          <w:b/>
          <w:i w:val="false"/>
          <w:color w:val="444D06"/>
          <w:sz w:val="20"/>
        </w:rPr>
        <w:t>Army Psychology Services (APS), ILD and other stakeholders</w:t>
      </w:r>
    </w:p>
    <w:p>
      <w:pPr>
        <w:pStyle w:val="Normal"/>
        <w:rPr/>
      </w:pPr>
      <w:r>
        <w:rPr>
          <w:rFonts w:cs="Calibri"/>
          <w:b w:val="false"/>
          <w:i w:val="false"/>
        </w:rPr>
        <w:t>These organisations hold additional professional expertise, learning products, delivery capability and assurance functions that will be confirmed during the Phase 2 assessment.</w:t>
      </w:r>
    </w:p>
    <w:p>
      <w:pPr>
        <w:pStyle w:val="Normal"/>
        <w:rPr/>
      </w:pPr>
      <w:r>
        <w:rPr>
          <w:rFonts w:cs="Calibri"/>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Calibri"/>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spacing w:before="60" w:after="60"/>
        <w:rPr/>
      </w:pPr>
      <w:r>
        <w:rPr/>
      </w:r>
    </w:p>
    <w:p>
      <w:pPr>
        <w:pStyle w:val="Heading1"/>
        <w:pBdr>
          <w:top w:val="single" w:sz="12" w:space="7" w:color="000000"/>
        </w:pBdr>
        <w:rPr/>
      </w:pPr>
      <w:bookmarkStart w:id="5" w:name="__RefHeading___Toc230_801138078"/>
      <w:bookmarkEnd w:id="5"/>
      <w:r>
        <w:rPr>
          <w:rFonts w:cs="Arial Black" w:ascii="Arial Black" w:hAnsi="Arial Black"/>
          <w:b w:val="false"/>
          <w:i w:val="false"/>
          <w:color w:val="000000"/>
          <w:sz w:val="28"/>
        </w:rPr>
        <w:t>4. Programme of work</w:t>
      </w:r>
    </w:p>
    <w:p>
      <w:pPr>
        <w:pStyle w:val="Normal"/>
        <w:rPr/>
      </w:pPr>
      <w:r>
        <w:rPr>
          <w:rFonts w:cs="Calibri"/>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Calibri"/>
          <w:b w:val="false"/>
          <w:i w:val="false"/>
        </w:rPr>
        <w:t>Phases may overlap, but each phase depends on the endorsed outputs of the one before it.</w:t>
      </w:r>
    </w:p>
    <w:p>
      <w:pPr>
        <w:pStyle w:val="Heading2"/>
        <w:rPr/>
      </w:pPr>
      <w:r>
        <w:rPr>
          <w:rFonts w:cs="Calibri"/>
          <w:b/>
          <w:i w:val="false"/>
          <w:color w:val="000000"/>
          <w:sz w:val="22"/>
        </w:rPr>
        <w:t>Phase 1: Define (September 2026)</w:t>
      </w:r>
    </w:p>
    <w:p>
      <w:pPr>
        <w:pStyle w:val="Normal"/>
        <w:rPr/>
      </w:pPr>
      <w:r>
        <w:rPr>
          <w:rFonts w:cs="Calibri"/>
          <w:b w:val="false"/>
          <w:i w:val="false"/>
        </w:rPr>
        <w:t>Confirm terminology, governance, roles and responsibilities. Establish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Calibri"/>
          <w:b/>
          <w:i w:val="false"/>
        </w:rPr>
        <w:t>Key output.</w:t>
      </w:r>
      <w:r>
        <w:rPr>
          <w:rFonts w:cs="Calibri"/>
          <w:b w:val="false"/>
          <w:i w:val="false"/>
        </w:rPr>
        <w:t xml:space="preserve"> Endorsed drafting baseline and confirmed interim governance.</w:t>
      </w:r>
    </w:p>
    <w:p>
      <w:pPr>
        <w:pStyle w:val="Heading2"/>
        <w:rPr/>
      </w:pPr>
      <w:r>
        <w:rPr>
          <w:rFonts w:cs="Calibri"/>
          <w:b/>
          <w:i w:val="false"/>
          <w:color w:val="000000"/>
          <w:sz w:val="22"/>
        </w:rPr>
        <w:t>Phase 2: Understand (September 2026)</w:t>
      </w:r>
    </w:p>
    <w:p>
      <w:pPr>
        <w:pStyle w:val="Normal"/>
        <w:rPr/>
      </w:pPr>
      <w:r>
        <w:rPr>
          <w:rFonts w:cs="Calibri"/>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doctrinal and policy holdings;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capability outcomes, training products and methods;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delivery organisations;</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Calibri"/>
          <w:b w:val="false"/>
          <w:color w:val="000000"/>
        </w:rPr>
        <w:t>–</w:t>
      </w:r>
      <w:r>
        <w:rPr>
          <w:rFonts w:cs="Calibri"/>
          <w:b w:val="false"/>
          <w:color w:val="000000"/>
        </w:rPr>
        <w:tab/>
      </w:r>
      <w:r>
        <w:rPr>
          <w:rFonts w:cs="Calibri"/>
          <w:b w:val="false"/>
          <w:i w:val="false"/>
        </w:rPr>
        <w:t>gaps, duplication and integration opportunities.</w:t>
      </w:r>
    </w:p>
    <w:p>
      <w:pPr>
        <w:pStyle w:val="Normal"/>
        <w:rPr/>
      </w:pPr>
      <w:r>
        <w:rPr>
          <w:rFonts w:cs="Calibri"/>
          <w:b w:val="false"/>
          <w:i w:val="false"/>
        </w:rPr>
        <w:t>Apply the combat-specificity test in section 2 to distinguish products that contribute to the broader Performance Under Pressure capability from those that support its combat-specific expression. Assess COGCON as one developmental product, establishing what it delivers, who owns it and whether it can be scaled.</w:t>
      </w:r>
    </w:p>
    <w:p>
      <w:pPr>
        <w:pStyle w:val="Normal"/>
        <w:rPr/>
      </w:pPr>
      <w:r>
        <w:rPr>
          <w:rFonts w:cs="Calibri"/>
          <w:b/>
          <w:i w:val="false"/>
        </w:rPr>
        <w:t>Key output.</w:t>
      </w:r>
      <w:r>
        <w:rPr>
          <w:rFonts w:cs="Calibri"/>
          <w:b w:val="false"/>
          <w:i w:val="false"/>
        </w:rPr>
        <w:t xml:space="preserve"> A capability and product baseline identifying what already exists, gaps, duplication and integration opportunities.</w:t>
      </w:r>
    </w:p>
    <w:p>
      <w:pPr>
        <w:pStyle w:val="Heading2"/>
        <w:rPr/>
      </w:pPr>
      <w:r>
        <w:rPr>
          <w:rFonts w:cs="Calibri"/>
          <w:b/>
          <w:i w:val="false"/>
          <w:color w:val="000000"/>
          <w:sz w:val="22"/>
        </w:rPr>
        <w:t>Phase 3: Design (October 2026)</w:t>
      </w:r>
    </w:p>
    <w:p>
      <w:pPr>
        <w:pStyle w:val="Normal"/>
        <w:rPr/>
      </w:pPr>
      <w:r>
        <w:rPr>
          <w:rFonts w:cs="Calibri"/>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Calibri"/>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performance, product quality and organisational adoption will be assessed.</w:t>
      </w:r>
    </w:p>
    <w:p>
      <w:pPr>
        <w:pStyle w:val="Normal"/>
        <w:rPr/>
      </w:pPr>
      <w:r>
        <w:rPr>
          <w:rFonts w:cs="Calibri"/>
          <w:b/>
          <w:i w:val="false"/>
        </w:rPr>
        <w:t>Key output.</w:t>
      </w:r>
      <w:r>
        <w:rPr>
          <w:rFonts w:cs="Calibri"/>
          <w:b w:val="false"/>
          <w:i w:val="false"/>
        </w:rPr>
        <w:t xml:space="preserve"> Draft Framework v1.0, comprising developmental outcomes, product architecture, governance arrangements and assurance criteria.</w:t>
      </w:r>
    </w:p>
    <w:p>
      <w:pPr>
        <w:pStyle w:val="Heading2"/>
        <w:rPr/>
      </w:pPr>
      <w:r>
        <w:rPr>
          <w:rFonts w:cs="Calibri"/>
          <w:b/>
          <w:i w:val="false"/>
          <w:color w:val="000000"/>
          <w:sz w:val="22"/>
        </w:rPr>
        <w:t>Phase 4: Validate (November 2026)</w:t>
      </w:r>
    </w:p>
    <w:p>
      <w:pPr>
        <w:pStyle w:val="Normal"/>
        <w:rPr/>
      </w:pPr>
      <w:r>
        <w:rPr>
          <w:rFonts w:cs="Calibri"/>
          <w:b w:val="false"/>
          <w:i w:val="false"/>
        </w:rPr>
        <w:t>Refine the framework with key stakeholders: convene ACS, NZALC, HPC, APS, ILD, selected training providers and units to test whether the framework is clear, coherent and workable. Where time and unit availability permit, bounded validation activities or pilots will be conducted within this phase or earlier alongside Phase 2 or Phase 3.</w:t>
      </w:r>
    </w:p>
    <w:p>
      <w:pPr>
        <w:pStyle w:val="Normal"/>
        <w:rPr/>
      </w:pPr>
      <w:r>
        <w:rPr>
          <w:rFonts w:cs="Calibri"/>
          <w:b/>
          <w:i w:val="false"/>
        </w:rPr>
        <w:t>Key output.</w:t>
      </w:r>
      <w:r>
        <w:rPr>
          <w:rFonts w:cs="Calibri"/>
          <w:b w:val="false"/>
          <w:i w:val="false"/>
        </w:rPr>
        <w:t xml:space="preserve"> A validated framework and product architecture, with stakeholder positions recorded.</w:t>
      </w:r>
    </w:p>
    <w:p>
      <w:pPr>
        <w:pStyle w:val="Heading2"/>
        <w:rPr/>
      </w:pPr>
      <w:r>
        <w:rPr>
          <w:rFonts w:cs="Calibri"/>
          <w:b/>
          <w:i w:val="false"/>
          <w:color w:val="000000"/>
          <w:sz w:val="22"/>
        </w:rPr>
        <w:t>Phase 5: Implement (late November 2026)</w:t>
      </w:r>
    </w:p>
    <w:p>
      <w:pPr>
        <w:pStyle w:val="Normal"/>
        <w:rPr/>
      </w:pPr>
      <w:r>
        <w:rPr>
          <w:rFonts w:cs="Calibri"/>
          <w:b w:val="false"/>
          <w:i w:val="false"/>
        </w:rPr>
        <w:t>Deliver the Combat Mindset Framework for approval and implementation: the validated product architecture; the proposed governance and assurance model; and an implementation plan.</w:t>
      </w:r>
    </w:p>
    <w:p>
      <w:pPr>
        <w:pStyle w:val="Normal"/>
        <w:rPr/>
      </w:pPr>
      <w:r>
        <w:rPr>
          <w:rFonts w:cs="Calibri"/>
          <w:b w:val="false"/>
          <w:i w:val="false"/>
        </w:rPr>
        <w:t>Further evidence development, product alignment and assurance maturity will continue through implementation.</w:t>
      </w:r>
    </w:p>
    <w:p>
      <w:pPr>
        <w:pStyle w:val="Normal"/>
        <w:rPr/>
      </w:pPr>
      <w:r>
        <w:rPr>
          <w:rFonts w:cs="Calibri"/>
          <w:b/>
          <w:i w:val="false"/>
        </w:rPr>
        <w:t>Key output.</w:t>
      </w:r>
      <w:r>
        <w:rPr>
          <w:rFonts w:cs="Calibri"/>
          <w:b w:val="false"/>
          <w:i w:val="false"/>
        </w:rPr>
        <w:t xml:space="preserve"> Framework v1.0 submitted for approval, with an implementation plan and back brief to COMDT ACS.</w:t>
      </w:r>
    </w:p>
    <w:p>
      <w:pPr>
        <w:pStyle w:val="Normal"/>
        <w:spacing w:before="60" w:after="60"/>
        <w:rPr/>
      </w:pPr>
      <w:r>
        <w:rPr/>
      </w:r>
    </w:p>
    <w:p>
      <w:pPr>
        <w:pStyle w:val="Heading1"/>
        <w:pBdr>
          <w:top w:val="single" w:sz="12" w:space="7" w:color="000000"/>
        </w:pBdr>
        <w:rPr/>
      </w:pPr>
      <w:bookmarkStart w:id="6" w:name="__RefHeading___Toc232_801138078"/>
      <w:bookmarkEnd w:id="6"/>
      <w:r>
        <w:rPr>
          <w:rFonts w:cs="Arial Black" w:ascii="Arial Black" w:hAnsi="Arial Black"/>
          <w:b w:val="false"/>
          <w:i w:val="false"/>
          <w:color w:val="000000"/>
          <w:sz w:val="28"/>
        </w:rPr>
        <w:t>5. Recommendations</w:t>
      </w:r>
    </w:p>
    <w:p>
      <w:pPr>
        <w:pStyle w:val="Normal"/>
        <w:rPr/>
      </w:pPr>
      <w:r>
        <w:rPr>
          <w:rFonts w:cs="Calibri"/>
          <w:b w:val="false"/>
          <w:i w:val="false"/>
        </w:rPr>
        <w:t>It is recommended that COMDT ACS:</w:t>
      </w:r>
    </w:p>
    <w:p>
      <w:pPr>
        <w:pStyle w:val="Normal"/>
        <w:pBdr>
          <w:left w:val="single" w:sz="16" w:space="10" w:color="D31145"/>
        </w:pBdr>
        <w:tabs>
          <w:tab w:val="clear" w:pos="720"/>
          <w:tab w:val="left" w:pos="567" w:leader="none"/>
        </w:tabs>
        <w:spacing w:before="120" w:after="80"/>
        <w:ind w:hanging="425" w:left="567"/>
        <w:rPr/>
      </w:pPr>
      <w:r>
        <w:rPr>
          <w:rFonts w:cs="Calibri"/>
          <w:b w:val="false"/>
        </w:rPr>
        <w:t>1.</w:t>
        <w:tab/>
      </w:r>
      <w:r>
        <w:rPr>
          <w:rFonts w:cs="Calibri"/>
          <w:b/>
          <w:i w:val="false"/>
        </w:rPr>
        <w:t>Endorse</w:t>
      </w:r>
      <w:r>
        <w:rPr>
          <w:rFonts w:cs="Calibri"/>
          <w:b w:val="false"/>
          <w:i w:val="false"/>
        </w:rPr>
        <w:t xml:space="preserve"> the problem statement.</w:t>
      </w:r>
    </w:p>
    <w:p>
      <w:pPr>
        <w:pStyle w:val="Normal"/>
        <w:pBdr>
          <w:left w:val="single" w:sz="16" w:space="10" w:color="D31145"/>
        </w:pBdr>
        <w:tabs>
          <w:tab w:val="clear" w:pos="720"/>
          <w:tab w:val="left" w:pos="567" w:leader="none"/>
        </w:tabs>
        <w:spacing w:before="120" w:after="80"/>
        <w:ind w:hanging="425" w:left="567"/>
        <w:rPr/>
      </w:pPr>
      <w:r>
        <w:rPr>
          <w:rFonts w:cs="Calibri"/>
          <w:b w:val="false"/>
        </w:rPr>
        <w:t>2.</w:t>
        <w:tab/>
      </w:r>
      <w:r>
        <w:rPr>
          <w:rFonts w:cs="Calibri"/>
          <w:b/>
          <w:i w:val="false"/>
        </w:rPr>
        <w:t>Approve</w:t>
      </w:r>
      <w:r>
        <w:rPr>
          <w:rFonts w:cs="Calibri"/>
          <w:b w:val="false"/>
          <w:i w:val="false"/>
        </w:rPr>
        <w:t xml:space="preserve"> the recommended relationship between Combat Mindset and Performance Under Pressure.</w:t>
      </w:r>
    </w:p>
    <w:p>
      <w:pPr>
        <w:pStyle w:val="Normal"/>
        <w:pBdr>
          <w:left w:val="single" w:sz="16" w:space="10" w:color="D31145"/>
        </w:pBdr>
        <w:tabs>
          <w:tab w:val="clear" w:pos="720"/>
          <w:tab w:val="left" w:pos="567" w:leader="none"/>
        </w:tabs>
        <w:spacing w:before="120" w:after="80"/>
        <w:ind w:hanging="425" w:left="567"/>
        <w:rPr/>
      </w:pPr>
      <w:r>
        <w:rPr>
          <w:rFonts w:cs="Calibri"/>
          <w:b w:val="false"/>
        </w:rPr>
        <w:t>3.</w:t>
        <w:tab/>
      </w:r>
      <w:r>
        <w:rPr>
          <w:rFonts w:cs="Calibri"/>
          <w:b/>
          <w:i w:val="false"/>
        </w:rPr>
        <w:t>Endorse</w:t>
      </w:r>
      <w:r>
        <w:rPr>
          <w:rFonts w:cs="Calibri"/>
          <w:b w:val="false"/>
          <w:i w:val="false"/>
        </w:rPr>
        <w:t xml:space="preserve"> the initial working definitions of Combat Mindset, Performance Under Pressure and the Combat Mindset Framework as the drafting baseline for the programme.</w:t>
      </w:r>
    </w:p>
    <w:p>
      <w:pPr>
        <w:pStyle w:val="Normal"/>
        <w:pBdr>
          <w:left w:val="single" w:sz="16" w:space="10" w:color="D31145"/>
        </w:pBdr>
        <w:tabs>
          <w:tab w:val="clear" w:pos="720"/>
          <w:tab w:val="left" w:pos="567" w:leader="none"/>
        </w:tabs>
        <w:spacing w:before="120" w:after="80"/>
        <w:ind w:hanging="425" w:left="567"/>
        <w:rPr/>
      </w:pPr>
      <w:r>
        <w:rPr>
          <w:rFonts w:cs="Calibri"/>
          <w:b w:val="false"/>
        </w:rPr>
        <w:t>4.</w:t>
        <w:tab/>
      </w:r>
      <w:r>
        <w:rPr>
          <w:rFonts w:cs="Calibri"/>
          <w:b/>
          <w:i w:val="false"/>
        </w:rPr>
        <w:t>Approve</w:t>
      </w:r>
      <w:r>
        <w:rPr>
          <w:rFonts w:cs="Calibri"/>
          <w:b w:val="false"/>
          <w:i w:val="false"/>
        </w:rPr>
        <w:t xml:space="preserve"> commencement of the proposed programme of work.</w:t>
      </w:r>
    </w:p>
    <w:p>
      <w:pPr>
        <w:pStyle w:val="Normal"/>
        <w:pBdr>
          <w:left w:val="single" w:sz="16" w:space="10" w:color="D31145"/>
        </w:pBdr>
        <w:tabs>
          <w:tab w:val="clear" w:pos="720"/>
          <w:tab w:val="left" w:pos="567" w:leader="none"/>
        </w:tabs>
        <w:spacing w:before="120" w:after="80"/>
        <w:ind w:hanging="425" w:left="567"/>
        <w:rPr/>
      </w:pPr>
      <w:r>
        <w:rPr>
          <w:rFonts w:cs="Calibri"/>
          <w:b w:val="false"/>
        </w:rPr>
        <w:t>5.</w:t>
        <w:tab/>
      </w:r>
      <w:r>
        <w:rPr>
          <w:rFonts w:cs="Calibri"/>
          <w:b/>
          <w:i w:val="false"/>
        </w:rPr>
        <w:t>Note</w:t>
      </w:r>
      <w:r>
        <w:rPr>
          <w:rFonts w:cs="Calibri"/>
          <w:b w:val="false"/>
          <w:i w:val="false"/>
        </w:rPr>
        <w:t xml:space="preserve"> that the programme timeframes are aspirational and that activity may extend into early 2027.</w:t>
      </w:r>
    </w:p>
    <w:sectPr>
      <w:headerReference w:type="default" r:id="rId16"/>
      <w:headerReference w:type="first" r:id="rId17"/>
      <w:footerReference w:type="even" r:id="rId18"/>
      <w:footerReference w:type="default" r:id="rId19"/>
      <w:footerReference w:type="first" r:id="rId20"/>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2</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3</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535" w:leader="none"/>
        <w:tab w:val="right" w:pos="9071" w:leader="none"/>
      </w:tabs>
      <w:spacing w:before="40" w:after="0"/>
      <w:rPr/>
    </w:pPr>
    <w:r>
      <w:rPr>
        <w:rFonts w:cs="Calibri"/>
        <w:b w:val="false"/>
        <w:color w:val="000000"/>
        <w:sz w:val="17"/>
      </w:rPr>
      <w:t>Combat Mindset Framework Proposal</w:t>
      <w:tab/>
      <w:t>ACS 2026</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8</w:t>
    </w:r>
    <w:r>
      <w:rPr>
        <w:sz w:val="17"/>
        <w:rFonts w:cs="Calibri"/>
      </w:rPr>
      <w:fldChar w:fldCharType="end"/>
    </w:r>
    <w:r>
      <w:rPr>
        <w:rFonts w:cs="Calibri"/>
        <w:b w:val="false"/>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8</w:t>
    </w:r>
    <w:r>
      <w:rPr>
        <w:sz w:val="17"/>
        <w:rFonts w:cs="Calibri"/>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20"/>
      <w:jc w:val="left"/>
    </w:pPr>
    <w:rPr>
      <w:rFonts w:ascii="Calibri" w:hAnsi="Calibri" w:cs="Calibri"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260" w:after="160"/>
      <w:outlineLvl w:val="0"/>
    </w:pPr>
    <w:rPr>
      <w:rFonts w:ascii="Calibri" w:hAnsi="Calibri" w:cs="Calibri"/>
      <w:b w:val="false"/>
      <w:color w:val="000000"/>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Calibri" w:hAnsi="Calibri" w:cs="Calibri"/>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1645</Words>
  <Characters>10433</Characters>
  <CharactersWithSpaces>11982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2026-08-06T04:33:06Z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