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200"/>
        <w:rPr/>
      </w:pPr>
      <w:r>
        <w:rPr/>
        <w:drawing>
          <wp:inline distT="0" distB="0" distL="0" distR="0">
            <wp:extent cx="1511935" cy="34544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511935" cy="345440"/>
                    </a:xfrm>
                    <a:prstGeom prst="rect">
                      <a:avLst/>
                    </a:prstGeom>
                  </pic:spPr>
                </pic:pic>
              </a:graphicData>
            </a:graphic>
          </wp:inline>
        </w:drawing>
      </w:r>
    </w:p>
    <w:p>
      <w:pPr>
        <w:pStyle w:val="Normal"/>
        <w:keepNext w:val="true"/>
        <w:pageBreakBefore w:val="false"/>
        <w:spacing w:before="0" w:after="0"/>
        <w:rPr/>
      </w:pPr>
      <w:r>
        <w:rPr>
          <w:rFonts w:cs="Arial"/>
          <w:b/>
          <w:i w:val="false"/>
          <w:color w:val="002516"/>
          <w:spacing w:val="40"/>
          <w:sz w:val="20"/>
        </w:rPr>
        <w:t>A18009</w:t>
      </w:r>
    </w:p>
    <w:p>
      <w:pPr>
        <w:pStyle w:val="Normal"/>
        <w:keepNext w:val="true"/>
        <w:pageBreakBefore w:val="false"/>
        <w:spacing w:before="0" w:after="80"/>
        <w:rPr/>
      </w:pPr>
      <w:r>
        <w:rPr>
          <w:rFonts w:cs="Arial"/>
          <w:b/>
          <w:color w:val="000000"/>
          <w:sz w:val="48"/>
        </w:rPr>
        <w:t>ELDA Command</w:t>
      </w:r>
    </w:p>
    <w:p>
      <w:pPr>
        <w:pStyle w:val="Normal"/>
        <w:keepNext w:val="true"/>
        <w:pBdr>
          <w:bottom w:val="single" w:sz="18" w:space="8" w:color="C62026"/>
        </w:pBdr>
        <w:spacing w:before="0" w:after="120"/>
        <w:rPr/>
      </w:pPr>
      <w:r>
        <w:rPr>
          <w:rFonts w:cs="Arial"/>
          <w:b/>
          <w:i w:val="false"/>
          <w:color w:val="002516"/>
          <w:spacing w:val="30"/>
          <w:sz w:val="19"/>
        </w:rPr>
        <w:t>PROPOSED REVISED COURSE DATA SHEET</w:t>
      </w:r>
    </w:p>
    <w:p>
      <w:pPr>
        <w:pStyle w:val="Normal"/>
        <w:keepNext w:val="true"/>
        <w:spacing w:before="120" w:after="40"/>
        <w:rPr/>
      </w:pPr>
      <w:r>
        <w:rPr>
          <w:rFonts w:cs="Arial"/>
          <w:b w:val="false"/>
          <w:i w:val="false"/>
          <w:color w:val="002516"/>
          <w:sz w:val="20"/>
        </w:rPr>
        <w:t>New Zealand Army Leadership Centre | Army Command School</w:t>
      </w:r>
    </w:p>
    <w:p>
      <w:pPr>
        <w:pStyle w:val="Normal"/>
        <w:keepNext w:val="true"/>
        <w:spacing w:before="0" w:after="0"/>
        <w:rPr/>
      </w:pPr>
      <w:r>
        <w:rPr>
          <w:rFonts w:cs="Arial"/>
          <w:b/>
          <w:i w:val="false"/>
          <w:color w:val="002516"/>
          <w:sz w:val="18"/>
        </w:rPr>
        <w:t xml:space="preserve">Reference: </w:t>
      </w:r>
      <w:r>
        <w:rPr>
          <w:rFonts w:cs="Arial"/>
          <w:b w:val="false"/>
          <w:i w:val="false"/>
          <w:color w:val="000000"/>
          <w:sz w:val="18"/>
        </w:rPr>
        <w:t>SOLO Course Data Sheet A18009, AL 2.5</w:t>
      </w:r>
      <w:r>
        <w:rPr>
          <w:rFonts w:cs="Arial"/>
          <w:b w:val="false"/>
          <w:i w:val="false"/>
          <w:color w:val="A89662"/>
          <w:sz w:val="18"/>
        </w:rPr>
        <w:t xml:space="preserve">   ·   </w:t>
      </w:r>
      <w:r>
        <w:rPr>
          <w:rFonts w:cs="Arial"/>
          <w:b/>
          <w:i w:val="false"/>
          <w:color w:val="002516"/>
          <w:sz w:val="18"/>
        </w:rPr>
        <w:t xml:space="preserve">Date: </w:t>
      </w:r>
      <w:r>
        <w:rPr>
          <w:rFonts w:cs="Arial"/>
          <w:b w:val="false"/>
          <w:i w:val="false"/>
          <w:color w:val="000000"/>
          <w:sz w:val="18"/>
        </w:rPr>
        <w:t>September 2026</w:t>
      </w:r>
      <w:r>
        <w:rPr>
          <w:rFonts w:cs="Arial"/>
          <w:b w:val="false"/>
          <w:i w:val="false"/>
          <w:color w:val="A89662"/>
          <w:sz w:val="18"/>
        </w:rPr>
        <w:t xml:space="preserve">   ·   </w:t>
      </w:r>
      <w:r>
        <w:rPr>
          <w:rFonts w:cs="Arial"/>
          <w:b/>
          <w:i w:val="false"/>
          <w:color w:val="002516"/>
          <w:sz w:val="18"/>
        </w:rPr>
        <w:t xml:space="preserve">Status: </w:t>
      </w:r>
      <w:r>
        <w:rPr>
          <w:rFonts w:cs="Arial"/>
          <w:b/>
          <w:i w:val="false"/>
          <w:color w:val="C62026"/>
          <w:sz w:val="18"/>
        </w:rPr>
        <w:t>Draft for Validation</w:t>
      </w:r>
    </w:p>
    <w:p>
      <w:pPr>
        <w:pStyle w:val="Normal"/>
        <w:spacing w:before="120" w:after="40"/>
        <w:rPr/>
      </w:pPr>
      <w:r>
        <w:rPr>
          <w:rFonts w:cs="Arial"/>
          <w:b w:val="false"/>
          <w:i w:val="false"/>
          <w:color w:val="8A8A8A"/>
          <w:spacing w:val="15"/>
          <w:sz w:val="17"/>
        </w:rPr>
        <w:t>LEAD TEAMS</w:t>
      </w:r>
      <w:r>
        <w:rPr>
          <w:rFonts w:cs="Arial"/>
          <w:b w:val="false"/>
          <w:i w:val="false"/>
          <w:color w:val="A89662"/>
          <w:sz w:val="17"/>
        </w:rPr>
        <w:t xml:space="preserve">  →  </w:t>
      </w:r>
      <w:r>
        <w:rPr>
          <w:rFonts w:cs="Arial"/>
          <w:b w:val="false"/>
          <w:i w:val="false"/>
          <w:color w:val="8A8A8A"/>
          <w:spacing w:val="15"/>
          <w:sz w:val="17"/>
        </w:rPr>
        <w:t>LEAD LEADERS</w:t>
      </w:r>
      <w:r>
        <w:rPr>
          <w:rFonts w:cs="Arial"/>
          <w:b w:val="false"/>
          <w:i w:val="false"/>
          <w:color w:val="A89662"/>
          <w:sz w:val="17"/>
        </w:rPr>
        <w:t xml:space="preserve">  →  </w:t>
      </w:r>
      <w:r>
        <w:rPr>
          <w:rFonts w:cs="Arial"/>
          <w:b w:val="false"/>
          <w:i w:val="false"/>
          <w:color w:val="8A8A8A"/>
          <w:spacing w:val="15"/>
          <w:sz w:val="17"/>
        </w:rPr>
        <w:t>LEAD SYSTEMS</w:t>
      </w:r>
      <w:r>
        <w:rPr>
          <w:rFonts w:cs="Arial"/>
          <w:b w:val="false"/>
          <w:i w:val="false"/>
          <w:color w:val="A89662"/>
          <w:sz w:val="17"/>
        </w:rPr>
        <w:t xml:space="preserve">  →  </w:t>
      </w:r>
      <w:r>
        <w:rPr>
          <w:rFonts w:cs="Arial"/>
          <w:b/>
          <w:i w:val="false"/>
          <w:color w:val="002516"/>
          <w:spacing w:val="15"/>
          <w:sz w:val="17"/>
        </w:rPr>
        <w:t>COMMAND</w:t>
      </w:r>
    </w:p>
    <w:p>
      <w:pPr>
        <w:pStyle w:val="Heading1"/>
        <w:rPr/>
      </w:pPr>
      <w:r>
        <w:rPr>
          <w:rFonts w:cs="Arial"/>
          <w:b/>
          <w:i w:val="false"/>
          <w:color w:val="002516"/>
          <w:sz w:val="25"/>
        </w:rPr>
        <w:t>Course Information</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ID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A18009</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Name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ELDA Command</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Service</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Army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Primary Learning Provider</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New Zealand Army Leadership Centre (NZALC)</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Duration</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8–10 Training Days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Delivery Method</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Face-to-Face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Course Aim</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The aim of ELDA Command is to develop the collective effectiveness of command teams by strengthening shared understanding, cohesion, judgement and leadership alignment, enabling them to create the conditions for effective organisational performance in complex and demanding environments.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Qualifications / Certifications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Retain the existing DLMS qualifications/certifications, subject to confirmation that these accurately represent the qualification or certification awarded:</w:t>
            </w:r>
            <w:r>
              <w:rPr/>
              <w:br/>
            </w:r>
            <w:r>
              <w:rPr>
                <w:rFonts w:cs="Arial"/>
                <w:b w:val="false"/>
                <w:i w:val="false"/>
                <w:sz w:val="19"/>
              </w:rPr>
              <w:t>• AA18001 ELDA Alpine Touring</w:t>
            </w:r>
            <w:r>
              <w:rPr/>
              <w:br/>
            </w:r>
            <w:r>
              <w:rPr>
                <w:rFonts w:cs="Arial"/>
                <w:b w:val="false"/>
                <w:i w:val="false"/>
                <w:sz w:val="19"/>
              </w:rPr>
              <w:t>• AA18002 ELDA Rock Climbing</w:t>
            </w:r>
            <w:r>
              <w:rPr/>
              <w:br/>
            </w:r>
            <w:r>
              <w:rPr>
                <w:rFonts w:cs="Arial"/>
                <w:b w:val="false"/>
                <w:i w:val="false"/>
                <w:sz w:val="19"/>
              </w:rPr>
              <w:t>• AA18003 ELDA Sea Kayaking</w:t>
            </w:r>
            <w:r>
              <w:rPr/>
              <w:br/>
            </w:r>
            <w:r>
              <w:rPr>
                <w:rFonts w:cs="Arial"/>
                <w:b w:val="false"/>
                <w:i w:val="false"/>
                <w:sz w:val="19"/>
              </w:rPr>
              <w:t>• AA18004 ELDA White Water Kayaking</w:t>
            </w:r>
            <w:r>
              <w:rPr/>
              <w:br/>
            </w:r>
            <w:r>
              <w:rPr>
                <w:rFonts w:cs="Arial"/>
                <w:b w:val="false"/>
                <w:i w:val="false"/>
                <w:sz w:val="19"/>
              </w:rPr>
              <w:t>• AA18005 ELDA Wilderness</w:t>
            </w:r>
            <w:r>
              <w:rPr/>
              <w:br/>
            </w:r>
            <w:r>
              <w:rPr>
                <w:rFonts w:cs="Arial"/>
                <w:b w:val="false"/>
                <w:i w:val="false"/>
                <w:sz w:val="19"/>
              </w:rPr>
              <w:t>• AA18006 ELDA Cave</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Target Learners</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1. Established or forming command teams and leadership groups, including unit headquarters, command teams, principal staff officers and subordinate command teams, where collective leadership effectiveness is critical to organisational performance.</w:t>
            </w:r>
            <w:r>
              <w:rPr/>
              <w:br/>
            </w:r>
            <w:r>
              <w:rPr>
                <w:rFonts w:cs="Arial"/>
                <w:b w:val="false"/>
                <w:i w:val="false"/>
                <w:sz w:val="19"/>
              </w:rPr>
              <w:t>2. Other appropriately constituted senior leadership groups, as determined by the Learning Provider in consultation with the relevant command and career management authorities.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spacing w:lineRule="auto" w:line="268" w:before="0" w:after="0"/>
              <w:rPr/>
            </w:pPr>
            <w:r>
              <w:rPr>
                <w:rFonts w:cs="Arial"/>
                <w:b/>
                <w:i w:val="false"/>
                <w:color w:val="002516"/>
                <w:sz w:val="18"/>
              </w:rPr>
              <w:t>Learner Competency</w:t>
            </w:r>
          </w:p>
        </w:tc>
        <w:tc>
          <w:tcPr>
            <w:tcW w:w="6689" w:type="dxa"/>
            <w:tcBorders>
              <w:top w:val="single" w:sz="4" w:space="0" w:color="D9D9D2"/>
              <w:left w:val="single" w:sz="4" w:space="0" w:color="D9D9D2"/>
              <w:bottom w:val="single" w:sz="4" w:space="0" w:color="D9D9D2"/>
              <w:right w:val="single" w:sz="4" w:space="0" w:color="A89662"/>
            </w:tcBorders>
          </w:tcPr>
          <w:p>
            <w:pPr>
              <w:pStyle w:val="Normal"/>
              <w:spacing w:lineRule="auto" w:line="268" w:before="0" w:after="0"/>
              <w:rPr/>
            </w:pPr>
            <w:r>
              <w:rPr>
                <w:rFonts w:cs="Arial"/>
                <w:b w:val="false"/>
                <w:i w:val="false"/>
                <w:sz w:val="19"/>
              </w:rPr>
              <w:t>Learners will be able to contribute effectively to a cohesive command team, applying self-awareness, shared understanding and sound judgement to align leadership effort, strengthen command relationships and create the conditions for effective organisational performance.</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Next Step</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1. Apply the shared understanding, working practices and leadership alignment developed on ELDA Command within the command team's current appointments and operating rhythm.</w:t>
            </w:r>
            <w:r>
              <w:rPr/>
              <w:br/>
            </w:r>
            <w:r>
              <w:rPr>
                <w:rFonts w:cs="Arial"/>
                <w:b w:val="false"/>
                <w:i w:val="false"/>
                <w:sz w:val="19"/>
              </w:rPr>
              <w:t>2. Continue deliberate collective reflection, feedback and adaptation of command behaviour as the team's context, composition and responsibilities change.</w:t>
            </w:r>
            <w:r>
              <w:rPr/>
              <w:br/>
            </w:r>
            <w:r>
              <w:rPr>
                <w:rFonts w:cs="Arial"/>
                <w:b w:val="false"/>
                <w:i w:val="false"/>
                <w:sz w:val="19"/>
              </w:rPr>
              <w:t>3. Review and update individual Leadership Development Plans (LDPs) to reflect the command and leadership development priorities identified through the course.</w:t>
            </w:r>
          </w:p>
        </w:tc>
      </w:tr>
    </w:tbl>
    <w:p>
      <w:pPr>
        <w:pStyle w:val="Normal"/>
        <w:spacing w:before="0" w:after="120"/>
        <w:rPr/>
      </w:pPr>
      <w:r>
        <w:rPr/>
      </w:r>
    </w:p>
    <w:p>
      <w:pPr>
        <w:pStyle w:val="Heading1"/>
        <w:rPr/>
      </w:pPr>
      <w:r>
        <w:rPr>
          <w:rFonts w:cs="Arial"/>
          <w:b/>
          <w:i w:val="false"/>
          <w:color w:val="002516"/>
          <w:sz w:val="25"/>
        </w:rPr>
        <w:t>Course Entry Requirements</w:t>
      </w:r>
    </w:p>
    <w:p>
      <w:pPr>
        <w:pStyle w:val="Normal"/>
        <w:rPr/>
      </w:pPr>
      <w:r>
        <w:rPr>
          <w:rFonts w:cs="Arial"/>
          <w:b w:val="false"/>
          <w:i w:val="false"/>
        </w:rPr>
        <w:t>All of the following:</w:t>
      </w:r>
    </w:p>
    <w:p>
      <w:pPr>
        <w:pStyle w:val="Normal"/>
        <w:rPr/>
      </w:pPr>
      <w:r>
        <w:rPr>
          <w:rFonts w:cs="Arial"/>
          <w:b w:val="false"/>
          <w:i w:val="false"/>
        </w:rPr>
        <w:t>Retain current formal DLMS requirements, subject to confirmation against current NZDF policy:</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Medical: A4 G3 Z1 or higher.</w:t>
      </w:r>
    </w:p>
    <w:p>
      <w:pPr>
        <w:pStyle w:val="Normal"/>
        <w:tabs>
          <w:tab w:val="clear" w:pos="720"/>
          <w:tab w:val="left" w:pos="397" w:leader="none"/>
        </w:tabs>
        <w:spacing w:before="0" w:after="40"/>
        <w:ind w:hanging="238" w:left="397"/>
        <w:rPr/>
      </w:pPr>
      <w:r>
        <w:rPr>
          <w:rFonts w:cs="Arial"/>
          <w:b/>
          <w:color w:val="002516"/>
        </w:rPr>
        <w:t>•</w:t>
      </w:r>
      <w:r>
        <w:rPr>
          <w:rFonts w:cs="Arial"/>
          <w:b/>
          <w:color w:val="002516"/>
        </w:rPr>
        <w:tab/>
      </w:r>
      <w:r>
        <w:rPr>
          <w:rFonts w:cs="Arial"/>
          <w:b w:val="false"/>
          <w:i w:val="false"/>
        </w:rPr>
        <w:t>Fitness: Pass or higher.</w:t>
      </w:r>
    </w:p>
    <w:p>
      <w:pPr>
        <w:pStyle w:val="Normal"/>
        <w:keepNext w:val="true"/>
        <w:spacing w:before="240" w:after="80"/>
        <w:rPr/>
      </w:pPr>
      <w:r>
        <w:rPr>
          <w:rFonts w:cs="Arial"/>
          <w:b/>
          <w:i w:val="false"/>
          <w:color w:val="002516"/>
          <w:sz w:val="21"/>
        </w:rPr>
        <w:t>Manual Checks: Learning Provider Checks</w:t>
      </w:r>
    </w:p>
    <w:p>
      <w:pPr>
        <w:pStyle w:val="Normal"/>
        <w:rPr/>
      </w:pPr>
      <w:r>
        <w:rPr>
          <w:rFonts w:cs="Arial"/>
          <w:b w:val="false"/>
          <w:i w:val="false"/>
        </w:rPr>
        <w:t>For NZDF Civilian and non-NZDF personnel:</w:t>
      </w:r>
    </w:p>
    <w:p>
      <w:pPr>
        <w:pStyle w:val="Normal"/>
        <w:tabs>
          <w:tab w:val="clear" w:pos="720"/>
          <w:tab w:val="left" w:pos="397" w:leader="none"/>
        </w:tabs>
        <w:spacing w:before="60" w:after="40"/>
        <w:ind w:hanging="397" w:left="397"/>
        <w:rPr/>
      </w:pPr>
      <w:r>
        <w:rPr>
          <w:rFonts w:cs="Arial"/>
          <w:color w:val="000000"/>
        </w:rPr>
        <w:t>1.</w:t>
        <w:tab/>
      </w:r>
      <w:r>
        <w:rPr>
          <w:rFonts w:cs="Arial"/>
          <w:b w:val="false"/>
          <w:i w:val="false"/>
        </w:rPr>
        <w:t>Meet applicable NZDF medical requirements for attendance on the relevant activity.</w:t>
      </w:r>
    </w:p>
    <w:p>
      <w:pPr>
        <w:pStyle w:val="Normal"/>
        <w:tabs>
          <w:tab w:val="clear" w:pos="720"/>
          <w:tab w:val="left" w:pos="397" w:leader="none"/>
        </w:tabs>
        <w:spacing w:before="60" w:after="40"/>
        <w:ind w:hanging="397" w:left="397"/>
        <w:rPr/>
      </w:pPr>
      <w:r>
        <w:rPr>
          <w:rFonts w:cs="Arial"/>
          <w:color w:val="000000"/>
        </w:rPr>
        <w:t>2.</w:t>
        <w:tab/>
      </w:r>
      <w:r>
        <w:rPr>
          <w:rFonts w:cs="Arial"/>
          <w:b w:val="false"/>
          <w:i w:val="false"/>
        </w:rPr>
        <w:t>Attendance requires CI NZALC approval.</w:t>
      </w:r>
    </w:p>
    <w:p>
      <w:pPr>
        <w:pStyle w:val="Normal"/>
        <w:rPr/>
      </w:pPr>
      <w:r>
        <w:rPr>
          <w:rFonts w:cs="Arial"/>
          <w:b w:val="false"/>
          <w:i w:val="false"/>
        </w:rPr>
        <w:t>The current reference to HQ Joint Forces NZ SOP 10-75 is to be retained only if confirmed as current.</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Entry Testing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Capacity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Minimum: 5</w:t>
            </w:r>
            <w:r>
              <w:rPr/>
              <w:br/>
            </w:r>
            <w:r>
              <w:rPr>
                <w:rFonts w:cs="Arial"/>
                <w:b w:val="false"/>
                <w:i w:val="false"/>
                <w:sz w:val="19"/>
              </w:rPr>
              <w:t>Maximum: 8</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MAP ADFELPS Minimum Rating</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N/A</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NZDF Civilian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NZDF Civilian learners: 2</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International (non-MAP) Suitability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Maximum number of International (non-MAP) learners: 1</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Non-NZDF Personnel Suitability</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Maximum number of non-NZDF learners: 1</w:t>
            </w:r>
          </w:p>
        </w:tc>
      </w:tr>
    </w:tbl>
    <w:p>
      <w:pPr>
        <w:pStyle w:val="Normal"/>
        <w:spacing w:before="0" w:after="120"/>
        <w:rPr/>
      </w:pPr>
      <w:r>
        <w:rPr/>
      </w:r>
    </w:p>
    <w:p>
      <w:pPr>
        <w:pStyle w:val="Heading1"/>
        <w:rPr/>
      </w:pPr>
      <w:r>
        <w:rPr>
          <w:rFonts w:cs="Arial"/>
          <w:b/>
          <w:i w:val="false"/>
          <w:color w:val="002516"/>
          <w:sz w:val="25"/>
        </w:rPr>
        <w:t>Governance and Delivery</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Governance Body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Training Review Board (ATRB), subject to confirmation of current governance arrangements.</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Trade Sponsor / Authority</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Army Command School (ACS)</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Learning Provider</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New Zealand Army Leadership Centre (NZALC)</w:t>
            </w:r>
          </w:p>
        </w:tc>
      </w:tr>
    </w:tbl>
    <w:p>
      <w:pPr>
        <w:pStyle w:val="Normal"/>
        <w:spacing w:before="0" w:after="120"/>
        <w:rPr/>
      </w:pPr>
      <w:r>
        <w:rPr/>
      </w:r>
    </w:p>
    <w:p>
      <w:pPr>
        <w:pStyle w:val="Normal"/>
        <w:keepNext w:val="true"/>
        <w:spacing w:before="240" w:after="80"/>
        <w:rPr/>
      </w:pPr>
      <w:r>
        <w:rPr>
          <w:rFonts w:cs="Arial"/>
          <w:b/>
          <w:i w:val="false"/>
          <w:color w:val="002516"/>
          <w:sz w:val="21"/>
        </w:rPr>
        <w:t>Staff Organisation</w:t>
      </w:r>
    </w:p>
    <w:p>
      <w:pPr>
        <w:pStyle w:val="Normal"/>
        <w:tabs>
          <w:tab w:val="clear" w:pos="720"/>
          <w:tab w:val="left" w:pos="397" w:leader="none"/>
        </w:tabs>
        <w:spacing w:before="60" w:after="40"/>
        <w:ind w:hanging="397" w:left="397"/>
        <w:rPr/>
      </w:pPr>
      <w:r>
        <w:rPr>
          <w:rFonts w:cs="Arial"/>
          <w:color w:val="000000"/>
        </w:rPr>
        <w:t>1.</w:t>
        <w:tab/>
      </w:r>
      <w:r>
        <w:rPr>
          <w:rFonts w:cs="Arial"/>
          <w:b/>
          <w:i w:val="false"/>
        </w:rPr>
        <w:t>Course Manager.</w:t>
      </w:r>
      <w:r>
        <w:rPr>
          <w:rFonts w:cs="Arial"/>
          <w:b w:val="false"/>
          <w:i w:val="false"/>
        </w:rPr>
        <w:t xml:space="preserve"> 1 × NZALC Instructor.</w:t>
      </w:r>
    </w:p>
    <w:p>
      <w:pPr>
        <w:pStyle w:val="Normal"/>
        <w:tabs>
          <w:tab w:val="clear" w:pos="720"/>
          <w:tab w:val="left" w:pos="397" w:leader="none"/>
        </w:tabs>
        <w:spacing w:before="60" w:after="40"/>
        <w:ind w:hanging="397" w:left="397"/>
        <w:rPr/>
      </w:pPr>
      <w:r>
        <w:rPr>
          <w:rFonts w:cs="Arial"/>
          <w:color w:val="000000"/>
        </w:rPr>
        <w:t>2.</w:t>
        <w:tab/>
      </w:r>
      <w:r>
        <w:rPr>
          <w:rFonts w:cs="Arial"/>
          <w:b/>
          <w:i w:val="false"/>
        </w:rPr>
        <w:t>Instructional Staff.</w:t>
      </w:r>
      <w:r>
        <w:rPr>
          <w:rFonts w:cs="Arial"/>
          <w:b w:val="false"/>
          <w:i w:val="false"/>
        </w:rPr>
        <w:t xml:space="preserve"> Sufficient appropriately qualified and experienced NZALC instructors to safely deliver the selected ELDA activity and achieve the required command-development outcomes.</w:t>
      </w:r>
    </w:p>
    <w:p>
      <w:pPr>
        <w:pStyle w:val="Normal"/>
        <w:tabs>
          <w:tab w:val="clear" w:pos="720"/>
          <w:tab w:val="left" w:pos="397" w:leader="none"/>
        </w:tabs>
        <w:spacing w:before="60" w:after="40"/>
        <w:ind w:hanging="397" w:left="397"/>
        <w:rPr/>
      </w:pPr>
      <w:r>
        <w:rPr>
          <w:rFonts w:cs="Arial"/>
          <w:color w:val="000000"/>
        </w:rPr>
        <w:t>3.</w:t>
        <w:tab/>
      </w:r>
      <w:r>
        <w:rPr>
          <w:rFonts w:cs="Arial"/>
          <w:b/>
          <w:i w:val="false"/>
        </w:rPr>
        <w:t>Instructor Ratio.</w:t>
      </w:r>
      <w:r>
        <w:rPr>
          <w:rFonts w:cs="Arial"/>
          <w:b w:val="false"/>
          <w:i w:val="false"/>
        </w:rPr>
        <w:t xml:space="preserve"> A maximum instructor-to-learner ratio of 1:4 is to be maintained where required by the applicable activity and safety framework.</w:t>
      </w:r>
    </w:p>
    <w:p>
      <w:pPr>
        <w:pStyle w:val="Normal"/>
        <w:tabs>
          <w:tab w:val="clear" w:pos="720"/>
          <w:tab w:val="left" w:pos="397" w:leader="none"/>
        </w:tabs>
        <w:spacing w:before="60" w:after="40"/>
        <w:ind w:hanging="397" w:left="397"/>
        <w:rPr/>
      </w:pPr>
      <w:r>
        <w:rPr>
          <w:rFonts w:cs="Arial"/>
          <w:color w:val="000000"/>
        </w:rPr>
        <w:t>4.</w:t>
        <w:tab/>
      </w:r>
      <w:r>
        <w:rPr>
          <w:rFonts w:cs="Arial"/>
          <w:b/>
          <w:i w:val="false"/>
        </w:rPr>
        <w:t>Developmental Facilitation.</w:t>
      </w:r>
      <w:r>
        <w:rPr>
          <w:rFonts w:cs="Arial"/>
          <w:b w:val="false"/>
          <w:i w:val="false"/>
        </w:rPr>
        <w:t xml:space="preserve"> Instructors responsible for developmental facilitation are to possess the experience and capability appropriate to facilitating command-team development at unit level and above.</w:t>
      </w:r>
    </w:p>
    <w:p>
      <w:pPr>
        <w:pStyle w:val="Heading1"/>
        <w:rPr/>
      </w:pPr>
      <w:r>
        <w:rPr>
          <w:rFonts w:cs="Arial"/>
          <w:b/>
          <w:i w:val="false"/>
          <w:color w:val="002516"/>
          <w:sz w:val="25"/>
        </w:rPr>
        <w:t>Nominations and Enrolments</w:t>
      </w:r>
    </w:p>
    <w:tbl>
      <w:tblPr>
        <w:tblW w:w="9298" w:type="dxa"/>
        <w:jc w:val="left"/>
        <w:tblInd w:w="2" w:type="dxa"/>
        <w:tblLayout w:type="fixed"/>
        <w:tblCellMar>
          <w:top w:w="60" w:type="dxa"/>
          <w:left w:w="110" w:type="dxa"/>
          <w:bottom w:w="60" w:type="dxa"/>
          <w:right w:w="110" w:type="dxa"/>
        </w:tblCellMar>
        <w:tblLook w:val="04a0" w:noHBand="0" w:noVBand="1" w:firstColumn="1" w:lastRow="0" w:lastColumn="0" w:firstRow="1"/>
      </w:tblPr>
      <w:tblGrid>
        <w:gridCol w:w="2608"/>
        <w:gridCol w:w="6689"/>
      </w:tblGrid>
      <w:tr>
        <w:trPr>
          <w:cantSplit w:val="true"/>
        </w:trPr>
        <w:tc>
          <w:tcPr>
            <w:tcW w:w="2608" w:type="dxa"/>
            <w:tcBorders>
              <w:top w:val="single" w:sz="4" w:space="0" w:color="A89662"/>
              <w:left w:val="single" w:sz="4" w:space="0" w:color="A89662"/>
              <w:bottom w:val="single" w:sz="4" w:space="0" w:color="D9D9D2"/>
              <w:right w:val="single" w:sz="4" w:space="0" w:color="D9D9D2"/>
            </w:tcBorders>
            <w:shd w:color="auto" w:fill="002516" w:val="clear"/>
          </w:tcPr>
          <w:p>
            <w:pPr>
              <w:pStyle w:val="Normal"/>
              <w:keepNext w:val="true"/>
              <w:spacing w:lineRule="auto" w:line="268" w:before="0" w:after="0"/>
              <w:rPr/>
            </w:pPr>
            <w:r>
              <w:rPr>
                <w:rFonts w:cs="Arial"/>
                <w:b/>
                <w:i w:val="false"/>
                <w:color w:val="FFFFFF"/>
                <w:sz w:val="18"/>
              </w:rPr>
              <w:t>Field</w:t>
            </w:r>
          </w:p>
        </w:tc>
        <w:tc>
          <w:tcPr>
            <w:tcW w:w="6689" w:type="dxa"/>
            <w:tcBorders>
              <w:top w:val="single" w:sz="4" w:space="0" w:color="A89662"/>
              <w:left w:val="single" w:sz="4" w:space="0" w:color="D9D9D2"/>
              <w:bottom w:val="single" w:sz="4" w:space="0" w:color="D9D9D2"/>
              <w:right w:val="single" w:sz="4" w:space="0" w:color="A89662"/>
            </w:tcBorders>
            <w:shd w:color="auto" w:fill="002516" w:val="clear"/>
          </w:tcPr>
          <w:p>
            <w:pPr>
              <w:pStyle w:val="Normal"/>
              <w:keepNext w:val="true"/>
              <w:spacing w:lineRule="auto" w:line="268" w:before="0" w:after="0"/>
              <w:rPr/>
            </w:pPr>
            <w:r>
              <w:rPr>
                <w:rFonts w:cs="Arial"/>
                <w:b/>
                <w:i w:val="false"/>
                <w:color w:val="FFFFFF"/>
                <w:sz w:val="18"/>
              </w:rPr>
              <w:t>Entry</w:t>
            </w:r>
          </w:p>
        </w:tc>
      </w:tr>
      <w:tr>
        <w:trPr>
          <w:cantSplit w:val="true"/>
        </w:trPr>
        <w:tc>
          <w:tcPr>
            <w:tcW w:w="2608" w:type="dxa"/>
            <w:tcBorders>
              <w:top w:val="single" w:sz="4" w:space="0" w:color="D9D9D2"/>
              <w:left w:val="single" w:sz="4" w:space="0" w:color="A89662"/>
              <w:bottom w:val="single" w:sz="4" w:space="0" w:color="D9D9D2"/>
              <w:right w:val="single" w:sz="4" w:space="0" w:color="D9D9D2"/>
            </w:tcBorders>
            <w:shd w:color="auto" w:fill="CDD2B7" w:val="clear"/>
          </w:tcPr>
          <w:p>
            <w:pPr>
              <w:pStyle w:val="Normal"/>
              <w:keepNext w:val="true"/>
              <w:spacing w:lineRule="auto" w:line="268" w:before="0" w:after="0"/>
              <w:rPr/>
            </w:pPr>
            <w:r>
              <w:rPr>
                <w:rFonts w:cs="Arial"/>
                <w:b/>
                <w:i w:val="false"/>
                <w:color w:val="002516"/>
                <w:sz w:val="18"/>
              </w:rPr>
              <w:t>Course Controller</w:t>
            </w:r>
          </w:p>
        </w:tc>
        <w:tc>
          <w:tcPr>
            <w:tcW w:w="6689" w:type="dxa"/>
            <w:tcBorders>
              <w:top w:val="single" w:sz="4" w:space="0" w:color="D9D9D2"/>
              <w:left w:val="single" w:sz="4" w:space="0" w:color="D9D9D2"/>
              <w:bottom w:val="single" w:sz="4" w:space="0" w:color="D9D9D2"/>
              <w:right w:val="single" w:sz="4" w:space="0" w:color="A89662"/>
            </w:tcBorders>
          </w:tcPr>
          <w:p>
            <w:pPr>
              <w:pStyle w:val="Normal"/>
              <w:keepNext w:val="true"/>
              <w:spacing w:lineRule="auto" w:line="268" w:before="0" w:after="0"/>
              <w:rPr/>
            </w:pPr>
            <w:r>
              <w:rPr>
                <w:rFonts w:cs="Arial"/>
                <w:b w:val="false"/>
                <w:i w:val="false"/>
                <w:sz w:val="19"/>
              </w:rPr>
              <w:t>Chief Instructor, New Zealand Army Leadership Centre</w:t>
            </w:r>
          </w:p>
        </w:tc>
      </w:tr>
      <w:tr>
        <w:trPr>
          <w:cantSplit w:val="true"/>
        </w:trPr>
        <w:tc>
          <w:tcPr>
            <w:tcW w:w="2608" w:type="dxa"/>
            <w:tcBorders>
              <w:top w:val="single" w:sz="4" w:space="0" w:color="D9D9D2"/>
              <w:left w:val="single" w:sz="4" w:space="0" w:color="A89662"/>
              <w:bottom w:val="single" w:sz="4" w:space="0" w:color="A89662"/>
              <w:right w:val="single" w:sz="4" w:space="0" w:color="D9D9D2"/>
            </w:tcBorders>
            <w:shd w:color="auto" w:fill="CDD2B7" w:val="clear"/>
          </w:tcPr>
          <w:p>
            <w:pPr>
              <w:pStyle w:val="Normal"/>
              <w:spacing w:lineRule="auto" w:line="268" w:before="0" w:after="0"/>
              <w:rPr/>
            </w:pPr>
            <w:r>
              <w:rPr>
                <w:rFonts w:cs="Arial"/>
                <w:b/>
                <w:i w:val="false"/>
                <w:color w:val="002516"/>
                <w:sz w:val="18"/>
              </w:rPr>
              <w:t>Opening and Closing Times</w:t>
            </w:r>
          </w:p>
        </w:tc>
        <w:tc>
          <w:tcPr>
            <w:tcW w:w="6689" w:type="dxa"/>
            <w:tcBorders>
              <w:top w:val="single" w:sz="4" w:space="0" w:color="D9D9D2"/>
              <w:left w:val="single" w:sz="4" w:space="0" w:color="D9D9D2"/>
              <w:bottom w:val="single" w:sz="4" w:space="0" w:color="A89662"/>
              <w:right w:val="single" w:sz="4" w:space="0" w:color="A89662"/>
            </w:tcBorders>
          </w:tcPr>
          <w:p>
            <w:pPr>
              <w:pStyle w:val="Normal"/>
              <w:spacing w:lineRule="auto" w:line="268" w:before="0" w:after="0"/>
              <w:rPr/>
            </w:pPr>
            <w:r>
              <w:rPr>
                <w:rFonts w:cs="Arial"/>
                <w:b w:val="false"/>
                <w:i w:val="false"/>
                <w:sz w:val="19"/>
              </w:rPr>
              <w:t>Open: D-90</w:t>
            </w:r>
            <w:r>
              <w:rPr/>
              <w:br/>
            </w:r>
            <w:r>
              <w:rPr>
                <w:rFonts w:cs="Arial"/>
                <w:b w:val="false"/>
                <w:i w:val="false"/>
                <w:sz w:val="19"/>
              </w:rPr>
              <w:t>Close: D-15</w:t>
            </w:r>
          </w:p>
        </w:tc>
      </w:tr>
    </w:tbl>
    <w:p>
      <w:pPr>
        <w:pStyle w:val="Normal"/>
        <w:spacing w:before="0" w:after="120"/>
        <w:rPr/>
      </w:pPr>
      <w:r>
        <w:rPr/>
      </w:r>
    </w:p>
    <w:p>
      <w:pPr>
        <w:pStyle w:val="Normal"/>
        <w:keepNext w:val="true"/>
        <w:spacing w:before="240" w:after="80"/>
        <w:rPr/>
      </w:pPr>
      <w:r>
        <w:rPr>
          <w:rFonts w:cs="Arial"/>
          <w:b/>
          <w:i w:val="false"/>
          <w:color w:val="002516"/>
          <w:sz w:val="21"/>
        </w:rPr>
        <w:t>Nominations and Enrolments Process</w:t>
      </w:r>
    </w:p>
    <w:p>
      <w:pPr>
        <w:pStyle w:val="Normal"/>
        <w:rPr/>
      </w:pPr>
      <w:r>
        <w:rPr>
          <w:rFonts w:cs="Arial"/>
          <w:b w:val="false"/>
          <w:i w:val="false"/>
        </w:rPr>
        <w:t>Nominate for this course through the Learning Catalogue or Course Plan.</w:t>
      </w:r>
    </w:p>
    <w:p>
      <w:pPr>
        <w:pStyle w:val="Normal"/>
        <w:rPr/>
      </w:pPr>
      <w:r>
        <w:rPr>
          <w:rFonts w:cs="Arial"/>
          <w:b w:val="false"/>
          <w:i w:val="false"/>
        </w:rPr>
        <w:t>Nominations are normally made for a command team as a whole, by or on behalf of its commander.</w:t>
      </w:r>
    </w:p>
    <w:p>
      <w:pPr>
        <w:pStyle w:val="Normal"/>
        <w:keepNext w:val="true"/>
        <w:spacing w:before="240" w:after="80"/>
        <w:rPr/>
      </w:pPr>
      <w:r>
        <w:rPr>
          <w:rFonts w:cs="Arial"/>
          <w:b/>
          <w:i w:val="false"/>
          <w:color w:val="002516"/>
          <w:sz w:val="21"/>
        </w:rPr>
        <w:t>Priority Learners</w:t>
      </w:r>
    </w:p>
    <w:p>
      <w:pPr>
        <w:pStyle w:val="Normal"/>
        <w:rPr/>
      </w:pPr>
      <w:r>
        <w:rPr>
          <w:rFonts w:cs="Arial"/>
          <w:b w:val="false"/>
          <w:i w:val="false"/>
        </w:rPr>
        <w:t>Priority is given to command teams preparing for, or recently assuming, significant command appointments, and to command teams entering demanding operational or organisational periods, as determined by the Learning Provider in consultation with the relevant command and career management authorities.</w:t>
      </w:r>
    </w:p>
    <w:p>
      <w:pPr>
        <w:pStyle w:val="Normal"/>
        <w:keepNext w:val="true"/>
        <w:spacing w:before="240" w:after="80"/>
        <w:rPr/>
      </w:pPr>
      <w:r>
        <w:rPr>
          <w:rFonts w:cs="Arial"/>
          <w:b/>
          <w:i w:val="false"/>
          <w:color w:val="002516"/>
          <w:sz w:val="21"/>
        </w:rPr>
        <w:t>Included Courses</w:t>
      </w:r>
    </w:p>
    <w:p>
      <w:pPr>
        <w:pStyle w:val="Normal"/>
        <w:rPr/>
      </w:pPr>
      <w:r>
        <w:rPr>
          <w:rFonts w:cs="Arial"/>
          <w:b w:val="false"/>
          <w:i w:val="false"/>
        </w:rPr>
        <w:t>Retain current administrative configuration as applicable.</w:t>
      </w:r>
    </w:p>
    <w:p>
      <w:pPr>
        <w:pStyle w:val="Normal"/>
        <w:keepNext w:val="true"/>
        <w:spacing w:before="240" w:after="80"/>
        <w:rPr/>
      </w:pPr>
      <w:r>
        <w:rPr>
          <w:rFonts w:cs="Arial"/>
          <w:b/>
          <w:i w:val="false"/>
          <w:color w:val="002516"/>
          <w:sz w:val="21"/>
        </w:rPr>
        <w:t>Notes</w:t>
      </w:r>
    </w:p>
    <w:p>
      <w:pPr>
        <w:pStyle w:val="Normal"/>
        <w:tabs>
          <w:tab w:val="clear" w:pos="720"/>
          <w:tab w:val="left" w:pos="397" w:leader="none"/>
        </w:tabs>
        <w:spacing w:lineRule="auto" w:line="252" w:before="20" w:after="40"/>
        <w:ind w:hanging="397" w:left="397"/>
        <w:rPr/>
      </w:pPr>
      <w:r>
        <w:rPr>
          <w:rFonts w:cs="Arial"/>
          <w:color w:val="002516"/>
          <w:sz w:val="19"/>
        </w:rPr>
        <w:t>1.</w:t>
        <w:tab/>
      </w:r>
      <w:r>
        <w:rPr>
          <w:rFonts w:cs="Arial"/>
          <w:b w:val="false"/>
          <w:i w:val="false"/>
          <w:sz w:val="19"/>
        </w:rPr>
        <w:t>ELDA Command develops the collective effectiveness of command teams through experiential learning conducted in complex and demanding environments involving real consequences, uncertainty, interpersonal dynamics and managed risk.</w:t>
      </w:r>
    </w:p>
    <w:p>
      <w:pPr>
        <w:pStyle w:val="Normal"/>
        <w:tabs>
          <w:tab w:val="clear" w:pos="720"/>
          <w:tab w:val="left" w:pos="397" w:leader="none"/>
        </w:tabs>
        <w:spacing w:lineRule="auto" w:line="252" w:before="20" w:after="40"/>
        <w:ind w:hanging="397" w:left="397"/>
        <w:rPr/>
      </w:pPr>
      <w:r>
        <w:rPr>
          <w:rFonts w:cs="Arial"/>
          <w:color w:val="002516"/>
          <w:sz w:val="19"/>
        </w:rPr>
        <w:t>2.</w:t>
        <w:tab/>
      </w:r>
      <w:r>
        <w:rPr>
          <w:rFonts w:cs="Arial"/>
          <w:b w:val="false"/>
          <w:i w:val="false"/>
          <w:sz w:val="19"/>
        </w:rPr>
        <w:t>The course is normally delivered to an existing or forming command or leadership collective, for example a unit headquarters, or a unit command team together with its subordinate command teams, rather than to individuals drawn from different organisations.</w:t>
      </w:r>
    </w:p>
    <w:p>
      <w:pPr>
        <w:pStyle w:val="Normal"/>
        <w:tabs>
          <w:tab w:val="clear" w:pos="720"/>
          <w:tab w:val="left" w:pos="397" w:leader="none"/>
        </w:tabs>
        <w:spacing w:lineRule="auto" w:line="252" w:before="20" w:after="40"/>
        <w:ind w:hanging="397" w:left="397"/>
        <w:rPr/>
      </w:pPr>
      <w:r>
        <w:rPr>
          <w:rFonts w:cs="Arial"/>
          <w:color w:val="002516"/>
          <w:sz w:val="19"/>
        </w:rPr>
        <w:t>3.</w:t>
        <w:tab/>
      </w:r>
      <w:r>
        <w:rPr>
          <w:rFonts w:cs="Arial"/>
          <w:b w:val="false"/>
          <w:i w:val="false"/>
          <w:sz w:val="19"/>
        </w:rPr>
        <w:t>The selected adventure activity provides the experiential vehicle for command-team development; successful completion of the activity is not, in itself, the primary learning outcome.</w:t>
      </w:r>
    </w:p>
    <w:p>
      <w:pPr>
        <w:pStyle w:val="Normal"/>
        <w:tabs>
          <w:tab w:val="clear" w:pos="720"/>
          <w:tab w:val="left" w:pos="397" w:leader="none"/>
        </w:tabs>
        <w:spacing w:lineRule="auto" w:line="252" w:before="20" w:after="40"/>
        <w:ind w:hanging="397" w:left="397"/>
        <w:rPr/>
      </w:pPr>
      <w:r>
        <w:rPr>
          <w:rFonts w:cs="Arial"/>
          <w:color w:val="002516"/>
          <w:sz w:val="19"/>
        </w:rPr>
        <w:t>4.</w:t>
        <w:tab/>
      </w:r>
      <w:r>
        <w:rPr>
          <w:rFonts w:cs="Arial"/>
          <w:b w:val="false"/>
          <w:i w:val="false"/>
          <w:sz w:val="19"/>
        </w:rPr>
        <w:t>The course develops shared understanding by enabling team members to identify and evaluate their individual and collective leadership preferences, default behaviours, assumptions and biases, and the effects these have on command relationships, decisions and organisational outcomes.</w:t>
      </w:r>
    </w:p>
    <w:p>
      <w:pPr>
        <w:pStyle w:val="Normal"/>
        <w:tabs>
          <w:tab w:val="clear" w:pos="720"/>
          <w:tab w:val="left" w:pos="397" w:leader="none"/>
        </w:tabs>
        <w:spacing w:lineRule="auto" w:line="252" w:before="20" w:after="40"/>
        <w:ind w:hanging="397" w:left="397"/>
        <w:rPr/>
      </w:pPr>
      <w:r>
        <w:rPr>
          <w:rFonts w:cs="Arial"/>
          <w:color w:val="002516"/>
          <w:sz w:val="19"/>
        </w:rPr>
        <w:t>5.</w:t>
        <w:tab/>
      </w:r>
      <w:r>
        <w:rPr>
          <w:rFonts w:cs="Arial"/>
          <w:b w:val="false"/>
          <w:i w:val="false"/>
          <w:sz w:val="19"/>
        </w:rPr>
        <w:t>Psychometric, leadership and team-development tools may be used to support self-awareness, shared understanding and team development. These tools support the learning outcomes rather than constitute learning outcomes in themselves.</w:t>
      </w:r>
    </w:p>
    <w:p>
      <w:pPr>
        <w:pStyle w:val="Normal"/>
        <w:tabs>
          <w:tab w:val="clear" w:pos="720"/>
          <w:tab w:val="left" w:pos="397" w:leader="none"/>
        </w:tabs>
        <w:spacing w:lineRule="auto" w:line="252" w:before="20" w:after="40"/>
        <w:ind w:hanging="397" w:left="397"/>
        <w:rPr/>
      </w:pPr>
      <w:r>
        <w:rPr>
          <w:rFonts w:cs="Arial"/>
          <w:color w:val="002516"/>
          <w:sz w:val="19"/>
        </w:rPr>
        <w:t>6.</w:t>
        <w:tab/>
      </w:r>
      <w:r>
        <w:rPr>
          <w:rFonts w:cs="Arial"/>
          <w:b w:val="false"/>
          <w:i w:val="false"/>
          <w:sz w:val="19"/>
        </w:rPr>
        <w:t>The command team is provided repeated opportunities to exercise individual and collective judgement, make decisions, observe their effects, receive feedback, reflect, adapt and reapply their learning together.</w:t>
      </w:r>
    </w:p>
    <w:p>
      <w:pPr>
        <w:pStyle w:val="Normal"/>
        <w:tabs>
          <w:tab w:val="clear" w:pos="720"/>
          <w:tab w:val="left" w:pos="397" w:leader="none"/>
        </w:tabs>
        <w:spacing w:lineRule="auto" w:line="252" w:before="20" w:after="40"/>
        <w:ind w:hanging="397" w:left="397"/>
        <w:rPr/>
      </w:pPr>
      <w:r>
        <w:rPr>
          <w:rFonts w:cs="Arial"/>
          <w:color w:val="002516"/>
          <w:sz w:val="19"/>
        </w:rPr>
        <w:t>7.</w:t>
        <w:tab/>
      </w:r>
      <w:r>
        <w:rPr>
          <w:rFonts w:cs="Arial"/>
          <w:b w:val="false"/>
          <w:i w:val="false"/>
          <w:sz w:val="19"/>
        </w:rPr>
        <w:t>Army ethos and values are embedded throughout the course and are demonstrated through observable judgement, decision-making, use of authority, treatment of others and leadership behaviour within the command team.</w:t>
      </w:r>
    </w:p>
    <w:p>
      <w:pPr>
        <w:pStyle w:val="Normal"/>
        <w:tabs>
          <w:tab w:val="clear" w:pos="720"/>
          <w:tab w:val="left" w:pos="397" w:leader="none"/>
        </w:tabs>
        <w:spacing w:lineRule="auto" w:line="252" w:before="20" w:after="40"/>
        <w:ind w:hanging="397" w:left="397"/>
        <w:rPr/>
      </w:pPr>
      <w:r>
        <w:rPr>
          <w:rFonts w:cs="Arial"/>
          <w:color w:val="002516"/>
          <w:sz w:val="19"/>
        </w:rPr>
        <w:t>8.</w:t>
        <w:tab/>
      </w:r>
      <w:r>
        <w:rPr>
          <w:rFonts w:cs="Arial"/>
          <w:b w:val="false"/>
          <w:i w:val="false"/>
          <w:sz w:val="19"/>
        </w:rPr>
        <w:t>Course activities are designed to enable the command team to examine how its collective leadership creates or inhibits the conditions required for trust, clarity, appropriate challenge, accountability, initiative and effective organisational performance.</w:t>
      </w:r>
    </w:p>
    <w:p>
      <w:pPr>
        <w:pStyle w:val="Normal"/>
        <w:tabs>
          <w:tab w:val="clear" w:pos="720"/>
          <w:tab w:val="left" w:pos="397" w:leader="none"/>
        </w:tabs>
        <w:spacing w:lineRule="auto" w:line="252" w:before="20" w:after="40"/>
        <w:ind w:hanging="397" w:left="397"/>
        <w:rPr/>
      </w:pPr>
      <w:r>
        <w:rPr>
          <w:rFonts w:cs="Arial"/>
          <w:color w:val="002516"/>
          <w:sz w:val="19"/>
        </w:rPr>
        <w:t>9.</w:t>
        <w:tab/>
      </w:r>
      <w:r>
        <w:rPr>
          <w:rFonts w:cs="Arial"/>
          <w:b w:val="false"/>
          <w:i w:val="false"/>
          <w:sz w:val="19"/>
        </w:rPr>
        <w:t>Learning identified during ELDA Command is to inform the command team's subsequent working practices and each member's ongoing Leadership Development Plan.</w:t>
      </w:r>
    </w:p>
    <w:p>
      <w:pPr>
        <w:pStyle w:val="Normal"/>
        <w:tabs>
          <w:tab w:val="clear" w:pos="720"/>
          <w:tab w:val="left" w:pos="397" w:leader="none"/>
        </w:tabs>
        <w:spacing w:lineRule="auto" w:line="252" w:before="20" w:after="40"/>
        <w:ind w:hanging="397" w:left="397"/>
        <w:rPr/>
      </w:pPr>
      <w:r>
        <w:rPr>
          <w:rFonts w:cs="Arial"/>
          <w:color w:val="002516"/>
          <w:sz w:val="19"/>
        </w:rPr>
        <w:t>10.</w:t>
        <w:tab/>
      </w:r>
      <w:r>
        <w:rPr>
          <w:rFonts w:cs="Arial"/>
          <w:b w:val="false"/>
          <w:i w:val="false"/>
          <w:sz w:val="19"/>
        </w:rPr>
        <w:t>Course duration may vary between 8 and 10 training days depending on activity, travel requirements, team composition and course design.</w:t>
      </w:r>
    </w:p>
    <w:p>
      <w:pPr>
        <w:pStyle w:val="Normal"/>
        <w:tabs>
          <w:tab w:val="clear" w:pos="720"/>
          <w:tab w:val="left" w:pos="397" w:leader="none"/>
        </w:tabs>
        <w:spacing w:lineRule="auto" w:line="252" w:before="20" w:after="40"/>
        <w:ind w:hanging="397" w:left="397"/>
        <w:rPr/>
      </w:pPr>
      <w:r>
        <w:rPr>
          <w:rFonts w:cs="Arial"/>
          <w:color w:val="002516"/>
          <w:sz w:val="19"/>
        </w:rPr>
        <w:t>11.</w:t>
        <w:tab/>
      </w:r>
      <w:r>
        <w:rPr>
          <w:rFonts w:cs="Arial"/>
          <w:b w:val="false"/>
          <w:i w:val="false"/>
          <w:sz w:val="19"/>
        </w:rPr>
        <w:t>Activity selection, instructor allocation and delivery are to comply with the NZALC Safety Management Plan and applicable activity SOPs.</w:t>
      </w:r>
    </w:p>
    <w:p>
      <w:pPr>
        <w:pStyle w:val="Normal"/>
        <w:tabs>
          <w:tab w:val="clear" w:pos="720"/>
          <w:tab w:val="left" w:pos="397" w:leader="none"/>
        </w:tabs>
        <w:spacing w:lineRule="auto" w:line="252" w:before="20" w:after="40"/>
        <w:ind w:hanging="397" w:left="397"/>
        <w:rPr/>
      </w:pPr>
      <w:r>
        <w:rPr>
          <w:rFonts w:cs="Arial"/>
          <w:color w:val="002516"/>
          <w:sz w:val="19"/>
        </w:rPr>
        <w:t>12.</w:t>
        <w:tab/>
      </w:r>
      <w:r>
        <w:rPr>
          <w:rFonts w:cs="Arial"/>
          <w:b w:val="false"/>
          <w:i w:val="false"/>
          <w:sz w:val="19"/>
        </w:rPr>
        <w:t>The Learning Provider is the New Zealand Army Leadership Centre (NZALC).</w:t>
      </w:r>
    </w:p>
    <w:p>
      <w:pPr>
        <w:pStyle w:val="Normal"/>
        <w:keepNext w:val="true"/>
        <w:spacing w:before="240" w:after="80"/>
        <w:rPr/>
      </w:pPr>
      <w:r>
        <w:rPr>
          <w:rFonts w:cs="Arial"/>
          <w:b/>
          <w:i w:val="false"/>
          <w:color w:val="002516"/>
          <w:sz w:val="21"/>
        </w:rPr>
        <w:t>Has Syllabus</w:t>
      </w:r>
    </w:p>
    <w:p>
      <w:pPr>
        <w:pStyle w:val="Normal"/>
        <w:rPr/>
      </w:pPr>
      <w:r>
        <w:rPr>
          <w:rFonts w:cs="Arial"/>
          <w:b w:val="false"/>
          <w:i w:val="false"/>
        </w:rPr>
        <w:t>Yes. The syllabus is to be aligned with the revised learning outcomes below.</w:t>
      </w:r>
    </w:p>
    <w:p>
      <w:pPr>
        <w:pStyle w:val="Heading1"/>
        <w:rPr/>
      </w:pPr>
      <w:r>
        <w:rPr>
          <w:rFonts w:cs="Arial"/>
          <w:b/>
          <w:i w:val="false"/>
          <w:color w:val="002516"/>
          <w:sz w:val="25"/>
        </w:rPr>
        <w:t>Course Structure</w:t>
      </w:r>
    </w:p>
    <w:p>
      <w:pPr>
        <w:pStyle w:val="Normal"/>
        <w:keepNext w:val="true"/>
        <w:spacing w:before="240" w:after="80"/>
        <w:rPr/>
      </w:pPr>
      <w:r>
        <w:rPr>
          <w:rFonts w:cs="Arial"/>
          <w:b/>
          <w:i w:val="false"/>
          <w:color w:val="002516"/>
          <w:sz w:val="21"/>
        </w:rPr>
        <w:t>COG 1: Collective Command Effectiveness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1.1</w:t>
      </w:r>
      <w:r>
        <w:rPr/>
        <w:br/>
      </w:r>
      <w:r>
        <w:rPr>
          <w:rFonts w:cs="Arial"/>
          <w:b/>
          <w:i w:val="false"/>
          <w:color w:val="000000"/>
          <w:sz w:val="22"/>
        </w:rPr>
        <w:t>Develop shared understanding within the command team</w:t>
      </w:r>
    </w:p>
    <w:p>
      <w:pPr>
        <w:pStyle w:val="Normal"/>
        <w:spacing w:before="0" w:after="80"/>
        <w:ind w:left="312"/>
        <w:rPr/>
      </w:pPr>
      <w:r>
        <w:rPr>
          <w:rFonts w:cs="Arial"/>
          <w:b w:val="false"/>
          <w:i w:val="false"/>
        </w:rPr>
        <w:t>Learners identify and evaluate individual and collective leadership preferences, behaviours, assumptions and biases within the command team, and their effect on command relationships, decisions and effectiveness.</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1.2</w:t>
      </w:r>
      <w:r>
        <w:rPr/>
        <w:br/>
      </w:r>
      <w:r>
        <w:rPr>
          <w:rFonts w:cs="Arial"/>
          <w:b/>
          <w:i w:val="false"/>
          <w:color w:val="000000"/>
          <w:sz w:val="22"/>
        </w:rPr>
        <w:t>Strengthen cohesion and effectiveness across the command team</w:t>
      </w:r>
    </w:p>
    <w:p>
      <w:pPr>
        <w:pStyle w:val="Normal"/>
        <w:spacing w:before="0" w:after="80"/>
        <w:ind w:left="312"/>
        <w:rPr/>
      </w:pPr>
      <w:r>
        <w:rPr>
          <w:rFonts w:cs="Arial"/>
          <w:b w:val="false"/>
          <w:i w:val="false"/>
        </w:rPr>
        <w:t>Learners develop trust, clarity, appropriate challenge, communication and productive working relationships across commanders, staff and subordinate command teams, and establish the working practices that sustain them.</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1.3</w:t>
      </w:r>
      <w:r>
        <w:rPr/>
        <w:br/>
      </w:r>
      <w:r>
        <w:rPr>
          <w:rFonts w:cs="Arial"/>
          <w:b/>
          <w:i w:val="false"/>
          <w:color w:val="000000"/>
          <w:sz w:val="22"/>
        </w:rPr>
        <w:t>Exercise collective judgement in complex and demanding conditions</w:t>
      </w:r>
    </w:p>
    <w:p>
      <w:pPr>
        <w:pStyle w:val="Normal"/>
        <w:spacing w:before="0" w:after="80"/>
        <w:ind w:left="312"/>
        <w:rPr/>
      </w:pPr>
      <w:r>
        <w:rPr>
          <w:rFonts w:cs="Arial"/>
          <w:b w:val="false"/>
          <w:i w:val="false"/>
        </w:rPr>
        <w:t>Learners apply individual and collective judgement, integrate differing perspectives, balance competing demands and risk, and make and adapt effective decisions under uncertainty and pressure.</w:t>
      </w:r>
    </w:p>
    <w:p>
      <w:pPr>
        <w:pStyle w:val="Normal"/>
        <w:keepNext w:val="true"/>
        <w:pBdr>
          <w:left w:val="single" w:sz="14" w:space="10" w:color="002516"/>
        </w:pBdr>
        <w:shd w:val="clear" w:color="auto" w:fill="EEF1E5"/>
        <w:spacing w:before="200" w:after="120"/>
        <w:ind w:left="312" w:right="170"/>
        <w:rPr/>
      </w:pPr>
      <w:r>
        <w:rPr>
          <w:rFonts w:cs="Arial"/>
          <w:b/>
          <w:i w:val="false"/>
          <w:color w:val="002516"/>
          <w:spacing w:val="20"/>
          <w:sz w:val="17"/>
        </w:rPr>
        <w:t>LO 1.4</w:t>
      </w:r>
      <w:r>
        <w:rPr/>
        <w:br/>
      </w:r>
      <w:r>
        <w:rPr>
          <w:rFonts w:cs="Arial"/>
          <w:b/>
          <w:i w:val="false"/>
          <w:color w:val="000000"/>
          <w:sz w:val="22"/>
        </w:rPr>
        <w:t>Create the conditions for organisational performance</w:t>
      </w:r>
    </w:p>
    <w:p>
      <w:pPr>
        <w:pStyle w:val="Normal"/>
        <w:spacing w:before="0" w:after="80"/>
        <w:ind w:left="312"/>
        <w:rPr/>
      </w:pPr>
      <w:r>
        <w:rPr>
          <w:rFonts w:cs="Arial"/>
          <w:b w:val="false"/>
          <w:i w:val="false"/>
        </w:rPr>
        <w:t>Learners align leadership effort across the command team and deliberately shape the command environment to enable accountability, initiative, cohesion and effective organisational performance.</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67" w:top="1247" w:footer="567" w:bottom="124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ELDA Command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b/>
        <w:color w:val="000000"/>
        <w:sz w:val="20"/>
      </w:rPr>
      <w:t>UNCLASSIFIED</w:t>
    </w:r>
  </w:p>
  <w:p>
    <w:pPr>
      <w:pStyle w:val="Normal"/>
      <w:tabs>
        <w:tab w:val="clear" w:pos="720"/>
        <w:tab w:val="center" w:pos="4649" w:leader="none"/>
        <w:tab w:val="right" w:pos="9298" w:leader="none"/>
      </w:tabs>
      <w:spacing w:before="40" w:after="0"/>
      <w:rPr/>
    </w:pPr>
    <w:r>
      <w:rPr>
        <w:rFonts w:cs="Arial"/>
        <w:color w:val="000000"/>
        <w:sz w:val="17"/>
      </w:rPr>
      <w:t>NZALC | ELDA Command Course Data Sheet</w:t>
      <w:tab/>
      <w:t>ACS 2026</w:t>
      <w:tab/>
      <w:t xml:space="preserve">Page </w:t>
    </w:r>
    <w:r>
      <w:rPr>
        <w:rFonts w:cs="Arial"/>
        <w:sz w:val="17"/>
      </w:rPr>
      <w:fldChar w:fldCharType="begin"/>
    </w:r>
    <w:r>
      <w:rPr>
        <w:sz w:val="17"/>
        <w:rFonts w:cs="Arial"/>
      </w:rPr>
      <w:instrText xml:space="preserve"> PAGE </w:instrText>
    </w:r>
    <w:r>
      <w:rPr>
        <w:sz w:val="17"/>
        <w:rFonts w:cs="Arial"/>
      </w:rPr>
      <w:fldChar w:fldCharType="separate"/>
    </w:r>
    <w:r>
      <w:rPr>
        <w:sz w:val="17"/>
        <w:rFonts w:cs="Arial"/>
      </w:rPr>
      <w:t>4</w:t>
    </w:r>
    <w:r>
      <w:rPr>
        <w:sz w:val="17"/>
        <w:rFonts w:cs="Arial"/>
      </w:rPr>
      <w:fldChar w:fldCharType="end"/>
    </w:r>
    <w:r>
      <w:rPr>
        <w:rFonts w:cs="Arial"/>
        <w:color w:val="000000"/>
        <w:sz w:val="17"/>
      </w:rPr>
      <w:t xml:space="preserve"> of </w:t>
    </w:r>
    <w:r>
      <w:rPr>
        <w:rFonts w:cs="Arial"/>
        <w:sz w:val="17"/>
      </w:rPr>
      <w:fldChar w:fldCharType="begin"/>
    </w:r>
    <w:r>
      <w:rPr>
        <w:sz w:val="17"/>
        <w:rFonts w:cs="Arial"/>
      </w:rPr>
      <w:instrText xml:space="preserve"> NUMPAGES </w:instrText>
    </w:r>
    <w:r>
      <w:rPr>
        <w:sz w:val="17"/>
        <w:rFonts w:cs="Arial"/>
      </w:rPr>
      <w:fldChar w:fldCharType="separate"/>
    </w:r>
    <w:r>
      <w:rPr>
        <w:sz w:val="17"/>
        <w:rFonts w:cs="Arial"/>
      </w:rPr>
      <w:t>4</w:t>
    </w:r>
    <w:r>
      <w:rPr>
        <w:sz w:val="17"/>
        <w:rFonts w:cs="Ari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WenQuanYi Zen Hei" w:cs="Arial"/>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68" w:before="0" w:after="100"/>
      <w:jc w:val="left"/>
    </w:pPr>
    <w:rPr>
      <w:rFonts w:ascii="Arial" w:hAnsi="Arial" w:cs="Arial" w:eastAsia="WenQuanYi Zen Hei"/>
      <w:color w:val="000000"/>
      <w:kern w:val="0"/>
      <w:sz w:val="21"/>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Arial" w:hAnsi="Arial" w:cs="Arial"/>
      <w:b/>
      <w:color w:val="002516"/>
      <w:sz w:val="24"/>
    </w:rPr>
  </w:style>
  <w:style w:type="paragraph" w:styleId="Heading2">
    <w:name w:val="Heading 2"/>
    <w:basedOn w:val="Normal"/>
    <w:next w:val="Normal"/>
    <w:uiPriority w:val="9"/>
    <w:unhideWhenUsed/>
    <w:qFormat/>
    <w:rsid w:val="00fc693f"/>
    <w:pPr>
      <w:keepNext w:val="true"/>
      <w:keepLines/>
      <w:spacing w:before="360" w:after="160"/>
      <w:outlineLvl w:val="1"/>
    </w:pPr>
    <w:rPr>
      <w:rFonts w:ascii="Arial" w:hAnsi="Arial" w:cs="Arial"/>
      <w:b/>
      <w:color w:val="002516"/>
      <w:sz w:val="24"/>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1166</Words>
  <Characters>7422</Characters>
  <CharactersWithSpaces>8488</CharactersWithSpaces>
  <Paragraphs>114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NZ Army Leadership Centre | Army Command School</dc:creator>
  <dc:description>generated by python-docx</dc:description>
  <dc:language>en-US</dc:language>
  <cp:lastModifiedBy/>
  <dcterms:modified xsi:type="dcterms:W3CDTF">2026-09-07T01:49:24Z</dcterms:modified>
  <cp:revision>2</cp:revision>
  <dc:subject/>
  <dc:title>A18009 ELDA Command</dc:title>
</cp:coreProperties>
</file>

<file path=docProps/custom.xml><?xml version="1.0" encoding="utf-8"?>
<Properties xmlns="http://schemas.openxmlformats.org/officeDocument/2006/custom-properties" xmlns:vt="http://schemas.openxmlformats.org/officeDocument/2006/docPropsVTypes"/>
</file>